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SIGET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Sistema de Gestión y Trazabilidad</w:t>
      </w:r>
    </w:p>
    <w:p>
      <w:pPr>
        <w:pBdr>
          <w:top w:val="single" w:color="1F4E79" w:sz="8" w:space="12"/>
          <w:bottom w:val="single" w:color="1F4E79" w:sz="8" w:space="12"/>
        </w:pBdr>
        <w:spacing w:after="700"/>
        <w:jc w:val="center"/>
      </w:pPr>
      <w:r>
        <w:rPr>
          <w:rFonts w:ascii="Calibri" w:cs="Calibri" w:eastAsia="Calibri" w:hAnsi="Calibri"/>
          <w:b/>
          <w:bCs/>
          <w:color w:val="404040"/>
          <w:sz w:val="32"/>
          <w:szCs w:val="32"/>
        </w:rPr>
        <w:t xml:space="preserve">Guion de la demostración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Lista de verificación, recorrido, preguntas probables y plan B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Ciberseguridad 5 — Universidad Tecnológica de Panamá (UTP)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24F"/>
          <w:sz w:val="24"/>
          <w:szCs w:val="24"/>
        </w:rPr>
        <w:t xml:space="preserve">Elaborado por: Jeison Vásquez — Grupo Ciber5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40" w:line="288"/>
        <w:jc w:val="both"/>
      </w:pPr>
      <w:r>
        <w:t xml:space="preserve">Qué mostrar al profesor y en qué orden. La plataforma corre en VM1 (app-backend) detrás de nginx con TLS 1.3 y trabaja contra PostgreSQL en VM2. Esta guía no contiene contraseñas: están solo en el PC de Jeison, en demo-local/ (ignorado por git).</w:t>
      </w:r>
    </w:p>
    <w:p>
      <w:pPr>
        <w:pStyle w:val="Heading1"/>
        <w:keepNext/>
      </w:pPr>
      <w:r>
        <w:t xml:space="preserve">Lista de verificación del día de la demostración (30 minutos antes)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Encender las VMs</w:t>
      </w:r>
      <w:r>
        <w:t xml:space="preserve"> y esperar 2 minutos. Si se encienden a la vez, el backend reintenta solo hasta que la base responda. </w:t>
      </w:r>
      <w:r>
        <w:rPr>
          <w:b/>
          <w:bCs/>
        </w:rPr>
        <w:t xml:space="preserve">No reiniciar ninguna VM ahora</w:t>
      </w:r>
      <w:r>
        <w:t xml:space="preserve"> (ambas tienen un reinicio por actualizaciones pendiente: se hace </w:t>
      </w:r>
      <w:r>
        <w:rPr>
          <w:i/>
          <w:iCs/>
        </w:rPr>
        <w:t xml:space="preserve">después</w:t>
      </w:r>
      <w:r>
        <w:t xml:space="preserve"> de la presentación y se comprueba que todo arranca solo).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Ensayo automático</w:t>
      </w:r>
      <w:r>
        <w:t xml:space="preserve"> (≈3 minutos, no deja nada roto; solo agrega tres trámites):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backend/.venv/Scripts/python.exe demo/ensayo.py</w:t>
      </w:r>
    </w:p>
    <w:p>
      <w:pPr>
        <w:spacing w:after="140" w:line="288"/>
        <w:jc w:val="both"/>
      </w:pPr>
      <w:r>
        <w:t xml:space="preserve">   ```</w:t>
      </w:r>
    </w:p>
    <w:p>
      <w:pPr>
        <w:spacing w:after="140" w:line="288"/>
        <w:jc w:val="both"/>
      </w:pPr>
      <w:r>
        <w:t xml:space="preserve">   Debe terminar en </w:t>
      </w:r>
      <w:r>
        <w:rPr>
          <w:b/>
          <w:bCs/>
        </w:rPr>
        <w:t xml:space="preserve">«55 de 55 comprobaciones correctas»</w:t>
      </w:r>
      <w:r>
        <w:t xml:space="preserve">. Revisa la hora de las VMs, el certificado, TLS 1.3, las 13 cuentas, el segundo factor, la auditoría, el simulador y el cierre de sesión. Si algo falla, ver «Si algo falla en vivo».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rPr>
          <w:b/>
          <w:bCs/>
        </w:rPr>
        <w:t xml:space="preserve">Confiar en la CA interna</w:t>
      </w:r>
      <w:r>
        <w:t xml:space="preserve"> para que el navegador no avise «conexión no privada» (PowerShell, usuario normal):</w:t>
      </w:r>
    </w:p>
    <w:p>
      <w:pPr>
        <w:spacing w:after="140" w:line="288"/>
        <w:jc w:val="both"/>
      </w:pPr>
      <w:r>
        <w:t xml:space="preserve">   ```powershell</w:t>
      </w:r>
    </w:p>
    <w:p>
      <w:pPr>
        <w:spacing w:after="140" w:line="288"/>
        <w:jc w:val="both"/>
      </w:pPr>
      <w:r>
        <w:t xml:space="preserve">   certutil -addstore -user Root infra\pki\siget-ca.crt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rPr>
          <w:b/>
          <w:bCs/>
        </w:rPr>
        <w:t xml:space="preserve">Abrir</w:t>
      </w:r>
      <w:r>
        <w:t xml:space="preserve"> https://192.168.159.137:8443 (o https://100.104.206.118:8443 por Tailscale) y comprobar que se ve el acceso. Zoom del navegador al 110 % si se proyecta; probar el modo claro y el oscuro (botón de la barra superior).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rPr>
          <w:b/>
          <w:bCs/>
        </w:rPr>
        <w:t xml:space="preserve">Códigos del segundo factor</w:t>
      </w:r>
      <w:r>
        <w:t xml:space="preserve"> (el código cambia cada 30 s y no se puede reutilizar):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backend/.venv/Scripts/python.exe demo/codigo.py            # todas las cuentas: contraseña y código vigente</w:t>
      </w:r>
    </w:p>
    <w:p>
      <w:pPr>
        <w:spacing w:after="140" w:line="288"/>
        <w:jc w:val="both"/>
      </w:pPr>
      <w:r>
        <w:t xml:space="preserve">   backend/.venv/Scripts/python.exe demo/codigo.py fabio.mop  # una sola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5"/>
        </w:numPr>
        <w:spacing w:after="80" w:line="276"/>
        <w:jc w:val="both"/>
      </w:pPr>
      <w:r>
        <w:rPr>
          <w:b/>
          <w:bCs/>
        </w:rPr>
        <w:t xml:space="preserve">Para el alta del segundo factor en vivo</w:t>
      </w:r>
      <w:r>
        <w:t xml:space="preserve"> (paso 12): tener el celular con una aplicación de autenticación (Google Authenticator, Microsoft Authenticator, Aegis…).</w:t>
      </w:r>
    </w:p>
    <w:p>
      <w:pPr>
        <w:pStyle w:val="ListParagraph"/>
        <w:numPr>
          <w:ilvl w:val="0"/>
          <w:numId w:val="5"/>
        </w:numPr>
        <w:spacing w:after="80" w:line="276"/>
        <w:jc w:val="both"/>
      </w:pPr>
      <w:r>
        <w:rPr>
          <w:b/>
          <w:bCs/>
        </w:rPr>
        <w:t xml:space="preserve">Plan B a mano:</w:t>
      </w:r>
      <w:r>
        <w:t xml:space="preserve"> ?mock del frontend (ver frontend/README.md) muestra todas las pantallas sin servidores, con datos de ejemplo; y las capturas de la sección «Si algo falla».</w:t>
      </w:r>
    </w:p>
    <w:p>
      <w:pPr>
        <w:pStyle w:val="Heading1"/>
        <w:keepNext/>
      </w:pPr>
      <w:r>
        <w:t xml:space="preserve">Las cuentas (una por 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|C|u|e|n|t|a|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|R|o|l|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|Q|u|é| |v|e|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||a|n|a|.|c|i|u|d|a|d|a|n|a||,| ||b|e|t|o|.|c|i|u|d|a|d|a|n|o||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|C|i|u|d|a|d|a|n|í|a|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|M|i|s| |t|r|á|m|i|t|e|s|,| |I|n|i|c|i|a|r| |u|n| |t|r|á|m|i|t|e|,| |M|i| |s|e|g|u|r|i|d|a|d|,| |S|e|g|u|n|d|o| |f|a|c|t|o|r|,| |R|o|l|e|s| |y| |p|e|r|m|i|s|o|s|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||f|a|b|i|o|.|m|o|p||,| ||f|l|o|r|.|m|o|p||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 |a|n|t|e|r|i|o|r| |+| |B|a|n|d|e|j|a| |d|e| |l|a| |i|n|s|t|i|t|u|c|i|ó|n|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||s|a|u|l|.|m|o|p||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|S|u|p|e|r|v|i|s|o|r|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 |a|n|t|e|r|i|o|r| |+| |S|u|p|e|r|v|i|s|i|ó|n| |(|r|e|a|s|i|g|n|a|r|)| |y| |E|q|u|i|p|o|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||c|a|r|l|a|.|m|o|p||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|C|o|o|r|d|i|n|a|d|o|r|a|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|E|q|u|i|p|o| |y| |r|o|l|e|s|;|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|n|o|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 |t|r|á|m|i|t|e|s|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||f|e|l|i|x|.|m|i|n|s|a||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|M|I|N|S|A|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|B|a|n|d|e|j|a| |d|e|l| |M|I|N|S|A| |(|n|o| |v|e| |l|a| |d|e|l| |M|O|P|)|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||i|n|e|s|.|i|n|f|r|a||,| ||i|v|a|n|.|i|d|e|n|t|i|d|a|d|e|s||,| ||c|a|t|a|.|c|a|t|a|l|o|g|o||,| ||s|e|r|g|i|o|.|s|e|g|u|r|i|d|a|d||,| ||s|i|l|v|i|a|.|s|e|c|r|e|t|o|s||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|L|o|s| |5| |r|o|l|e|s| |d|e| |p|l|a|t|a|f|o|r|m|a|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|S|o|l|o| |s|u| |c|o|n|s|o|l|a| |(|«|p|r|ó|x|i|m|a|m|e|n|t|e|»|)| |y| |«|A|c|c|e|s|o| |a| |t|r|á|m|i|t|e|s|»|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||a|l|d|o|.|a|u|d|i|t|o|r||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|A|u|d|i|t|o|r|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|A|u|d|i|t|o|r|í|a|:| |d|e|c|i|s|i|o|n|e|s| |d|e| |a|c|c|e|s|o|,| |e|v|e|n|t|o|s| |d|e| |s|e|g|u|r|i|d|a|d| |y| |a|c|t|u|a|c|i|o|n|e|s| |e|n| |t|r|á|m|i|t|e|s| |(|s|o|l|o| |l|e|c|t|u|r|a|)|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Recorrido sugerido (≈20 minutos; los pasos marcados ★ son los imprescindibles)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Login y segundo factor.</w:t>
      </w:r>
      <w:r>
        <w:t xml:space="preserve"> Entrar como ana.ciudadana con su contraseña y el código. Mostrar «Mi seguridad»: la credencial, la ventana del segundo factor y lo que </w:t>
      </w:r>
      <w:r>
        <w:rPr>
          <w:i/>
          <w:iCs/>
        </w:rPr>
        <w:t xml:space="preserve">puede</w:t>
      </w:r>
      <w:r>
        <w:t xml:space="preserve"> y </w:t>
      </w:r>
      <w:r>
        <w:rPr>
          <w:i/>
          <w:iCs/>
        </w:rPr>
        <w:t xml:space="preserve">no puede</w:t>
      </w:r>
      <w:r>
        <w:t xml:space="preserve"> hacer.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rPr>
          <w:b/>
          <w:bCs/>
        </w:rPr>
        <w:t xml:space="preserve">La ciudadana inicia un trámite</w:t>
      </w:r>
      <w:r>
        <w:t xml:space="preserve"> (Iniciar un trámite → MOP) y ve su estado e historial con las esclusas. No ve qué funcionario lo atiende.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fabio.mop (funcionario).</w:t>
      </w:r>
      <w:r>
        <w:t xml:space="preserve"> Cerrar sesión y entrar. Bandeja: solo trámites del MOP. Abrir el trámite nuevo y pasarlo a «En tramitación»; aparece en el historial </w:t>
      </w:r>
      <w:r>
        <w:rPr>
          <w:b/>
          <w:bCs/>
        </w:rPr>
        <w:t xml:space="preserve">con quién lo hizo</w:t>
      </w:r>
      <w:r>
        <w:t xml:space="preserve">. Probar el tablero. Aprobarlo (pide confirmación: es un estado final) y mostrar el sello.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Ojo con la reautenticación escalonada:</w:t>
      </w:r>
      <w:r>
        <w:t xml:space="preserve"> el código con el que se inicia sesión ya cuenta como segundo factor reciente (dura 15 minutos), así que </w:t>
      </w:r>
      <w:r>
        <w:rPr>
          <w:b/>
          <w:bCs/>
        </w:rPr>
        <w:t xml:space="preserve">el cuadro «Confirma que eres tú» NO aparece al cambiar el estado justo después de entrar</w:t>
      </w:r>
      <w:r>
        <w:t xml:space="preserve">. Para mostrarlo en vivo, ver «Cómo mostrar la reautenticación escalonada» abajo.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Conflicto de interés.</w:t>
      </w:r>
      <w:r>
        <w:t xml:space="preserve"> Con fabio.mop, iniciar un trámite propio y abrirlo: no puede gestionarlo.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saul.mop (supervisor).</w:t>
      </w:r>
      <w:r>
        <w:t xml:space="preserve"> Supervisión → reasignar un trámite a flor.mop. Mostrar «Equipo».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felix.minsa.</w:t>
      </w:r>
      <w:r>
        <w:t xml:space="preserve"> Su bandeja solo tiene trámites del MINSA: lo del MOP </w:t>
      </w:r>
      <w:r>
        <w:rPr>
          <w:b/>
          <w:bCs/>
        </w:rPr>
        <w:t xml:space="preserve">no existe</w:t>
      </w:r>
      <w:r>
        <w:t xml:space="preserve"> para él (404, no «prohibido»).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carla.mop (coordinadora).</w:t>
      </w:r>
      <w:r>
        <w:t xml:space="preserve"> Ve el equipo y los roles de su institución, pero la lista de trámites está vacía: gestionar personas no da acceso a los datos de la ciudadanía.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Un rol de plataforma</w:t>
      </w:r>
      <w:r>
        <w:t xml:space="preserve"> (por ejemplo ines.infra). Menú distinto: solo su consola. En «Acceso a trámites», pulsar el botón: el servidor responde 403 y la decisión queda registrada. </w:t>
      </w:r>
      <w:r>
        <w:rPr>
          <w:i/>
          <w:iCs/>
        </w:rPr>
        <w:t xml:space="preserve">Ningún operador, ni el de infraestructura, ve trámites; y no existe un superusuario.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aldo.auditor.</w:t>
      </w:r>
      <w:r>
        <w:t xml:space="preserve"> Auditoría: el resumen muestra cuántas decisiones permitió y negó el sistema y qué políticas las motivaron; en «Decisiones de acceso» se filtra por «Solo negadas» y se ve quién intentó qué (por ejemplo, Ines pidiendo trámites). Remarcar: </w:t>
      </w:r>
      <w:r>
        <w:rPr>
          <w:b/>
          <w:bCs/>
        </w:rPr>
        <w:t xml:space="preserve">la consola lee con un rol de base de datos de solo lectura</w:t>
      </w:r>
      <w:r>
        <w:t xml:space="preserve"> y </w:t>
      </w:r>
      <w:r>
        <w:rPr>
          <w:b/>
          <w:bCs/>
        </w:rPr>
        <w:t xml:space="preserve">la propia consulta del auditor queda registrada</w:t>
      </w:r>
      <w:r>
        <w:t xml:space="preserve"> (quién audita al auditor).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Roles y permisos</w:t>
      </w:r>
      <w:r>
        <w:t xml:space="preserve"> (cualquier cuenta, mejor saul.mop). Menú «Seguridad y permisos» → «Roles y permisos»: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Roles y módulos:</w:t>
      </w:r>
      <w:r>
        <w:t xml:space="preserve"> los 10 roles, cuántas acciones puede cada uno y sus módulos; el aviso verde </w:t>
      </w:r>
      <w:r>
        <w:rPr>
          <w:b/>
          <w:bCs/>
        </w:rPr>
        <w:t xml:space="preserve">«No existe un superusuario»</w:t>
      </w:r>
      <w:r>
        <w:t xml:space="preserve"> (el que más puede hace 6 de 18).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Matriz de permisos:</w:t>
      </w:r>
      <w:r>
        <w:t xml:space="preserve"> cada ✔/✖ sale de evaluar el motor de decisiones real. Pulsar una celda explica </w:t>
      </w:r>
      <w:r>
        <w:rPr>
          <w:b/>
          <w:bCs/>
        </w:rPr>
        <w:t xml:space="preserve">la política que decidió</w:t>
      </w:r>
      <w:r>
        <w:t xml:space="preserve">. Alternar «Fuera de su ámbito». La llave marca lo que </w:t>
      </w:r>
      <w:r>
        <w:rPr>
          <w:b/>
          <w:bCs/>
        </w:rPr>
        <w:t xml:space="preserve">exige segundo factor reciente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¿Qué pasaría si…?:</w:t>
      </w:r>
      <w:r>
        <w:t xml:space="preserve"> </w:t>
      </w:r>
      <w:r>
        <w:rPr>
          <w:b/>
          <w:bCs/>
        </w:rPr>
        <w:t xml:space="preserve">la pieza más vistosa.</w:t>
      </w:r>
      <w:r>
        <w:t xml:space="preserve"> Elegir un escenario («El segundo factor venció», «…y el trámite lo pidió él mismo», «El operador de infraestructura quiere ver un trámite») y mostrar el veredicto, </w:t>
      </w:r>
      <w:r>
        <w:rPr>
          <w:b/>
          <w:bCs/>
        </w:rPr>
        <w:t xml:space="preserve">la traza regla por regla</w:t>
      </w:r>
      <w:r>
        <w:t xml:space="preserve"> y «qué lo cambiaría» (con «Probarlo»). Armar uno propio cambiando el rol y las circunstancias. Remarcar: </w:t>
      </w:r>
      <w:r>
        <w:rPr>
          <w:i/>
          <w:iCs/>
        </w:rPr>
        <w:t xml:space="preserve">lo responde el motor de decisiones real y no deja rastro en la auditoría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Base de datos:</w:t>
      </w:r>
      <w:r>
        <w:t xml:space="preserve"> elegir auditor_role (solo lee) y app_role (inserta decisiones pero no las altera ni borra); ningún rol es superusuario; RLS y disparadores por tabla.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Cómo se decide:</w:t>
      </w:r>
      <w:r>
        <w:t xml:space="preserve"> las cinco capas y «si esta capa fallara…».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Segundo factor (MFA)</w:t>
      </w:r>
      <w:r>
        <w:t xml:space="preserve"> (fabio.mop). Menú «Segundo factor (MFA)»: explicar los 6 pasos; escribir el código actual en «Pruébalo ahora» → la ventana se renueva; luego </w:t>
      </w:r>
      <w:r>
        <w:rPr>
          <w:b/>
          <w:bCs/>
        </w:rPr>
        <w:t xml:space="preserve">«Enviar el mismo código de nuevo»</w:t>
      </w:r>
      <w:r>
        <w:t xml:space="preserve"> → el servidor lo rechaza (anti-repetición). Mostrar la actividad de seguridad propia. </w:t>
      </w:r>
      <w:r>
        <w:rPr>
          <w:i/>
          <w:iCs/>
        </w:rPr>
        <w:t xml:space="preserve">No introducir códigos incorrectos a propósito: tres bloquean la cuenta 5 minutos.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rPr>
          <w:b/>
          <w:bCs/>
        </w:rPr>
        <w:t xml:space="preserve">Alta del segundo factor en vivo:</w:t>
      </w:r>
      <w:r>
        <w:t xml:space="preserve"> «Crear cuenta» con un usuario nuevo → al entrar, código QR para escanear con el celular → confirmar con el código. </w:t>
      </w:r>
      <w:r>
        <w:rPr>
          <w:i/>
          <w:iCs/>
        </w:rPr>
        <w:t xml:space="preserve">Deja una cuenta nueva en la base: el registro es inalterable y la cuenta se puede suspender, no borrar.</w:t>
      </w:r>
    </w:p>
    <w:p>
      <w:pPr>
        <w:pStyle w:val="Heading1"/>
        <w:keepNext/>
      </w:pPr>
      <w:r>
        <w:t xml:space="preserve">Cómo mostrar la reautenticación escalonada</w:t>
      </w:r>
    </w:p>
    <w:p>
      <w:pPr>
        <w:spacing w:after="140" w:line="288"/>
        <w:jc w:val="both"/>
      </w:pPr>
      <w:r>
        <w:t xml:space="preserve">Es la pieza del segundo factor que más impresiona y la que no aparece sola, porque el inicio de sesión ya verifica el factor. Tres formas, de la más segura a la más vistosa: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A. Con el simulador (sin riesgo):</w:t>
      </w:r>
      <w:r>
        <w:t xml:space="preserve"> escenario «El segundo factor venció» → se niega y «qué lo cambiaría» dice que con un segundo factor reciente se permitiría. Es el mismo motor que decide de verdad.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B. Esperar:</w:t>
      </w:r>
      <w:r>
        <w:t xml:space="preserve"> iniciar sesión como fabio.mop, mostrar otras pantallas y volver a cambiar un estado pasados 15 minutos (útil si la presentación es larga).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C. Acortar la ventana para la demostración (decisión de Jeison):</w:t>
      </w:r>
      <w:r>
        <w:t xml:space="preserve"> en VM1, agregar Environment=SIGET_MFA_RECIENTE_MINUTOS=2 a /home/siget/.config/containers/systemd/siget-backend.container, y reiniciar:</w:t>
      </w:r>
    </w:p>
    <w:p>
      <w:pPr>
        <w:spacing w:after="140" w:line="288"/>
        <w:jc w:val="both"/>
      </w:pPr>
      <w:r>
        <w:t xml:space="preserve">  ```bash</w:t>
      </w:r>
    </w:p>
    <w:p>
      <w:pPr>
        <w:spacing w:after="140" w:line="288"/>
        <w:jc w:val="both"/>
      </w:pPr>
      <w:r>
        <w:t xml:space="preserve">  sudo -H -u siget bash -lc 'export XDG_RUNTIME_DIR=/run/user/1009; systemctl --user daemon-reload; systemctl --user stop siget-nginx.service siget-backend.service siget-pod.service; systemctl --user start siget-pod.service; sleep 3; systemctl --user start siget-backend.service siget-nginx.service'</w:t>
      </w:r>
    </w:p>
    <w:p>
      <w:pPr>
        <w:spacing w:after="140" w:line="288"/>
        <w:jc w:val="both"/>
      </w:pPr>
      <w:r>
        <w:t xml:space="preserve">  ```</w:t>
      </w:r>
    </w:p>
    <w:p>
      <w:pPr>
        <w:spacing w:after="140" w:line="288"/>
        <w:jc w:val="both"/>
      </w:pPr>
      <w:r>
        <w:t xml:space="preserve">  Toda la interfaz (anillo, textos, matriz y simulador) toma la ventana del servidor. Al terminar, quitar la línea y repetir el reinicio para volver a 15 minutos. Es una ventana </w:t>
      </w:r>
      <w:r>
        <w:rPr>
          <w:b/>
          <w:bCs/>
        </w:rPr>
        <w:t xml:space="preserve">más estricta</w:t>
      </w:r>
      <w:r>
        <w:t xml:space="preserve">, no más débil.</w:t>
      </w:r>
    </w:p>
    <w:p>
      <w:pPr>
        <w:pStyle w:val="Heading1"/>
        <w:keepNext/>
      </w:pPr>
      <w:r>
        <w:t xml:space="preserve">Qué decir (hilo conductor: Zero Trust)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Nunca confiar, siempre verificar:</w:t>
      </w:r>
      <w:r>
        <w:t xml:space="preserve"> cada petición revalida token, sesión, cuenta y política; la interfaz solo </w:t>
      </w:r>
      <w:r>
        <w:rPr>
          <w:i/>
          <w:iCs/>
        </w:rPr>
        <w:t xml:space="preserve">muestra</w:t>
      </w:r>
      <w:r>
        <w:t xml:space="preserve"> el menú, quien decide es el servidor (PDP/ABAC) y, otra vez, la base de datos (RLS).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Mínimo privilegio y separación de poderes:</w:t>
      </w:r>
      <w:r>
        <w:t xml:space="preserve"> 5 roles de plataforma + auditor, sin superusuario; el control dual para altas sensibles; nadie se asigna un rol a sí mismo (lo impone la base).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Trazabilidad:</w:t>
      </w:r>
      <w:r>
        <w:t xml:space="preserve"> cada cambio de estado queda en el historial inalterable, escrito por la propia base en la misma transacción.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Defensa en capas:</w:t>
      </w:r>
      <w:r>
        <w:t xml:space="preserve"> TLS 1.3 → nginx → Django/DRF → PDP → RLS en PostgreSQL → contenedores rootless sin privilegios.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Verificable:</w:t>
      </w:r>
      <w:r>
        <w:t xml:space="preserve"> la matriz y el simulador salen del motor real; hay 354 pruebas del backend, 130 del frontend (con accesibilidad y seguridad del código) y pruebas contra la base real.</w:t>
      </w:r>
    </w:p>
    <w:p>
      <w:pPr>
        <w:pStyle w:val="Heading1"/>
        <w:keepNext/>
      </w:pPr>
      <w:r>
        <w:t xml:space="preserve">Preguntas que puede hacer el profesor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|P|r|e|g|u|n|t|a|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|R|e|s|p|u|e|s|t|a| |c|o|r|t|a|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|¿|Q|u|i|é|n| |e|s| |e|l| |a|d|m|i|n|i|s|t|r|a|d|o|r|?|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|N|o| |e|x|i|s|t|e|:| |5| |r|o|l|e|s| |d|e| |p|l|a|t|a|f|o|r|m|a|,| |c|a|d|a| |u|n|o| |c|o|n| |s|u| |á|r|e|a| |y| |c|o|n|t|r|o|l| |d|u|a|l| |e|n| |l|a|s| |a|l|t|a|s|;| |e|l| |a|u|d|i|t|o|r| |s|o|l|o| |l|e|e|.| |E|l| |s|u|p|e|r|u|s|u|a|r|i|o| |d|e| |P|o|s|t|g|r|e|S|Q|L| |e|x|i|s|t|e| |p|e|r|o| |n|o| |t|i|e|n|e| |c|o|n|t|r|a|s|e|ñ|a| |y| |s|e| |r|e|c|h|a|z|a| |p|o|r| |r|e|d|.|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|¿|Q|u|é| |p|a|s|a| |s|i| |e|l| |b|a|c|k|e|n|d| |t|i|e|n|e| |u|n| |e|r|r|o|r|?|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 |b|a|s|e| |s|i|g|u|e| |p|r|o|t|e|g|i|e|n|d|o|:| |R|L|S| |f|i|l|t|r|a| |f|i|l|a|s|,| |l|o|s| |d|i|s|p|a|r|a|d|o|r|e|s| |v|a|l|i|d|a|n| |t|r|a|n|s|i|c|i|o|n|e|s| |y| |e|l| |r|e|g|i|s|t|r|o| |e|s| |d|e| |s|o|l|o| |i|n|s|e|r|c|i|ó|n|.|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|¿|D|ó|n|d|e| |s|e| |g|u|a|r|d|a| |e|l| |s|e|c|r|e|t|o| |d|e|l| |s|e|g|u|n|d|o| |f|a|c|t|o|r|?|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|C|i|f|r|a|d|o| |(|F|e|r|n|e|t|)| |e|n| |l|a| |b|a|s|e|;| |s|o|l|o| |s|e| |m|u|e|s|t|r|a| |u|n|a| |v|e|z|,| |a|l| |a|c|t|i|v|a|r|l|o|.|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|¿|Y| |s|i| |m|e| |r|o|b|a|n| |e|l| |t|o|k|e|n|?|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|D|u|r|a| |1|0| |m|i|n|u|t|o|s|;| |e|l| |d|e| |r|e|n|o|v|a|c|i|ó|n| |e|s| |d|e| |u|n| |s|o|l|o| |u|s|o| |y| |s|u| |r|e|u|s|o| |r|e|v|o|c|a| |l|a| |s|e|s|i|ó|n|.|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|¿|S|e| |p|u|e|d|e| |b|o|r|r|a|r| |o| |a|l|t|e|r|a|r| |l|a| |a|u|d|i|t|o|r|í|a|?|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|N|o|:| |s|i|n| |p|e|r|m|i|s|o|s| |p|a|r|a| |n|i|n|g|ú|n| |r|o|l| |q|u|e| |s|e| |c|o|n|e|c|t|a|,| |y| |d|i|s|p|a|r|a|d|o|r|e|s| |q|u|e| |l|o| |r|e|c|h|a|z|a|n| |i|n|c|l|u|s|o| |p|a|r|a| |e|l| |d|u|e|ñ|o| |d|e| |l|a| |t|a|b|l|a|.|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|¿|P|o|r| |q|u|é| |h|a|y| |u|n| |c|h|e|c|k|p|o|i|n|t| |e|n| |P|H|P|?|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 |e|l| |e|n|t|r|e|g|a|b|l|e| |i|n|t|e|r|m|e|d|i|o|;| |s|e| |r|e|t|i|r|a| |e|n| |l|a| |s|e|m|a|n|a| |6| |c|u|a|n|d|o| |e|l| |f|r|o|n|t|e|n|d| |e|n| |R|e|a|c|t| |l|o| |r|e|e|m|p|l|a|z|a|.|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Si algo falla en vivo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|S|í|n|t|o|m|a|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|C|a|u|s|a| |p|r|o|b|a|b|l|e|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|S|o|l|u|c|i|ó|n|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 |p|á|g|i|n|a| |n|o| |a|b|r|e|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|V|M|1| |a|p|a|g|a|d|a| |o| |p|o|d| |c|a|í|d|o|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|E|n| |V|M|1|:| ||s|u|d|o| |-|H| |-|u| |s|i|g|e|t| |b|a|s|h| |-|l|c| |"|e|x|p|o|r|t| |X|D|G|_|R|U|N|T|I|M|E|_|D|I|R|=|/|r|u|n|/|u|s|e|r|/|1|0|0|9|;| |s|y|s|t|e|m|c|t|l| |-|-|u|s|e|r| |s|t|a|r|t| |s|i|g|e|t|-|p|o|d|.|s|e|r|v|i|c|e| |s|i|g|e|t|-|b|a|c|k|e|n|d|.|s|e|r|v|i|c|e| |s|i|g|e|t|-|n|g|i|n|x|.|s|e|r|v|i|c|e|"||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|«|U|s|u|a|r|i|o|,| |c|o|n|t|r|a|s|e|ñ|a| |o| |c|ó|d|i|g|o| |i|n|c|o|r|r|e|c|t|o|s|»| |c|o|n| |t|o|d|o| |c|o|r|r|e|c|t|o|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|C|ó|d|i|g|o| |y|a| |u|s|a|d|o| |o| |r|e|l|o|j| |d|e|s|f|a|s|a|d|o|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|E|s|p|e|r|a|r| |a|l| |s|i|g|u|i|e|n|t|e| |c|ó|d|i|g|o| |(|3|0| |s|)|;| |r|e|v|i|s|a|r| ||d|a|t|e|| |e|n| |l|a|s| |V|M|s|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|C|u|e|n|t|a| |b|l|o|q|u|e|a|d|a|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|3| |i|n|t|e|n|t|o|s| |f|a|l|l|i|d|o|s|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 |d|e|s|b|l|o|q|u|e|a| |s|o|l|a| |a| |l|o|s| |5| |m|i|n|u|t|o|s|;| |u|s|a|r| |o|t|r|a| |c|u|e|n|t|a| |d|e|l| |m|i|s|m|o| |r|o|l| |m|i|e|n|t|r|a|s| |t|a|n|t|o|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|A|p|a|r|e|c|e| |«|C|o|n|f|i|r|m|a| |q|u|e| |e|r|e|s| |t|ú|»|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|S|e|g|u|n|d|o| |f|a|c|t|o|r| |c|o|n| |m|á|s| |d|e| |1|5| |m|i|n|u|t|o|s|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 |l|o| |e|s|p|e|r|a|d|o|:| |i|n|g|r|e|s|a|r| |u|n| |c|ó|d|i|g|o| |n|u|e|v|o|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|5|0|0| |o| |«|N|o| |s|e| |p|u|d|o| |c|o|n|e|c|t|a|r|»| |a|l| |l|i|s|t|a|r|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|C|o|n|t|e|n|e|d|o|r| |d|e| |l|a| |b|a|s|e| |c|a|í|d|o| |e|n| |V|M|2|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||s|u|d|o| |-|H| |-|u| |s|i|g|e|t| |b|a|s|h| |-|l|c| |"|e|x|p|o|r|t| |X|D|G|_|R|U|N|T|I|M|E|_|D|I|R|=|/|r|u|n|/|u|s|e|r|/|1|0|0|9|;| |s|y|s|t|e|m|c|t|l| |-|-|u|s|e|r| |s|t|a|r|t| |s|i|g|e|t|-|p|o|s|t|g|r|e|s|.|s|e|r|v|i|c|e|"||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|E|l| |n|a|v|e|g|a|d|o|r| |a|v|i|s|a| |«|c|o|n|e|x|i|ó|n| |n|o| |p|r|i|v|a|d|a|»|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 |i|n|t|e|r|n|a| |s|i|n| |i|n|s|t|a|l|a|r|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|I|n|s|t|a|l|a|r|l|a| |(|l|i|s|t|a|,| |p|u|n|t|o| |3|)| |o| |c|o|n|t|i|n|u|a|r| |d|e| |t|o|d|o|s| |m|o|d|o|s|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|T|o|d|o| |c|a|e| |a| |l|a| |v|e|z|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|V|M|s| |a|p|a|g|a|d|a|s| |o| |s|i|n| |r|e|d|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|P|l|a|n| |B|:| ||?|m|o|c|k|| |d|e|l| |f|r|o|n|t|e|n|d| |c|o|n| |d|a|t|o|s| |d|e| |e|j|e|m|p|l|o|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Limpieza posterior</w:t>
      </w:r>
    </w:p>
    <w:p>
      <w:pPr>
        <w:spacing w:after="140" w:line="288"/>
        <w:jc w:val="both"/>
      </w:pPr>
      <w:r>
        <w:t xml:space="preserve">Las cuentas de demostración son solo del laboratorio: antes de cualquier uso real hay que suspenderlas (el operador de seguridad dispone de esa acción) y rotar los secretos. El registro de auditoría es inalterable y conserva todo lo hecho durante la demostración. Después de la presentación: aplicar las actualizaciones pendientes y reiniciar ambas VMs para comprobar que todo arranca solo.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Ciberseguridad 5 — UTP · Grupo Ciber5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SIGET — Guion de la demostración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DC3E6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SIGET — Guion de la demostración</dc:title>
  <dc:subject>Ciberseguridad 5 - UTP</dc:subject>
  <dc:creator>Jeison Vásquez</dc:creator>
  <dc:description>Grupo Ciber5</dc:description>
  <cp:lastModifiedBy>Jeison Vásquez</cp:lastModifiedBy>
  <cp:revision>1</cp:revision>
  <dcterms:created xsi:type="dcterms:W3CDTF">2026-10-22T03:49:37.765Z</dcterms:created>
  <dcterms:modified xsi:type="dcterms:W3CDTF">2026-10-22T03:49:37.766Z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