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0"/>
          <w:szCs w:val="30"/>
        </w:rPr>
        <w:t xml:space="preserve">Arquitectura Zero Trust: diseño de seguridad, roles y permisos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1. Qué deseo hacer y a quién deseo llegar</w:t>
      </w:r>
    </w:p>
    <w:p>
      <w:pPr>
        <w:pStyle w:val="Heading2"/>
        <w:keepNext/>
      </w:pPr>
      <w:r>
        <w:t xml:space="preserve">1.1 ¿Qué deseo hacer?</w:t>
      </w:r>
    </w:p>
    <w:p>
      <w:pPr>
        <w:spacing w:after="140" w:line="288"/>
        <w:jc w:val="both"/>
      </w:pPr>
      <w:r>
        <w:t xml:space="preserve">Construir un sistema donde </w:t>
      </w:r>
      <w:r>
        <w:rPr>
          <w:b/>
          <w:bCs/>
        </w:rPr>
        <w:t xml:space="preserve">cada actuación sobre un trámite ante el Estado queda registrada de forma que nadie pueda alterarla, ni siquiera quien opera la plataforma</w:t>
      </w:r>
      <w:r>
        <w:t xml:space="preserve">, con plazos exigibles y escalamiento automático cuando se vencen. La seguridad no es un adorno: es el mecanismo que hace confiable la trazabilidad. Como SIGET integra trámites de varias instituciones, el desafío central es que </w:t>
      </w:r>
      <w:r>
        <w:rPr>
          <w:b/>
          <w:bCs/>
        </w:rPr>
        <w:t xml:space="preserve">ninguna institución pueda ver ni modificar lo que pertenece a otra</w:t>
      </w:r>
      <w:r>
        <w:t xml:space="preserve">, y que cada decisión de acceso se tome y se registre en cada petición (Zero Trust).</w:t>
      </w:r>
    </w:p>
    <w:p>
      <w:pPr>
        <w:pStyle w:val="Heading2"/>
        <w:keepNext/>
      </w:pPr>
      <w:r>
        <w:t xml:space="preserve">1.2 ¿A quién deseo llegar?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3"/>
        <w:gridCol w:w="3323"/>
        <w:gridCol w:w="3324"/>
      </w:tblGrid>
      <w:tr>
        <w:trPr>
          <w:cantSplit/>
          <w:tblHeader/>
        </w:trPr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necesita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le damos</w:t>
            </w:r>
          </w:p>
        </w:tc>
      </w:tr>
      <w:tr>
        <w:trPr>
          <w:cantSplit/>
          <w:tblHeader w:val="off"/>
        </w:trPr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Ciudadanos y empresas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Saber en qué etapa va su trámite, quién lo atiende y desde cuándo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 estado con acceso solo a lo propio</w:t>
            </w:r>
          </w:p>
        </w:tc>
      </w:tr>
      <w:tr>
        <w:trPr>
          <w:cantSplit/>
          <w:tblHeader w:val="off"/>
        </w:trPr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Funcionarios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Gestionar los trámites de su institución con reglas claras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Cola de trabajo y cambios de estado validados</w:t>
            </w:r>
          </w:p>
        </w:tc>
      </w:tr>
      <w:tr>
        <w:trPr>
          <w:cantSplit/>
          <w:tblHeader w:val="off"/>
        </w:trPr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Supervisores e instituciones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Plazos exigibles y detección de trámites estancados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SLA, escalamiento automático y gestión de su personal</w:t>
            </w:r>
          </w:p>
        </w:tc>
      </w:tr>
      <w:tr>
        <w:trPr>
          <w:cantSplit/>
          <w:tblHeader w:val="off"/>
        </w:trPr>
        <w:tc>
          <w:tcPr>
            <w:tcW w:type="dxa" w:w="2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Entes de control (ANTAI, Contraloría, Defensoría)</w:t>
            </w:r>
          </w:p>
        </w:tc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 confiable para rendir cuentas</w:t>
            </w:r>
          </w:p>
        </w:tc>
        <w:tc>
          <w:tcPr>
            <w:tcW w:type="dxa" w:w="3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 de auditor con lectura de eventos inalterables y de las decisiones de acceso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Usuario principal: el </w:t>
      </w:r>
      <w:r>
        <w:rPr>
          <w:b/>
          <w:bCs/>
        </w:rPr>
        <w:t xml:space="preserve">ciudadano</w:t>
      </w:r>
      <w:r>
        <w:t xml:space="preserve"> (a quién deseamos llegar). Amenaza principal a controlar: la </w:t>
      </w:r>
      <w:r>
        <w:rPr>
          <w:b/>
          <w:bCs/>
        </w:rPr>
        <w:t xml:space="preserve">manipulación o el acceso indebido desde dentro de las instituciones</w:t>
      </w:r>
      <w:r>
        <w:t xml:space="preserve">. Esto diferencia a SIGET de las plataformas de consulta existentes (ver antecedentes.md).</w:t>
      </w:r>
    </w:p>
    <w:p/>
    <w:p>
      <w:pPr>
        <w:pStyle w:val="Heading1"/>
        <w:keepNext/>
      </w:pPr>
      <w:r>
        <w:t xml:space="preserve">2. Qué significa Zero Trust en SIGET</w:t>
      </w:r>
    </w:p>
    <w:p>
      <w:pPr>
        <w:spacing w:after="140" w:line="288"/>
        <w:jc w:val="both"/>
      </w:pPr>
      <w:r>
        <w:t xml:space="preserve">Se sigue el modelo de NIST SP 800-207 (Rose et al., 2020): nunca confiar por ubicación de red, verificar de forma explícita cada petición y asumir que ya hay una brecha.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aplica en SIGET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explícitamente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Identidad (contraseña Argon2 + MFA), token JWT de vida corta y contexto evaluado en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petición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Mínimo privilegio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Permisos por (institución, rol); el rol de aplicación en la base solo tiene los permisos necesarios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Asumir la brecha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Segmentación de red y de contenedores, dos barreras independientes de aislamiento de datos, auditoría inalterable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Denegar por defecto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ninguna política permite la acción, se niega; si el motor de decisión falla, se niega (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fail closed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Separación de funciones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Quien administra la plataforma no ve trámites; nadie modifica la auditoría</w:t>
            </w:r>
          </w:p>
        </w:tc>
      </w:tr>
      <w:tr>
        <w:trPr>
          <w:cantSplit/>
          <w:tblHeader w:val="off"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superusuario</w:t>
            </w:r>
          </w:p>
        </w:tc>
        <w:tc>
          <w:tcPr>
            <w:tcW w:type="dxa" w:w="6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Ninguna pieza opera como superusuario: postgres solo hace el arranque inicial; los objetos son de siget_owner y la aplicación usa app_role, sin BYPASSRLS ni capacidad de crear roles. Ver roles-permisos-bd.md</w:t>
            </w:r>
          </w:p>
        </w:tc>
      </w:tr>
    </w:tbl>
    <w:p>
      <w:pPr>
        <w:spacing w:after="120"/>
      </w:pPr>
    </w:p>
    <w:p/>
    <w:p>
      <w:pPr>
        <w:pStyle w:val="Heading1"/>
        <w:keepNext/>
      </w:pPr>
      <w:r>
        <w:t xml:space="preserve">3. Modelo de identidad y atributos</w:t>
      </w:r>
    </w:p>
    <w:p>
      <w:pPr>
        <w:spacing w:after="140" w:line="288"/>
        <w:jc w:val="both"/>
      </w:pPr>
      <w:r>
        <w:t xml:space="preserve">La autorización es </w:t>
      </w:r>
      <w:r>
        <w:rPr>
          <w:b/>
          <w:bCs/>
        </w:rPr>
        <w:t xml:space="preserve">ABAC</w:t>
      </w:r>
      <w:r>
        <w:t xml:space="preserve"> (control de acceso basado en atributos, NIST SP 800-162, Hu et al., 2014). El rol es un atributo más; esto permite que una capa de roles por institución sea la base y se enriquezca con reglas contextuales.</w:t>
      </w:r>
    </w:p>
    <w:p>
      <w:pPr>
        <w:pStyle w:val="Heading2"/>
        <w:keepNext/>
      </w:pPr>
      <w:r>
        <w:t xml:space="preserve">3.1 Sujeto (quién actúa)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nivel_aseguramiento: bajo, medio o alto. Refleja cuánta confianza hay en la identidad (ver 3.5).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mfa_verificado_en: momento del último segundo factor.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membresías: lista de (institución, rol). Una persona puede tener roles distintos en instituciones distintas.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estado_cuenta: activa, bloqueada, suspendida.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Roles de plataforma (sin acceso a trámites): operador de plataforma y auditor.</w:t>
      </w:r>
    </w:p>
    <w:p>
      <w:pPr>
        <w:pStyle w:val="Heading2"/>
        <w:keepNext/>
      </w:pPr>
      <w:r>
        <w:t xml:space="preserve">3.2 Recurso (sobre qué actúa)</w:t>
      </w:r>
    </w:p>
    <w:p>
      <w:pPr>
        <w:spacing w:after="140" w:line="288"/>
        <w:jc w:val="both"/>
      </w:pPr>
      <w:r>
        <w:t xml:space="preserve">Trámite: institución_dueña, tipo_trámite, estado, solicitante, funcionario_asignado, sensibilidad y vencido.</w:t>
      </w:r>
    </w:p>
    <w:p>
      <w:pPr>
        <w:pStyle w:val="Heading2"/>
        <w:keepNext/>
      </w:pPr>
      <w:r>
        <w:t xml:space="preserve">3.3 Acción</w:t>
      </w:r>
    </w:p>
    <w:p>
      <w:pPr>
        <w:spacing w:after="140" w:line="288"/>
        <w:jc w:val="both"/>
      </w:pPr>
      <w:r>
        <w:t xml:space="preserve">Ver, crear, cambiar estado, reasignar, escalar, consultar auditoría, administrar catálogo y administrar usuarios.</w:t>
      </w:r>
    </w:p>
    <w:p>
      <w:pPr>
        <w:pStyle w:val="Heading2"/>
        <w:keepNext/>
      </w:pPr>
      <w:r>
        <w:t xml:space="preserve">3.4 Entorno (en qué contexto)</w:t>
      </w:r>
    </w:p>
    <w:p>
      <w:pPr>
        <w:spacing w:after="140" w:line="288"/>
        <w:jc w:val="both"/>
      </w:pPr>
      <w:r>
        <w:t xml:space="preserve">MFA reciente (por ejemplo, ≤15 minutos para cambiar estados), red de origen, hora, intentos fallidos recientes y estado de la cuenta.</w:t>
      </w:r>
    </w:p>
    <w:p>
      <w:pPr>
        <w:pStyle w:val="Heading2"/>
        <w:keepNext/>
      </w:pPr>
      <w:r>
        <w:t xml:space="preserve">3.5 Identidad ciudadana y nivel de aseguramiento</w:t>
      </w:r>
    </w:p>
    <w:p>
      <w:pPr>
        <w:spacing w:after="140" w:line="288"/>
        <w:jc w:val="both"/>
      </w:pPr>
      <w:r>
        <w:t xml:space="preserve">El ciudadano se registra con correo y contraseña (Argon2) y activa TOTP. </w:t>
      </w:r>
      <w:r>
        <w:rPr>
          <w:b/>
          <w:bCs/>
        </w:rPr>
        <w:t xml:space="preserve">La identidad no se verifica contra el Registro Civil</w:t>
      </w:r>
      <w:r>
        <w:t xml:space="preserve">: el diseño lo declara con el atributo nivel_aseguramiento y lo usa en las políticas (un trámite sensible puede exigir nivel medio o alto). Es el punto de integración previsto con la identidad real del Estado en una fase futura.</w:t>
      </w:r>
    </w:p>
    <w:p/>
    <w:p>
      <w:pPr>
        <w:pStyle w:val="Heading1"/>
        <w:keepNext/>
      </w:pPr>
      <w:r>
        <w:t xml:space="preserve">4. Arquitectura de capas</w:t>
      </w:r>
    </w:p>
    <w:p>
      <w:pPr>
        <w:spacing w:after="140" w:line="288"/>
        <w:jc w:val="both"/>
      </w:pPr>
      <w:r>
        <w:t xml:space="preserve">Cada capa asume que la anterior ya fue vulnerada.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cantSplit/>
          <w:tblHeader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principal</w:t>
            </w:r>
          </w:p>
        </w:tc>
      </w:tr>
      <w:tr>
        <w:trPr>
          <w:cantSplit/>
          <w:tblHeader w:val="off"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Borde y red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nginx con TLS, HSTS y CSP; firewalld; red interna 192.168.100.0/24; Tailscale para el equipo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solo puerto expuesto; la base solo acepta conexiones desde la IP de la aplicación</w:t>
            </w:r>
          </w:p>
        </w:tc>
      </w:tr>
      <w:tr>
        <w:trPr>
          <w:cantSplit/>
          <w:tblHeader w:val="off"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Contenedores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Podman rootless gestionado con Quadlet; nginx, Django y PostgreSQL en contenedores separados; SELinux enforcing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root, mínimos puertos y volúmenes por contenedor</w:t>
            </w:r>
          </w:p>
        </w:tc>
      </w:tr>
      <w:tr>
        <w:trPr>
          <w:cantSplit/>
          <w:tblHeader w:val="off"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PEP y PDP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Middleware de Django (PEP) y módulo de políticas ABAC (PDP)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 petición se evalúa; se verifica JWT y MFA; la decisión se registra</w:t>
            </w:r>
          </w:p>
        </w:tc>
      </w:tr>
      <w:tr>
        <w:trPr>
          <w:cantSplit/>
          <w:tblHeader w:val="off"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Datos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con TLS; rol app_role mínimo; Row Level Security por institución; EventoAuditoria de solo inserción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 barreras independientes de aislamiento; auditoría inalterable</w:t>
            </w:r>
          </w:p>
        </w:tc>
      </w:tr>
      <w:tr>
        <w:trPr>
          <w:cantSplit/>
          <w:tblHeader w:val="off"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Secretos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podman secret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Nada de .env ni contraseñas en el código o el repositorio</w:t>
            </w:r>
          </w:p>
        </w:tc>
      </w:tr>
      <w:tr>
        <w:trPr>
          <w:cantSplit/>
          <w:tblHeader w:val="off"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Detección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decisiones del PDP, bloqueo por intentos fallidos, escalamiento de SLA con systemd timer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Visibilidad de lo ocurrido y de lo denegado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4.1 Flujo de decisión por petición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nginx termina TLS y aplica límites de tasa.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El PEP extrae y valida el JWT (firma, expiración) y el estado de la cuenta.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El PEP arma el contexto: sujeto, recurso, acción y entorno.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El PDP evalúa las políticas. Si ninguna permite, deniega. Si falla, deniega.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Se registra la decisión (permitida o negada) con los atributos usados.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Si se permite, la aplicación abre la sesión de base con las instituciones autorizadas del sujeto y PostgreSQL aplica RLS.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El cambio de estado y su evento de auditoría se guardan en la misma transacción.</w:t>
      </w:r>
    </w:p>
    <w:p/>
    <w:p>
      <w:pPr>
        <w:pStyle w:val="Heading1"/>
        <w:keepNext/>
      </w:pPr>
      <w:r>
        <w:t xml:space="preserve">5. Matriz de roles y permisos</w:t>
      </w:r>
    </w:p>
    <w:p>
      <w:pPr>
        <w:spacing w:after="140" w:line="288"/>
        <w:jc w:val="both"/>
      </w:pPr>
      <w:r>
        <w:t xml:space="preserve">Todo lo que no está permitido queda denegado.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3873"/>
        <w:gridCol w:w="3874"/>
      </w:tblGrid>
      <w:tr>
        <w:trPr>
          <w:cantSplit/>
          <w:tblHeader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Puede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Condiciones</w:t>
            </w:r>
          </w:p>
        </w:tc>
      </w:tr>
      <w:tr>
        <w:trPr>
          <w:cantSplit/>
          <w:tblHeader w:val="off"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Ciudadano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 trámite; ver y adjuntar documentos a sus propios trámites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los suyos; MFA activo</w:t>
            </w:r>
          </w:p>
        </w:tc>
      </w:tr>
      <w:tr>
        <w:trPr>
          <w:cantSplit/>
          <w:tblHeader w:val="off"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 trámites de su institución; cambiar estado; pedir subsanación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Misma institución; trámite asignado a él o en su cola; MFA ≤15 min; transición válida</w:t>
            </w:r>
          </w:p>
        </w:tc>
      </w:tr>
      <w:tr>
        <w:trPr>
          <w:cantSplit/>
          <w:tblHeader w:val="off"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 del funcionario; reasignar; atender escalados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su institución; MFA ≤15 min</w:t>
            </w:r>
          </w:p>
        </w:tc>
      </w:tr>
      <w:tr>
        <w:trPr>
          <w:cantSplit/>
          <w:tblHeader w:val="off"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Coordinador institucional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Gestionar usuarios, membresías, tipos de trámite y SLA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su institución; no cambia estados ni lee documentos</w:t>
            </w:r>
          </w:p>
        </w:tc>
      </w:tr>
      <w:tr>
        <w:trPr>
          <w:cantSplit/>
          <w:tblHeader w:val="off"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de plataforma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de instituciones, infraestructura, catálogo base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acceso a trámites ni a documentos</w:t>
            </w:r>
          </w:p>
        </w:tc>
      </w:tr>
      <w:tr>
        <w:trPr>
          <w:cantSplit/>
          <w:tblHeader w:val="off"/>
        </w:trPr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</w:t>
            </w:r>
          </w:p>
        </w:tc>
        <w:tc>
          <w:tcPr>
            <w:tcW w:type="dxa" w:w="3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Leer eventos de auditoría y decisiones del PDP</w:t>
            </w:r>
          </w:p>
        </w:tc>
        <w:tc>
          <w:tcPr>
            <w:tcW w:type="dxa" w:w="3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lectura, transversal; nivel de aseguramiento alto y MFA obligatorio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5.1 Reglas cruzadas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Un funcionario no puede cambiar el estado de un trámite que él mismo creó como ciudadano (conflicto de interés).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Nadie se otorga permisos a sí mismo: las membresías las asigna otro rol y todo cambio queda en la auditoría.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Los estados finales (Aprobado, Rechazado) no admiten más transiciones.</w:t>
      </w:r>
    </w:p>
    <w:p/>
    <w:p>
      <w:pPr>
        <w:pStyle w:val="Heading1"/>
        <w:keepNext/>
      </w:pPr>
      <w:r>
        <w:t xml:space="preserve">6. Mapa de instituciones</w:t>
      </w:r>
    </w:p>
    <w:p>
      <w:pPr>
        <w:spacing w:after="140" w:line="288"/>
        <w:jc w:val="both"/>
      </w:pPr>
      <w:r>
        <w:t xml:space="preserve">El motor es genérico: agregar una institución o un trámite es insertar datos de catálogo, no escribir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2"/>
        <w:gridCol w:w="5086"/>
        <w:gridCol w:w="1222"/>
      </w:tblGrid>
      <w:tr>
        <w:trPr>
          <w:cantSplit/>
          <w:tblHeader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Institución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Trámite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cantSplit/>
          <w:tblHeader w:val="off"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Alcaldía (Municipio de Panamá)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Permiso de Construcción Municipal (caso de prueba)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off"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Ministerio Público / 311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Solicitud o denuncia ciudadana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off"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AMPYME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empresarial simplificado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off"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MINSA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Trámite de demostración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Demostración</w:t>
            </w:r>
          </w:p>
        </w:tc>
      </w:tr>
      <w:tr>
        <w:trPr>
          <w:cantSplit/>
          <w:tblHeader w:val="off"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MOP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Trámite de demostración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Demostración</w:t>
            </w:r>
          </w:p>
        </w:tc>
      </w:tr>
      <w:tr>
        <w:trPr>
          <w:cantSplit/>
          <w:tblHeader w:val="off"/>
        </w:trPr>
        <w:tc>
          <w:tcPr>
            <w:tcW w:type="dxa" w:w="3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MiAmbiente</w:t>
            </w:r>
          </w:p>
        </w:tc>
        <w:tc>
          <w:tcPr>
            <w:tcW w:type="dxa" w:w="5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Trámite de demostración</w:t>
            </w:r>
          </w:p>
        </w:tc>
        <w:tc>
          <w:tcPr>
            <w:tcW w:type="dxa" w:w="1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Demostración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Las tres de demostración sirven para probar en vivo que un funcionario de una institución no accede a nada de otra.</w:t>
      </w:r>
    </w:p>
    <w:p/>
    <w:p>
      <w:pPr>
        <w:pStyle w:val="Heading1"/>
        <w:keepNext/>
      </w:pPr>
      <w:r>
        <w:t xml:space="preserve">7. Modelo de amenazas (STRIDE)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3094"/>
        <w:gridCol w:w="4530"/>
      </w:tblGrid>
      <w:tr>
        <w:trPr>
          <w:cantSplit/>
          <w:tblHeader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off"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Suplantación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Robo de credenciales de un funcionario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Argon2, MFA, JWT de vida corta, bloqueo tras 3 intentos</w:t>
            </w:r>
          </w:p>
        </w:tc>
      </w:tr>
      <w:tr>
        <w:trPr>
          <w:cantSplit/>
          <w:tblHeader w:val="off"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Manipulación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Editar un evento para ocultar un retraso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Auditoría de solo inserción, trigger, misma transacción</w:t>
            </w:r>
          </w:p>
        </w:tc>
      </w:tr>
      <w:tr>
        <w:trPr>
          <w:cantSplit/>
          <w:tblHeader w:val="off"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Repudio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"Yo no cambié ese estado"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evento guarda actor, atributos, hora y decisión del PDP</w:t>
            </w:r>
          </w:p>
        </w:tc>
      </w:tr>
      <w:tr>
        <w:trPr>
          <w:cantSplit/>
          <w:tblHeader w:val="off"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Fuga de información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Funcionario del MOP ve trámites del MINSA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ABAC más RLS, dos barreras independientes</w:t>
            </w:r>
          </w:p>
        </w:tc>
      </w:tr>
      <w:tr>
        <w:trPr>
          <w:cantSplit/>
          <w:tblHeader w:val="off"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Denegación de servicio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Ráfaga de peticiones al login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Límites de tasa en nginx y en la aplicación</w:t>
            </w:r>
          </w:p>
        </w:tc>
      </w:tr>
      <w:tr>
        <w:trPr>
          <w:cantSplit/>
          <w:tblHeader w:val="off"/>
        </w:trPr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Escalada de privilegios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Auto-asignarse un rol</w:t>
            </w:r>
          </w:p>
        </w:tc>
        <w:tc>
          <w:tcPr>
            <w:tcW w:type="dxa" w:w="4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 membresías las crea otro rol, con auditoría</w:t>
            </w:r>
          </w:p>
        </w:tc>
      </w:tr>
    </w:tbl>
    <w:p>
      <w:pPr>
        <w:spacing w:after="120"/>
      </w:pPr>
    </w:p>
    <w:p/>
    <w:p>
      <w:pPr>
        <w:pStyle w:val="Heading1"/>
        <w:keepNext/>
      </w:pPr>
      <w:r>
        <w:t xml:space="preserve">8. Manejo de fallos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Si el PDP no responde o hay un error: </w:t>
      </w:r>
      <w:r>
        <w:rPr>
          <w:b/>
          <w:bCs/>
        </w:rPr>
        <w:t xml:space="preserve">se deniega</w:t>
      </w:r>
      <w:r>
        <w:t xml:space="preserve"> (fail closed).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Si falla el registro de auditoría, el cambio de estado se revierte: no hay acción sin evidencia.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Un token vencido o una cuenta bloqueada se rechazan antes de llegar al PDP.</w:t>
      </w:r>
    </w:p>
    <w:p/>
    <w:p>
      <w:pPr>
        <w:pStyle w:val="Heading1"/>
        <w:keepNext/>
      </w:pPr>
      <w:r>
        <w:t xml:space="preserve">9. Verificación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Pruebas automáticas de la matriz: por cada fila, un caso permitido y uno denegado.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Pruebas de aislamiento entre instituciones contra la base real, con RLS activo.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Intento de UPDATE y DELETE sobre EventoAuditoria, que debe fallar.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Demostración en vivo: un funcionario del MOP intenta abrir un trámite del MINSA, recibe la negación y queda el registro en la auditoría.</w:t>
      </w:r>
    </w:p>
    <w:p/>
    <w:p>
      <w:pPr>
        <w:pStyle w:val="Heading1"/>
        <w:keepNext/>
      </w:pPr>
      <w:r>
        <w:t xml:space="preserve">10. Límites declarados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La identidad ciudadana no está verificada contra el Registro Civil.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El laboratorio no tiene servidor de correo ni SIEM real.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El PDP integrado en Django es migrable a un motor externo (OPA) en una fase futura; la interfaz se diseña para que el cambio no sea una reescritura.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Los plazos (SLA) del catálogo son parámetros de diseño, no plazos legales.</w:t>
      </w:r>
    </w:p>
    <w:p/>
    <w:p>
      <w:pPr>
        <w:pStyle w:val="Heading1"/>
        <w:keepNext/>
      </w:pPr>
      <w:r>
        <w:t xml:space="preserve">11. Alternativas consideradas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8"/>
        <w:gridCol w:w="911"/>
        <w:gridCol w:w="4971"/>
      </w:tblGrid>
      <w:tr>
        <w:trPr>
          <w:cantSplit/>
          <w:tblHeader/>
        </w:trPr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Enfoque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  <w:tblHeader w:val="off"/>
        </w:trPr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PDP dentro de Django más RLS en PostgreSQL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Elegido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Pocas piezas, probable en 10 semanas, defensa en profundidad real</w:t>
            </w:r>
          </w:p>
        </w:tc>
      </w:tr>
      <w:tr>
        <w:trPr>
          <w:cantSplit/>
          <w:tblHeader w:val="off"/>
        </w:trPr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PDP externo con OPA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futura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Separación PEP/PDP más fiel, pero una pieza más que operar en VMs con poca memoria y un lenguaje nuevo para el equipo</w:t>
            </w:r>
          </w:p>
        </w:tc>
      </w:tr>
      <w:tr>
        <w:trPr>
          <w:cantSplit/>
          <w:tblHeader w:val="off"/>
        </w:trPr>
        <w:tc>
          <w:tcPr>
            <w:tcW w:type="dxa" w:w="3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RLS como autoridad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Descartado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 reglas contextuales (MFA reciente, nivel de aseguramiento) son incómodas en SQL y se auditan peor</w:t>
            </w:r>
          </w:p>
        </w:tc>
      </w:tr>
    </w:tbl>
    <w:p>
      <w:pPr>
        <w:spacing w:after="120"/>
      </w:pPr>
    </w:p>
    <w:p/>
    <w:p>
      <w:pPr>
        <w:pStyle w:val="Heading1"/>
        <w:keepNext/>
      </w:pPr>
      <w:r>
        <w:t xml:space="preserve">12. Próximos pasos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Especificación propia del motor ABAC: catálogo de atributos, lenguaje de políticas, interfaz del PDP y estrategia de implementación por capas (primero membresías por institución, luego reglas contextuales).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Plan de implementación del ABAC, integrado al cronograma de 10 semanas.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Actualizar docs/architecture/spec.md y plan.md con las decisiones de este diseño.</w:t>
      </w:r>
    </w:p>
    <w:p/>
    <w:p>
      <w:pPr>
        <w:pStyle w:val="Heading1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Hu, V. C., Ferraiolo, D., Kuhn, R., Schnitzer, A., Sandlin, K., Miller, R., &amp; Scarfone, K. (2014). </w:t>
      </w:r>
      <w:r>
        <w:rPr>
          <w:i/>
          <w:iCs/>
        </w:rPr>
        <w:t xml:space="preserve">Guide to attribute based access control (ABAC) definition and considerations</w:t>
      </w:r>
      <w:r>
        <w:t xml:space="preserve"> (NIST Special Publication 800-162). National Institute of Standards and Technology. https://doi.org/10.6028/NIST.SP.800-162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Rose, S., Borchert, O., Mitchell, S., &amp; Connelly, S. (2020). </w:t>
      </w:r>
      <w:r>
        <w:rPr>
          <w:i/>
          <w:iCs/>
        </w:rPr>
        <w:t xml:space="preserve">Zero trust architecture</w:t>
      </w:r>
      <w:r>
        <w:t xml:space="preserve"> (NIST Special Publication 800-207). National Institute of Standards and Technology. https://doi.org/10.6028/NIST.SP.800-207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Asamblea Nacional de Panamá. (2019). </w:t>
      </w:r>
      <w:r>
        <w:rPr>
          <w:i/>
          <w:iCs/>
        </w:rPr>
        <w:t xml:space="preserve">Ley 81 de 26 de marzo de 2019, sobre protección de datos personales</w:t>
      </w:r>
      <w:r>
        <w:t xml:space="preserve">. Gaceta Oficial de Panamá.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Asamblea Nacional de Panamá. (2012). </w:t>
      </w:r>
      <w:r>
        <w:rPr>
          <w:i/>
          <w:iCs/>
        </w:rPr>
        <w:t xml:space="preserve">Ley 83 de 9 de noviembre de 2012, que regula el uso de medios electrónicos para los trámites gubernamentales</w:t>
      </w:r>
      <w:r>
        <w:t xml:space="preserve"> (Gaceta Oficial N.° 27160). Legispan.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Asamblea Legislativa de Panamá. (2000). </w:t>
      </w:r>
      <w:r>
        <w:rPr>
          <w:i/>
          <w:iCs/>
        </w:rPr>
        <w:t xml:space="preserve">Ley 38 de 31 de julio de 2000, que regula el Procedimiento Administrativo General</w:t>
      </w:r>
      <w:r>
        <w:t xml:space="preserve"> (Gaceta Oficial N.° 24109). Justia Panamá.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PostgreSQL Global Development Group. (s. f.). </w:t>
      </w:r>
      <w:r>
        <w:rPr>
          <w:i/>
          <w:iCs/>
        </w:rPr>
        <w:t xml:space="preserve">Row security policies</w:t>
      </w:r>
      <w:r>
        <w:t xml:space="preserve">. En </w:t>
      </w:r>
      <w:r>
        <w:rPr>
          <w:i/>
          <w:iCs/>
        </w:rPr>
        <w:t xml:space="preserve">PostgreSQL documentation</w:t>
      </w:r>
      <w:r>
        <w:t xml:space="preserve">. https://www.postgresql.org/docs/16/ddl-rowsecurity.html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— Arquitectura Zero Trust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Arquitectura Zero Trust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2026-10-16T00:42:55.951Z</dcterms:created>
  <dcterms:modified xsi:type="dcterms:W3CDTF">2026-10-16T00:42:55.962Z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