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F5A" w:rsidRDefault="001E1F5A" w:rsidP="00E43595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E1F5A">
        <w:rPr>
          <w:rFonts w:cstheme="minorHAnsi"/>
          <w:b/>
          <w:sz w:val="24"/>
        </w:rPr>
        <w:tab/>
      </w:r>
      <w:r w:rsidRPr="001E1F5A">
        <w:rPr>
          <w:rFonts w:cstheme="minorHAnsi"/>
          <w:b/>
          <w:sz w:val="24"/>
        </w:rPr>
        <w:t>IEEE 1074</w:t>
      </w:r>
    </w:p>
    <w:p w:rsidR="001E1F5A" w:rsidRDefault="001E1F5A" w:rsidP="00E43595">
      <w:pPr>
        <w:jc w:val="both"/>
        <w:rPr>
          <w:rFonts w:cstheme="minorHAnsi"/>
        </w:rPr>
      </w:pP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 xml:space="preserve">El estándar IEEE </w:t>
      </w:r>
      <w:r w:rsidR="001E1F5A" w:rsidRPr="00E43595">
        <w:rPr>
          <w:rFonts w:cstheme="minorHAnsi"/>
        </w:rPr>
        <w:t>1074 proporciona</w:t>
      </w:r>
      <w:r w:rsidRPr="00E43595">
        <w:rPr>
          <w:rFonts w:cstheme="minorHAnsi"/>
        </w:rPr>
        <w:t xml:space="preserve"> el conjunto de actividades que constituyen</w:t>
      </w:r>
      <w:r w:rsidR="00E43595">
        <w:rPr>
          <w:rFonts w:cstheme="minorHAnsi"/>
        </w:rPr>
        <w:t xml:space="preserve"> </w:t>
      </w:r>
      <w:r w:rsidRPr="00E43595">
        <w:rPr>
          <w:rFonts w:cstheme="minorHAnsi"/>
        </w:rPr>
        <w:t>los procesos que son obligatorios para el desarrollo y mantenimiento de software. Se</w:t>
      </w:r>
      <w:r w:rsidR="00E43595">
        <w:rPr>
          <w:rFonts w:cstheme="minorHAnsi"/>
        </w:rPr>
        <w:t xml:space="preserve"> </w:t>
      </w:r>
      <w:r w:rsidRPr="00E43595">
        <w:rPr>
          <w:rFonts w:cstheme="minorHAnsi"/>
        </w:rPr>
        <w:t>encuentra organizado en 17 procesos, que comprenden un total de 65 actividades. Los</w:t>
      </w:r>
      <w:r w:rsidR="00E43595">
        <w:rPr>
          <w:rFonts w:cstheme="minorHAnsi"/>
        </w:rPr>
        <w:t xml:space="preserve"> </w:t>
      </w:r>
      <w:r w:rsidRPr="00E43595">
        <w:rPr>
          <w:rFonts w:cstheme="minorHAnsi"/>
        </w:rPr>
        <w:t>procesos se dividen en cuatro secciones lógicas o grupos de procesos.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El primer grupo está compuesto por el Proceso de Modelo del Ciclo de Vida del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Software que proporciona actividades que se necesitan para identificar los modelos de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ciclo de vida software candidatos y para seleccionar aquel modelo que se vaya a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utilizar en el proyecto.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El segundo grupo está conformado por el Proceso de Gestión del Proyecto, que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propone un conjunto de procesos de iniciación, supervisión y control del proyecto a lo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largo de ciclo de vida del software.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El tercer grupo está compuesto por los procesos Orientados al Desarrollo, los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Procesos de Pre-Desarrollo, los Procesos de Desarrollo y los Procesos de Post</w:t>
      </w:r>
      <w:r w:rsidR="001E1F5A">
        <w:rPr>
          <w:rFonts w:cstheme="minorHAnsi"/>
        </w:rPr>
        <w:t>-</w:t>
      </w:r>
      <w:r w:rsidRPr="00E43595">
        <w:rPr>
          <w:rFonts w:cstheme="minorHAnsi"/>
        </w:rPr>
        <w:t>Desarrollo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del software.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El último grupo está compuesto por los Procesos Integrales, son aquellos procesos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que se necesitan para completar con éxito las actividades de un proyecto.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El proceso de implantación está tratado en el proceso de instalación del grupo de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procesos post-desarrollo perteneciente al grupo de Procesos orientados al Desarrollo.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Este proceso implica el transporte y la instalación de un sistema software desde el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entorno de desa</w:t>
      </w:r>
      <w:r w:rsidRPr="00E43595">
        <w:rPr>
          <w:rFonts w:cstheme="minorHAnsi"/>
        </w:rPr>
        <w:t>rrollo al entorno de destino</w:t>
      </w:r>
      <w:r w:rsidRPr="00E43595">
        <w:rPr>
          <w:rFonts w:cstheme="minorHAnsi"/>
        </w:rPr>
        <w:t>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Las actividades del proceso de instalación propuestas en el estándar son: la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distribución del software, la instalación del software, la carga de la base de datos (si el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proyecto lo requiere), la aceptación del software en el entorno de operación, la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realización de las actualizaciones y finalmente la instalación del software probado.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Los Procesos Integrales que articulan con el proceso de implantación son los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procesos de verificación y validación, de gestión de configuración, de desarrollo de la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documentación y de formación.</w:t>
      </w:r>
    </w:p>
    <w:p w:rsidR="001E2040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Los Procesos de Gestión del Proyecto relacionados al proceso de implantación son:</w:t>
      </w:r>
    </w:p>
    <w:p w:rsidR="00221C5F" w:rsidRPr="00E43595" w:rsidRDefault="001E2040" w:rsidP="00E43595">
      <w:pPr>
        <w:jc w:val="both"/>
        <w:rPr>
          <w:rFonts w:cstheme="minorHAnsi"/>
        </w:rPr>
      </w:pPr>
      <w:r w:rsidRPr="00E43595">
        <w:rPr>
          <w:rFonts w:cstheme="minorHAnsi"/>
        </w:rPr>
        <w:t>el proceso de iniciación del proyecto, el proceso de supervisión y control del proyecto</w:t>
      </w:r>
      <w:r w:rsidR="005D2203">
        <w:rPr>
          <w:rFonts w:cstheme="minorHAnsi"/>
        </w:rPr>
        <w:t xml:space="preserve"> </w:t>
      </w:r>
      <w:r w:rsidRPr="00E43595">
        <w:rPr>
          <w:rFonts w:cstheme="minorHAnsi"/>
        </w:rPr>
        <w:t>y el proceso de gestión de la calidad.</w:t>
      </w:r>
    </w:p>
    <w:p w:rsidR="00E43595" w:rsidRDefault="00E43595" w:rsidP="005D2203">
      <w:pPr>
        <w:jc w:val="center"/>
        <w:rPr>
          <w:rFonts w:cstheme="minorHAnsi"/>
          <w:b/>
        </w:rPr>
      </w:pPr>
    </w:p>
    <w:p w:rsidR="001E1F5A" w:rsidRDefault="001E1F5A" w:rsidP="005D2203">
      <w:pPr>
        <w:jc w:val="center"/>
        <w:rPr>
          <w:rFonts w:cstheme="minorHAnsi"/>
          <w:b/>
        </w:rPr>
      </w:pPr>
    </w:p>
    <w:p w:rsidR="001E1F5A" w:rsidRDefault="001E1F5A" w:rsidP="005D2203">
      <w:pPr>
        <w:jc w:val="center"/>
        <w:rPr>
          <w:rFonts w:cstheme="minorHAnsi"/>
          <w:b/>
        </w:rPr>
      </w:pPr>
    </w:p>
    <w:p w:rsidR="001E1F5A" w:rsidRDefault="001E1F5A" w:rsidP="005D2203">
      <w:pPr>
        <w:jc w:val="center"/>
        <w:rPr>
          <w:rFonts w:cstheme="minorHAnsi"/>
          <w:b/>
        </w:rPr>
      </w:pPr>
    </w:p>
    <w:p w:rsidR="001E1F5A" w:rsidRDefault="001E1F5A" w:rsidP="005D2203">
      <w:pPr>
        <w:jc w:val="center"/>
        <w:rPr>
          <w:rFonts w:cstheme="minorHAnsi"/>
          <w:b/>
        </w:rPr>
      </w:pPr>
    </w:p>
    <w:p w:rsidR="001E1F5A" w:rsidRDefault="001E1F5A" w:rsidP="005D2203">
      <w:pPr>
        <w:jc w:val="center"/>
        <w:rPr>
          <w:rFonts w:cstheme="minorHAnsi"/>
          <w:b/>
        </w:rPr>
      </w:pPr>
    </w:p>
    <w:p w:rsidR="005D2203" w:rsidRDefault="001E1F5A" w:rsidP="005D2203">
      <w:pPr>
        <w:jc w:val="center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lastRenderedPageBreak/>
        <w:t>MODELO DE PROCESO DE SOFTWARE IEEE</w:t>
      </w:r>
    </w:p>
    <w:p w:rsidR="001E1F5A" w:rsidRDefault="001E1F5A" w:rsidP="005D2203">
      <w:pPr>
        <w:jc w:val="center"/>
        <w:rPr>
          <w:rFonts w:cstheme="minorHAnsi"/>
          <w:b/>
        </w:rPr>
      </w:pPr>
    </w:p>
    <w:p w:rsidR="001E1F5A" w:rsidRDefault="001E1F5A" w:rsidP="005D2203">
      <w:pPr>
        <w:jc w:val="center"/>
        <w:rPr>
          <w:rFonts w:cstheme="minorHAnsi"/>
          <w:b/>
        </w:rPr>
      </w:pPr>
      <w:r>
        <w:rPr>
          <w:rFonts w:cstheme="minorHAnsi"/>
          <w:b/>
          <w:noProof/>
          <w:lang w:eastAsia="es-CO"/>
        </w:rPr>
        <w:drawing>
          <wp:inline distT="0" distB="0" distL="0" distR="0">
            <wp:extent cx="5612130" cy="3493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clo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03" w:rsidRDefault="005D2203" w:rsidP="005D2203">
      <w:pPr>
        <w:jc w:val="center"/>
        <w:rPr>
          <w:rFonts w:cstheme="minorHAnsi"/>
          <w:b/>
        </w:rPr>
      </w:pPr>
    </w:p>
    <w:p w:rsidR="005D2203" w:rsidRPr="005D2203" w:rsidRDefault="005D2203" w:rsidP="005D2203">
      <w:pPr>
        <w:jc w:val="center"/>
        <w:rPr>
          <w:rFonts w:cstheme="minorHAnsi"/>
          <w:b/>
        </w:rPr>
      </w:pPr>
      <w:r>
        <w:rPr>
          <w:rFonts w:cstheme="minorHAnsi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229386F" wp14:editId="2266CD59">
            <wp:simplePos x="0" y="0"/>
            <wp:positionH relativeFrom="margin">
              <wp:posOffset>-822960</wp:posOffset>
            </wp:positionH>
            <wp:positionV relativeFrom="paragraph">
              <wp:posOffset>367030</wp:posOffset>
            </wp:positionV>
            <wp:extent cx="7296150" cy="3839210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c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258" cy="383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</w:rPr>
        <w:t>MODELO DE PROCESO DE SOFTWARE IEEE</w:t>
      </w:r>
    </w:p>
    <w:p w:rsidR="00E43595" w:rsidRPr="00E43595" w:rsidRDefault="00E43595" w:rsidP="00E43595">
      <w:pPr>
        <w:jc w:val="both"/>
        <w:rPr>
          <w:rFonts w:cstheme="minorHAnsi"/>
        </w:rPr>
      </w:pPr>
    </w:p>
    <w:p w:rsidR="00E43595" w:rsidRPr="00E43595" w:rsidRDefault="00E43595" w:rsidP="00E43595">
      <w:pPr>
        <w:jc w:val="both"/>
        <w:rPr>
          <w:rFonts w:cstheme="minorHAnsi"/>
        </w:rPr>
      </w:pPr>
    </w:p>
    <w:p w:rsidR="00E43595" w:rsidRPr="00E43595" w:rsidRDefault="00E43595" w:rsidP="00E43595">
      <w:pPr>
        <w:jc w:val="both"/>
        <w:rPr>
          <w:rFonts w:cstheme="minorHAnsi"/>
        </w:rPr>
      </w:pPr>
    </w:p>
    <w:sectPr w:rsidR="00E43595" w:rsidRPr="00E43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40"/>
    <w:rsid w:val="001E1F5A"/>
    <w:rsid w:val="001E2040"/>
    <w:rsid w:val="00221C5F"/>
    <w:rsid w:val="005D2203"/>
    <w:rsid w:val="00E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77EF"/>
  <w15:chartTrackingRefBased/>
  <w15:docId w15:val="{B238BB7A-1AD2-4DA8-8D5A-EA41AD17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Castiblanco Carrero</dc:creator>
  <cp:keywords/>
  <dc:description/>
  <cp:lastModifiedBy>Jeisson Castiblanco Carrero</cp:lastModifiedBy>
  <cp:revision>1</cp:revision>
  <dcterms:created xsi:type="dcterms:W3CDTF">2017-10-25T21:43:00Z</dcterms:created>
  <dcterms:modified xsi:type="dcterms:W3CDTF">2017-10-25T22:36:00Z</dcterms:modified>
</cp:coreProperties>
</file>