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this is a test</w:t>
      </w:r>
    </w:p>
    <w:p>
      <w:r>
        <w:t>testing</w:t>
      </w:r>
    </w:p>
    <w:p>
      <w:pPr>
        <w:pStyle w:val="Heading1"/>
      </w:pPr>
      <w:r>
        <w:t>this is a test</w:t>
      </w:r>
    </w:p>
    <w:p>
      <w:r>
        <w:t>testing</w:t>
      </w:r>
    </w:p>
    <w:p>
      <w:r>
        <w:drawing>
          <wp:inline xmlns:a="http://schemas.openxmlformats.org/drawingml/2006/main" xmlns:pic="http://schemas.openxmlformats.org/drawingml/2006/picture">
            <wp:extent cx="1371600" cy="1371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