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200" w:line="264" w:lineRule="auto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企业级智能PPT制作应用升级方案</w:t>
      </w:r>
    </w:p>
    <w:p>
      <w:pPr>
        <w:keepNext/>
        <w:spacing w:before="0" w:after="360" w:line="288" w:lineRule="auto"/>
      </w:pPr>
      <w:r>
        <w:rPr>
          <w:rFonts w:ascii="Microsoft YaHei" w:hAnsi="Microsoft YaHei" w:eastAsia="Microsoft YaHei"/>
          <w:color w:val="595959"/>
          <w:sz w:val="25"/>
        </w:rPr>
        <w:t>面向产品立项 技术规划 与企业部署的方案文档</w:t>
      </w:r>
    </w:p>
    <w:p>
      <w:pPr>
        <w:keepNext w:val="0"/>
        <w:spacing w:before="0" w:after="40" w:line="288" w:lineRule="auto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版本  </w:t>
      </w:r>
      <w:r>
        <w:rPr>
          <w:rFonts w:ascii="Microsoft YaHei" w:hAnsi="Microsoft YaHei" w:eastAsia="Microsoft YaHei"/>
          <w:color w:val="1F1F1F"/>
          <w:sz w:val="19"/>
        </w:rPr>
        <w:t>1.0</w:t>
      </w:r>
    </w:p>
    <w:p>
      <w:pPr>
        <w:keepNext w:val="0"/>
        <w:spacing w:before="0" w:after="40" w:line="288" w:lineRule="auto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日期  </w:t>
      </w:r>
      <w:r>
        <w:rPr>
          <w:rFonts w:ascii="Microsoft YaHei" w:hAnsi="Microsoft YaHei" w:eastAsia="Microsoft YaHei"/>
          <w:color w:val="1F1F1F"/>
          <w:sz w:val="19"/>
        </w:rPr>
        <w:t>2026年10月10日</w:t>
      </w:r>
    </w:p>
    <w:p>
      <w:pPr>
        <w:keepNext w:val="0"/>
        <w:spacing w:before="0" w:after="40" w:line="288" w:lineRule="auto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适用范围  </w:t>
      </w:r>
      <w:r>
        <w:rPr>
          <w:rFonts w:ascii="Microsoft YaHei" w:hAnsi="Microsoft YaHei" w:eastAsia="Microsoft YaHei"/>
          <w:color w:val="1F1F1F"/>
          <w:sz w:val="19"/>
        </w:rPr>
        <w:t>企业级智能演示文稿制作应用</w:t>
      </w: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执行摘要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本方案建议建设一款以企业知识、品牌规范和原生可编辑交付为核心的智能PPT制作应用。产品不以一次性生成页面为目标，而是覆盖资料取证、演示叙事、版式编排、原生对象写入、视觉质检和交付复用的完整工作流。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当前市场已将参考资料、模板匹配、对话式修改和原生可编辑演示文稿作为基础能力。产品差异化应建立在可验证内容、可控品牌表达、低成本局部修改和企业级治理之上。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建议立项范围。</w:t>
      </w:r>
      <w:r>
        <w:rPr>
          <w:rFonts w:ascii="Microsoft YaHei" w:hAnsi="Microsoft YaHei" w:eastAsia="Microsoft YaHei"/>
          <w:color w:val="1F1F1F"/>
          <w:sz w:val="21"/>
        </w:rPr>
        <w:t>首期以企业品牌模板解析、大纲审批、资料引用、PPTX原生对象生成和渲染质检为核心，优先服务销售提案、经营复盘、战略汇报和项目评审等高频场景。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交付格式以PPTX和Google Slides原生对象为主，HTML仅作为预览和调试载体。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每个关键结论应保留来源、数据口径和生成记录，支持审核与复用。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模型输出必须经过模板约束和渲染检查，不能直接作为最终交付物。</w:t>
      </w:r>
    </w:p>
    <w:p>
      <w:r>
        <w:br w:type="page"/>
      </w: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一 项目背景与决策建议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企业在制作经营汇报、客户提案和项目评审材料时，主要成本不在单页排版，而在于梳理资料、形成正确叙事、遵守品牌规范、核对数据以及处理反复修改。通用生成工具可以缩短初稿时间，但在正式场景中仍会暴露来源不明、母版不匹配、页面不可编辑和局部修改影响整套内容等问题。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核心判断。</w:t>
      </w:r>
      <w:r>
        <w:rPr>
          <w:rFonts w:ascii="Microsoft YaHei" w:hAnsi="Microsoft YaHei" w:eastAsia="Microsoft YaHei"/>
          <w:color w:val="1F1F1F"/>
          <w:sz w:val="21"/>
        </w:rPr>
        <w:t>企业级产品应把智能PPT定义为受企业知识和品牌约束的演示文稿生产系统，而不是把文本或HTML快速转换为幻灯片的工具。</w:t>
      </w:r>
    </w:p>
    <w:p>
      <w:pPr>
        <w:pStyle w:val="Heading2"/>
        <w:keepNext/>
        <w:spacing w:before="1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25"/>
        </w:rPr>
        <w:t>市场能力基线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产品方向</w:t>
            </w:r>
          </w:p>
        </w:tc>
        <w:tc>
          <w:tcPr>
            <w:tcW w:type="dxa" w:w="362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公开能力</w:t>
            </w:r>
          </w:p>
        </w:tc>
        <w:tc>
          <w:tcPr>
            <w:tcW w:type="dxa" w:w="374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对本方案的启示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ChatGPT for PowerPoint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在PowerPoint内创建、编辑、理解和优化演示文稿，并保留可编辑页面结构。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应支持在原有PPT中局部修改，而非每次重建整套文件。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Gemini in Google Slides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根据提示词、参考资料和既有演示文稿风格生成完整且可编辑的演示文稿。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资料接地和品牌匹配需要成为生成前置步骤。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Microsoft Copilot in PowerPoint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支持先澄清需求、生成和修改大纲，再创建和优化幻灯片。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先审大纲再制页，能明显降低返工。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上述能力意味着，一键生成已不足以构成产品壁垒。首期竞争重点应是企业上下文的准确性、设计规则的可控性，以及用户对生成结果的修改成本。</w:t>
      </w: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二 目标用户与核心场景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用户角色</w:t>
            </w:r>
          </w:p>
        </w:tc>
        <w:tc>
          <w:tcPr>
            <w:tcW w:type="dxa" w:w="260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89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现有痛点</w:t>
            </w:r>
          </w:p>
        </w:tc>
        <w:tc>
          <w:tcPr>
            <w:tcW w:type="dxa" w:w="226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产品目标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业务负责人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形成管理层汇报和决策材料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信息分散，难以控制叙事重点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先形成可评审的大纲和关键结论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销售与解决方案团队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制作客户提案和行业方案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品牌要求严格，重复制作量大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复用品牌版式和已审定内容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战略与运营团队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将数据分析转化为经营材料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图表与文字口径反复核对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生成可追溯的数据叙事和原生图表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市场与设计团队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维护企业演示规范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模板被随意改动，难以治理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沉淀可执行的品牌设计系统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首期应聚焦高价值、重复性强且需要正式交付的企业场景。教育、个人创作和营销海报类场景可在后续扩展，但不应稀释首期的企业治理能力。</w:t>
      </w: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三 产品定位与范围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产品定位。</w:t>
      </w:r>
      <w:r>
        <w:rPr>
          <w:rFonts w:ascii="Microsoft YaHei" w:hAnsi="Microsoft YaHei" w:eastAsia="Microsoft YaHei"/>
          <w:color w:val="1F1F1F"/>
          <w:sz w:val="21"/>
        </w:rPr>
        <w:t>面向企业团队的智能演示文稿工作台。它从已授权的资料和数据中组织内容，按企业品牌规则编排页面，并输出可继续编辑和审核的PPTX或Google Slides。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08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首期纳入</w:t>
            </w:r>
          </w:p>
        </w:tc>
        <w:tc>
          <w:tcPr>
            <w:tcW w:type="dxa" w:w="4025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首期不纳入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内容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文档、表格、PDF、历史PPT和已授权知识库的解析与引用。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未经授权的自动外网检索和不可追溯的事实补全。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设计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企业模板解析、页面版式复用、图片建议和原生图表。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以整页位图替代可编辑页面的默认交付。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协作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角色权限、审核记录、版本比较和组件复用。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无访问控制的公共素材与跨租户内容混用。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交付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PPTX、Google Slides和HTML预览。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以HTML页面作为正式办公文档的唯一格式。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四 产品能力设计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产品能力按演示文稿生命周期组织。每一项能力均需保留可操作的中间结果，用户可以修改提纲、替换资料、锁定页面或批准局部修改。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4025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374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企业级要求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需求澄清与大纲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识别受众、时长、会议目的和决策事项，生成页面大纲并支持批准。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保存大纲版本和批准记录，避免未确认内容直接进入制页。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企业知识与证据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解析资料、提取指标、关联论据，并显示来源和数据口径。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关键主张可回溯，敏感资料遵循现有访问权限。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品牌设计系统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从母版、历史PPT和素材库提取版式、字号、配色、图表和禁用规则。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用结构化规则约束生成，不只做视觉风格模仿。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原生页面生成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创建文本框、形状、图片、表格和图表等页面对象。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PPTX中的内容可编辑，页面元素保留语义和来源关联。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数据叙事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连接表格数据，建议图表类型，生成结论、注释和备份页。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数据范围、计算逻辑和图表标签可审阅并可编辑。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局部修改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按选中对象、页面或章节改写内容和布局，显示修改影响。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尊重锁定对象和已批准页面，支持版本比较与回退。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视觉质检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渲染后检查溢出、重叠、字体过小、对比度和版式一致性。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发现问题后优先局部修复，保留修复日志。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演讲与复用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生成讲稿、时长估算、可能问题和可复用页面组件。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与企业资料权限和共享范围保持一致。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五 端到端用户流程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6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311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系统输出</w:t>
            </w:r>
          </w:p>
        </w:tc>
        <w:tc>
          <w:tcPr>
            <w:tcW w:type="dxa" w:w="209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控制点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资料接入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选择文件、数据源、品牌模板和使用范围。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资料索引、权限校验和可用来源清单。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仅处理用户有权访问的内容。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演示规划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说明会议目标、受众和时长，确认大纲。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叙事主线、每页目的、证据需求和页面顺序。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大纲确认后才进入批量制页。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页面生成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选择设计密度和交付格式。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原生页面对象、讲稿、引用和数据图表。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品牌规则和对象锁定规则生效。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审阅修改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针对对象、页面或章节提出改动。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局部修改预览、差异说明和版本记录。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已批准页面不被无意重写。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交付复用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导出、分享或保存为企业组件。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PPTX、Slides链接、引用清单和审计记录。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交付前完成视觉和来源检查。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六 技术架构与实现原则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推荐采用语义层与页面对象层分离的架构。语义层保存页面目的、主张、数据、来源、讲稿和审核状态。页面对象层保存文本框、图表、图片、坐标、样式、母版占位符和锁定状态。布局改变不应破坏内容语义，内容改写也不应强制重建整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57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架构层</w:t>
            </w:r>
          </w:p>
        </w:tc>
        <w:tc>
          <w:tcPr>
            <w:tcW w:type="dxa" w:w="345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25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实现要点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接入与权限层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身份认证、单点登录、租户隔离、数据源授权和操作审计。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继承企业现有权限；不要复制或扩大原始资料权限。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知识与证据层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文档解析、检索、指标识别、引用定位和证据评分。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将来源片段绑定到关键结论和图表数据。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规划与编排层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大纲规划、页面目的分配、内容压缩和任务编排。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将计划、生成和修改拆成可重试的任务。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设计与布局层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模板解析、组件选择、约束求解和原生对象映射。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以可执行设计规则替代仅靠提示词的样式描述。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渲染与质检层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将PPTX或Slides渲染为图像，检查版式与可读性。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使用规则检测与视觉模型复核，形成可定位的问题清单。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交付与运营层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导出、协作、版本、监控、成本控制和故障处理。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保存可复现的生成记录，支持失败重试和人工接管。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25"/>
        </w:rPr>
        <w:t>关键技术原则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以标准演示对象作为交付单元。PPTX中的文字、图表、图片和形状应独立编辑，HTML仅用于预览、试排和渲染检查。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以结构化页面规范作为模型与渲染器之间的契约。页面规范至少包含对象类型、内容、样式、约束、来源、数据绑定和锁定状态。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采用渲染后闭环。每次批量生成后均执行对象规则检查和视觉检查，修复应局限于发现问题的对象或页面。</w:t>
      </w:r>
    </w:p>
    <w:p>
      <w:pPr>
        <w:pStyle w:val="ListBullet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把生成过程拆分为可审阅步骤。系统必须能够解释某页使用了哪些资料、为何采用该版式，以及修改会影响哪些页面。</w:t>
      </w: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七 企业数据治理与安全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企业级版本需要将安全和治理设计为底座能力，而非上线后的附加模块。资料接入、模型调用、生成文件、共享链接和日志均应纳入同一权限与审计体系。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控制领域</w:t>
            </w:r>
          </w:p>
        </w:tc>
        <w:tc>
          <w:tcPr>
            <w:tcW w:type="dxa" w:w="4025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设计要求</w:t>
            </w:r>
          </w:p>
        </w:tc>
        <w:tc>
          <w:tcPr>
            <w:tcW w:type="dxa" w:w="374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首期验收标准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身份与权限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支持企业单点登录、角色权限、项目空间和最小权限访问。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用户无法在产品内查看或引用未获授权的资料。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租户隔离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分离租户数据、索引、素材、模型会话和导出文件。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跨租户检索、缓存和日志中均不存在内容泄露路径。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敏感信息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支持数据分级、脱敏提示、导出限制和水印策略。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敏感内容生成和导出行为可被识别、阻断或审批。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审计与留存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记录资料来源、提示词、模型版本、对象修改和导出事件。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管理员可按项目、用户和时间还原关键生成过程。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模型治理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配置可用模型、地域、数据保留和人工审核策略。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不同业务线可使用不同的模型和安全策略。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八 分期路线图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路线图以可交付的企业场景为单位推进。每个阶段结束时，都应能通过真实资料、真实模板和真实用户完成验收，而不是只验证模型演示效果。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9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26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255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阶段零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0至2个月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确认数据边界和首个高价值场景。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用户调研、模板样本、资料权限方案、页面规范和试点指标。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明确试点团队、模板范围和验收数据集。</w:t>
            </w:r>
          </w:p>
        </w:tc>
      </w:tr>
      <w:tr>
        <w:trPr>
          <w:cantSplit/>
        </w:trPr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阶段一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2至5个月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交付可用于内部试点的端到端闭环。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资料接入、大纲审批、品牌模板、PPTX原生生成和基础渲染检查。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试点用户可独立完成一套正式初稿。</w:t>
            </w:r>
          </w:p>
        </w:tc>
      </w:tr>
      <w:tr>
        <w:trPr>
          <w:cantSplit/>
        </w:trPr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阶段二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5至9个月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降低修改成本并提高内容可信度。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对象级修改、证据链、数据图表、版本比较、视觉质检和组件复用。</w:t>
            </w:r>
          </w:p>
        </w:tc>
        <w:tc>
          <w:tcPr>
            <w:tcW w:type="dxa" w:w="20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达到预设的可用初稿率和品牌合规率。</w:t>
            </w:r>
          </w:p>
        </w:tc>
      </w:tr>
      <w:tr>
        <w:trPr>
          <w:cantSplit/>
        </w:trPr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阶段三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9至12个月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形成可规模部署的企业产品。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多租户治理、管理员控制、审计报表、工作流集成和运营监控。</w:t>
            </w:r>
          </w:p>
        </w:tc>
        <w:tc>
          <w:tcPr>
            <w:tcW w:type="dxa" w:w="2017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通过安全评审并具备规模化运维能力。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九 团队与交付模式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建议以跨职能小队推进首期。团队规模需随现有平台能力调整，但必须同时覆盖产品决策、AI编排、PPTX或Slides原生写入、企业后端、设计系统、质量保障和安全评审。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建议投入</w:t>
            </w:r>
          </w:p>
        </w:tc>
        <w:tc>
          <w:tcPr>
            <w:tcW w:type="dxa" w:w="6860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产品负责人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1人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场景选择、需求优先级、试点组织和验收标准。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技术负责人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1人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架构边界、交付节奏、质量门槛和技术风险控制。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AI与知识工程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2人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资料解析、证据链、规划编排、模型评估和提示策略。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应用与平台工程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3至4人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前端交互、权限、任务编排、对象生成和导出服务。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设计系统工程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1人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模板解析、组件规则、版式约束和视觉质量标准。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质量与安全支持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共享投入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渲染回归、数据治理、安全评审和上线检查。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十 指标体系与验收标准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以下指标为首期试点建议目标。上线前应以企业现有人工制作流程建立基线，并按具体场景、模板复杂度和资料质量调整阈值。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57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814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建议首期目标</w:t>
            </w:r>
          </w:p>
        </w:tc>
        <w:tc>
          <w:tcPr>
            <w:tcW w:type="dxa" w:w="328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评估方式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可用初稿率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用户无需大纲级重做即可继续编辑和交付的生成结果占比。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不少于60%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试点任务盲评和用户确认。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品牌合规率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通过字体、配色、母版、对象和图表规则检查的页面占比。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不少于90%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模板规则引擎加人工抽检。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关键主张可追溯率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关键结论中可定位到已授权来源的比例。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不少于95%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来源绑定和审阅抽检。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严重视觉缺陷率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存在文字溢出、对象重叠或不可读内容的页面比例。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低于1%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渲染检测加人工复核。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首次生成时长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从大纲批准到15页左右初稿可供审阅的时间。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P95不高于10分钟</w:t>
            </w:r>
          </w:p>
        </w:tc>
        <w:tc>
          <w:tcPr>
            <w:tcW w:type="dxa" w:w="25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端到端埋点。</w:t>
            </w:r>
          </w:p>
        </w:tc>
      </w:tr>
      <w:tr>
        <w:trPr>
          <w:cantSplit/>
        </w:trPr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局部修改成功率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对象或页面级修改未引入无关页面变化的比例。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不少于90%</w:t>
            </w:r>
          </w:p>
        </w:tc>
        <w:tc>
          <w:tcPr>
            <w:tcW w:type="dxa" w:w="252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差异检测和用户确认。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十一 主要风险与应对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05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5726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内容不准确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生成结论缺乏证据或误读数据。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强制关键主张绑定来源；对无来源内容标注待确认；为高风险场景配置人工审核。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模板解析不稳定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同一品牌模板生成结果不一致，或破坏母版结构。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建立模板准入和诊断流程；将模板规则固化为结构化组件与约束。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原生文件兼容性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导出PPTX在不同Office版本中出现布局漂移。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建立多版本渲染回归；优先使用标准对象；对高风险对象设置降级策略。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生成成本和时延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多轮模型调用、图片生成和渲染导致成本或时延上升。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缓存中间结果；按步骤异步执行；为不同场景配置模型和质量等级。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企业数据风险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资料越权、导出泄露或日志留存不当。</w:t>
            </w:r>
          </w:p>
        </w:tc>
        <w:tc>
          <w:tcPr>
            <w:tcW w:type="dxa" w:w="336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接入既有身份体系；按租户隔离；提供审计、保留和导出控制。</w:t>
            </w:r>
          </w:p>
        </w:tc>
      </w:tr>
      <w:tr>
        <w:trPr>
          <w:cantSplit/>
        </w:trPr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用户信任不足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用户无法判断AI改了什么，也无法安全回退。</w:t>
            </w:r>
          </w:p>
        </w:tc>
        <w:tc>
          <w:tcPr>
            <w:tcW w:type="dxa" w:w="336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Next w:val="0"/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显示来源、修改范围和版本差异；保留锁定、撤销和人工接管能力。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十二 立项建议与下一步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color w:val="1F1F1F"/>
          <w:sz w:val="21"/>
        </w:rPr>
        <w:t>建议批准阶段零和阶段一的产品验证工作，并以一个真实业务团队作为试点对象。试点应选择模板成熟、资料相对完整、制作频率较高且评审标准明确的场景，例如销售提案或月度经营复盘。</w:t>
      </w:r>
    </w:p>
    <w:p>
      <w:pPr>
        <w:pStyle w:val="ListNumber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在两周内确定试点团队、资料范围、模板样本、数据分级规则和业务验收人。</w:t>
      </w:r>
    </w:p>
    <w:p>
      <w:pPr>
        <w:pStyle w:val="ListNumber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在六周内完成页面对象规范、模板解析原型、资料引用原型和评估集。</w:t>
      </w:r>
    </w:p>
    <w:p>
      <w:pPr>
        <w:pStyle w:val="ListNumber"/>
        <w:keepNext w:val="0"/>
        <w:spacing w:before="0" w:after="60" w:line="307" w:lineRule="auto"/>
      </w:pPr>
      <w:r>
        <w:rPr>
          <w:rFonts w:ascii="Microsoft YaHei" w:hAnsi="Microsoft YaHei" w:eastAsia="Microsoft YaHei"/>
          <w:color w:val="1F1F1F"/>
          <w:sz w:val="20"/>
        </w:rPr>
        <w:t>在五个月内交付可生成、审阅、局部修改和导出PPTX的试点版本，并依据指标决定阶段二投入。</w:t>
      </w:r>
    </w:p>
    <w:p>
      <w:pPr>
        <w:keepNext w:val="0"/>
        <w:spacing w:before="0" w:after="140" w:line="331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立项成功的判断标准。</w:t>
      </w:r>
      <w:r>
        <w:rPr>
          <w:rFonts w:ascii="Microsoft YaHei" w:hAnsi="Microsoft YaHei" w:eastAsia="Microsoft YaHei"/>
          <w:color w:val="1F1F1F"/>
          <w:sz w:val="21"/>
        </w:rPr>
        <w:t>不是模型能否生成一套看起来完整的页面，而是试点用户能否在可信来源和品牌约束下，用更少时间完成可正式交付、可继续编辑的演示文稿。</w:t>
      </w:r>
    </w:p>
    <w:p>
      <w:pPr>
        <w:pStyle w:val="Heading1"/>
        <w:keepNext/>
        <w:spacing w:before="280" w:after="12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30"/>
        </w:rPr>
        <w:t>参考资料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color w:val="1F1F1F"/>
          <w:sz w:val="18"/>
        </w:rPr>
        <w:t xml:space="preserve">OpenAI ChatGPT for PowerPoint  </w:t>
      </w:r>
      <w:r>
        <w:rPr>
          <w:rFonts w:ascii="Microsoft YaHei" w:hAnsi="Microsoft YaHei" w:eastAsia="Microsoft YaHei"/>
          <w:color w:val="595959"/>
          <w:sz w:val="18"/>
        </w:rPr>
        <w:t>https://help.openai.com/en/articles/20001242-chatgpt-for-powerpoint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color w:val="1F1F1F"/>
          <w:sz w:val="18"/>
        </w:rPr>
        <w:t xml:space="preserve">Google Generate presentations with Gemini in Google Slides  </w:t>
      </w:r>
      <w:r>
        <w:rPr>
          <w:rFonts w:ascii="Microsoft YaHei" w:hAnsi="Microsoft YaHei" w:eastAsia="Microsoft YaHei"/>
          <w:color w:val="595959"/>
          <w:sz w:val="18"/>
        </w:rPr>
        <w:t>https://support.google.com/docs/answer/17111393?hl=en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color w:val="1F1F1F"/>
          <w:sz w:val="18"/>
        </w:rPr>
        <w:t xml:space="preserve">Google Workspace Updates Create fully native and editable presentations with Gemini in Google Slides  </w:t>
      </w:r>
      <w:r>
        <w:rPr>
          <w:rFonts w:ascii="Microsoft YaHei" w:hAnsi="Microsoft YaHei" w:eastAsia="Microsoft YaHei"/>
          <w:color w:val="595959"/>
          <w:sz w:val="18"/>
        </w:rPr>
        <w:t>https://workspaceupdates.googleblog.com/2026/06/create-fully-native-and-editable-presentations-with-Gemini-in-Google-Slides.html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color w:val="1F1F1F"/>
          <w:sz w:val="18"/>
        </w:rPr>
        <w:t xml:space="preserve">Microsoft Create a new presentation with Copilot in PowerPoint  </w:t>
      </w:r>
      <w:r>
        <w:rPr>
          <w:rFonts w:ascii="Microsoft YaHei" w:hAnsi="Microsoft YaHei" w:eastAsia="Microsoft YaHei"/>
          <w:color w:val="595959"/>
          <w:sz w:val="18"/>
        </w:rPr>
        <w:t>https://support.microsoft.com/en-us/powerpoint/copilot/create-a-new-presentation-with-copilot-in-powerpoint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1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企业级智能PPT制作应用升级方案</dc:title>
  <dc:subject>企业级智能演示文稿产品立项与技术规划</dc:subject>
  <dc:creator/>
  <cp:keywords>PPT, 企业级, 智能演示, 产品方案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