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b/>
          <w:bCs/>
          <w:color w:val="1F4E79"/>
          <w:sz w:val="48"/>
          <w:szCs w:val="48"/>
        </w:rPr>
        <w:t xml:space="preserve">AI 발전의 현황과 과제</w:t>
      </w:r>
    </w:p>
    <w:p>
      <w:pPr>
        <w:spacing w:after="600"/>
        <w:jc w:val="center"/>
      </w:pPr>
      <w:r>
        <w:rPr>
          <w:color w:val="404040"/>
          <w:sz w:val="28"/>
          <w:szCs w:val="28"/>
        </w:rPr>
        <w:t xml:space="preserve">성능·투자·노동·규제로 본 2026년 인공지능</w:t>
      </w:r>
    </w:p>
    <w:p>
      <w:pPr>
        <w:pBdr>
          <w:top w:val="single" w:color="1F4E79" w:sz="8" w:space="12"/>
        </w:pBdr>
        <w:jc w:val="center"/>
      </w:pPr>
      <w:r>
        <w:rPr>
          <w:color w:val="595959"/>
          <w:sz w:val="22"/>
          <w:szCs w:val="22"/>
        </w:rPr>
        <w:t xml:space="preserve">조사 보고서  |  2026년 10월 4일</w:t>
      </w:r>
    </w:p>
    <w:p>
      <w:r>
        <w:br w:type="page"/>
      </w:r>
    </w:p>
    <w:p>
      <w:pPr>
        <w:pStyle w:val="Heading1"/>
      </w:pPr>
      <w:r>
        <w:t xml:space="preserve">Ⅰ. 서론</w:t>
      </w:r>
    </w:p>
    <w:p>
      <w:pPr>
        <w:pStyle w:val="Heading2"/>
      </w:pPr>
      <w:r>
        <w:t xml:space="preserve">1. 조사 배경</w:t>
      </w:r>
    </w:p>
    <w:p>
      <w:pPr>
        <w:spacing w:after="160" w:line="360"/>
        <w:jc w:val="both"/>
      </w:pPr>
      <w:r>
        <w:t xml:space="preserve">2022년 말 생성형 AI가 대중에 공개된 이후 인공지능은 불과 몇 년 만에 연구실의 기술에서 사회 전반의 기반 기술로 자리 잡았다. 2026년 현재 AI는 단순히 질문에 답하는 챗봇을 넘어, 스스로 계획을 세우고 도구를 활용해 업무를 수행하는 "에이전트" 단계로 진입하고 있다. 동시에 막대한 투자, 전력 수요 급증, 일자리 변화, 규제 논쟁 등 기술 바깥의 문제도 함께 커지고 있다.</w:t>
      </w:r>
    </w:p>
    <w:p>
      <w:pPr>
        <w:pStyle w:val="Heading2"/>
      </w:pPr>
      <w:r>
        <w:t xml:space="preserve">2. 조사 목적 및 방법</w:t>
      </w:r>
    </w:p>
    <w:p>
      <w:pPr>
        <w:spacing w:after="160" w:line="360"/>
        <w:jc w:val="both"/>
      </w:pPr>
      <w:r>
        <w:t xml:space="preserve">본 보고서는 AI 발전의 현 위치를 객관적 자료로 파악하고, 그 발전이 경제·사회에 미치는 영향과 앞으로의 과제를 정리하는 것을 목적으로 한다. 스탠퍼드 HAI의 「AI Index 2026」, 국제에너지기구(IEA), PwC, S&amp;P Global, IMF 등의 공개 보고서와 주요 언론·분석 기사를 웹으로 조사하여 research 폴더에 정리한 뒤, 이를 바탕으로 작성하였다.</w:t>
      </w:r>
    </w:p>
    <w:p>
      <w:pPr>
        <w:spacing w:after="160" w:line="360"/>
        <w:jc w:val="both"/>
      </w:pPr>
      <w:r>
        <w:t xml:space="preserve">본론은 ① 기술 성능, ② 에이전트로의 전환, ③ 투자와 인프라, ④ 노동시장, ⑤ 안전과 규제, ⑥ 한국의 대응의 여섯 측면으로 구성하였다.</w:t>
      </w:r>
    </w:p>
    <w:p>
      <w:pPr>
        <w:pStyle w:val="Heading1"/>
      </w:pPr>
      <w:r>
        <w:t xml:space="preserve">Ⅱ. 본론</w:t>
      </w:r>
    </w:p>
    <w:p>
      <w:pPr>
        <w:pStyle w:val="Heading2"/>
      </w:pPr>
      <w:r>
        <w:t xml:space="preserve">1. 기술 성능: 정체가 아닌 가속</w:t>
      </w:r>
    </w:p>
    <w:p>
      <w:pPr>
        <w:spacing w:after="160" w:line="360"/>
        <w:jc w:val="both"/>
      </w:pPr>
      <w:r>
        <w:t xml:space="preserve">"AI 발전이 한계에 도달했다"는 일부 전망과 달리, 2026년 자료는 성능 향상이 오히려 가속되고 있음을 보여준다. 스탠퍼드 AI Index 2026에 따르면 소프트웨어 엔지니어링 벤치마크인 SWE-bench 점수는 1년 만에 약 60%에서 100% 가까이로 상승했다. 여러 모델이 박사 수준의 과학 문제, 멀티모달 추론, 경시 수학에서 인간 기준치에 도달하거나 이를 넘어섰다.</w:t>
      </w:r>
    </w:p>
    <w:p>
      <w:pPr>
        <w:spacing w:after="160" w:line="360"/>
        <w:jc w:val="both"/>
      </w:pPr>
      <w:r>
        <w:t xml:space="preserve">경쟁 구도도 변했다. 2025년 주요 프런티어 모델의 90% 이상이 기업에서 나왔으며, 미국과 중국 모델의 성능 격차는 사실상 사라져 2026년 3월 기준 선두 모델 간 차이가 약 2.7%에 불과하다. 공개 가중치(오픈 웨이트) 모델 역시 폐쇄형 최고 모델을 바짝 추격하고 있다.</w:t>
      </w:r>
    </w:p>
    <w:p>
      <w:pPr>
        <w:pStyle w:val="Heading2"/>
      </w:pPr>
      <w:r>
        <w:t xml:space="preserve">2. 챗봇에서 에이전트로</w:t>
      </w:r>
    </w:p>
    <w:p>
      <w:pPr>
        <w:spacing w:after="160" w:line="360"/>
        <w:jc w:val="both"/>
      </w:pPr>
      <w:r>
        <w:t xml:space="preserve">2026년 AI 발전의 가장 큰 특징은 에이전트형 AI가 시연 단계를 넘어 실제 업무 현장에 투입되기 시작했다는 점이다. 최신 모델은 수십 차례의 도구 호출 동안 목표를 유지하고, 오류가 나면 스스로 복구하며, 계획을 수정하고, 필요할 때 사람에게 도움을 요청할 수 있다.</w:t>
      </w:r>
    </w:p>
    <w:p>
      <w:pPr>
        <w:spacing w:after="160" w:line="360"/>
        <w:jc w:val="both"/>
      </w:pPr>
      <w:r>
        <w:t xml:space="preserve">기업 현장에서는 비용 효율을 위해 단순한 단계는 저렴하고 빠른 모델이, 어려운 추론은 최상위 모델이 맡는 "모델 라우팅" 방식이 일반화되고 있다. 반면 감시 장치 없이 동작하는 에이전트가 예상치 못한 비용이나 보안 사고를 일으키는 새로운 위험도 나타나고 있어, 에이전트에 대한 통제·감사 체계가 중요한 과제로 떠올랐다.</w:t>
      </w:r>
    </w:p>
    <w:p>
      <w:pPr>
        <w:pStyle w:val="Heading2"/>
      </w:pPr>
      <w:r>
        <w:t xml:space="preserve">3. 투자와 인프라: 사상 최대 규모, 그리고 전력의 벽</w:t>
      </w:r>
    </w:p>
    <w:p>
      <w:pPr>
        <w:spacing w:after="160" w:line="360"/>
        <w:jc w:val="both"/>
      </w:pPr>
      <w:r>
        <w:t xml:space="preserve">AI에 대한 투자는 전례 없는 수준이다. 2025년 전 세계 기업 AI 투자는 5,817억 달러로 전년 대비 130% 증가했으며, 이 중 생성형 AI 투자는 약 1,709억 달러로 거의 5배 늘었다. 아마존·알파벳·메타·마이크로소프트·오라클 5개 기업의 2026년 인프라 투자는 6,600억~6,900억 달러로 추정되며, 대부분이 AI 컴퓨팅과 데이터센터에 투입된다.</w:t>
      </w:r>
    </w:p>
    <w:p>
      <w:pPr>
        <w:spacing w:after="160" w:line="360"/>
        <w:jc w:val="both"/>
      </w:pPr>
      <w:r>
        <w:t xml:space="preserve">그러나 이 확장에는 물리적 한계가 따른다. IEA에 따르면 2025년 데이터센터 전력 수요는 17% 증가했고, AI 중심 데이터센터는 약 50% 증가했다. 데이터센터 전력 소비는 2030년까지 485TWh에서 950TWh로 약 두 배가 될 전망이며, AI 데이터센터는 세 배로 늘어날 것으로 보인다. 메모리·전자부품 공급 부족도 함께 나타나고 있어, 전력과 공급망이 AI 발전 속도를 결정하는 핵심 변수가 되고 있다.</w:t>
      </w:r>
    </w:p>
    <w:p>
      <w:pPr>
        <w:spacing w:after="120" w:before="120"/>
      </w:pPr>
      <w:r>
        <w:rPr>
          <w:b/>
          <w:bCs/>
          <w:sz w:val="20"/>
          <w:szCs w:val="20"/>
        </w:rPr>
        <w:t xml:space="preserve">[표 1] AI 발전 관련 주요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19"/>
                <w:szCs w:val="19"/>
              </w:rPr>
              <w:t xml:space="preserve">지표</w:t>
            </w:r>
          </w:p>
        </w:tc>
        <w:tc>
          <w:tcPr>
            <w:tcW w:type="dxa" w:w="24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19"/>
                <w:szCs w:val="19"/>
              </w:rPr>
              <w:t xml:space="preserve">수치</w:t>
            </w:r>
          </w:p>
        </w:tc>
        <w:tc>
          <w:tcPr>
            <w:tcW w:type="dxa" w:w="402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tcPr>
          <w:p>
            <w:r>
              <w:rPr>
                <w:b/>
                <w:bCs/>
                <w:color w:val="FFFFFF"/>
                <w:sz w:val="19"/>
                <w:szCs w:val="19"/>
              </w:rPr>
              <w:t xml:space="preserve">출처</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조직의 AI 도입률</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88%</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생성형 AI 인구 보급률</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53%</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글로벌 기업 AI 투자</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5,817억 달러 (+130%)</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생성형 AI 투자</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1,709억 달러 (약 5배)</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빅테크 5사 인프라 투자(2026E)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6,600억~6,900억 달러</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Futurum (추정치)</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데이터센터 전력 소비</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485TWh(2025) → 950TWh(2030E)</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IEA</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AI 사고 건수</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233건 → 362건</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Stanford AI Index 2026</w:t>
            </w:r>
          </w:p>
        </w:tc>
      </w:tr>
      <w:tr>
        <w:trPr>
          <w:tblHeader w:val="off"/>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한국 GPU 확보 목표</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2030년까지 26만 장</w:t>
            </w:r>
          </w:p>
        </w:tc>
        <w:tc>
          <w:tcPr>
            <w:tcW w:type="dxa" w:w="40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19"/>
                <w:szCs w:val="19"/>
              </w:rPr>
              <w:t xml:space="preserve">과기정통부·NVIDIA 발표</w:t>
            </w:r>
          </w:p>
        </w:tc>
      </w:tr>
    </w:tbl>
    <w:p>
      <w:pPr>
        <w:spacing w:after="160"/>
      </w:pPr>
      <w:r>
        <w:rPr>
          <w:i/>
          <w:iCs/>
          <w:color w:val="666666"/>
          <w:sz w:val="18"/>
          <w:szCs w:val="18"/>
        </w:rPr>
        <w:t xml:space="preserve">※ Futurum 수치는 시장 분석기관의 추정치이며, 정식 인용 시 원문 확인이 필요함.</w:t>
      </w:r>
    </w:p>
    <w:p>
      <w:pPr>
        <w:pStyle w:val="Heading2"/>
      </w:pPr>
      <w:r>
        <w:t xml:space="preserve">4. 노동시장: 대량 실업보다는 채용 구조의 변화</w:t>
      </w:r>
    </w:p>
    <w:p>
      <w:pPr>
        <w:spacing w:after="160" w:line="360"/>
        <w:jc w:val="both"/>
      </w:pPr>
      <w:r>
        <w:t xml:space="preserve">AI가 일자리를 대거 없앨 것이라는 우려와 달리, 현재까지 전체 실업률이 급등한 증거는 없다. Anthropic의 2026년 3월 연구는 AI 노출도가 높은 직군과 낮은 직군 사이의 실업률 차이가 작고 통계적으로 유의하지 않다고 밝혔으며, IMF와 스탠퍼드의 분석도 같은 결론을 보였다.</w:t>
      </w:r>
    </w:p>
    <w:p>
      <w:pPr>
        <w:spacing w:after="160" w:line="360"/>
        <w:jc w:val="both"/>
      </w:pPr>
      <w:r>
        <w:t xml:space="preserve">다만 변화는 채용 단계에서 먼저 나타나고 있다. 정형적·반복적 업무 비중이 큰 직종의 채용 공고는 ChatGPT 출시 이후 약 13% 줄었고, AI 노출도가 높은 직종의 고용 증가세도 둔화될 것으로 예상된다. 반대로 미국 채용 공고에서 AI 기술을 요구하는 비율은 2.5%로 전년보다 55% 늘었으며, AI 역량을 갖춘 인력에게는 높은 임금 프리미엄이 주어지고 있다. 즉 AI는 일자리를 "없애기"보다 일자리의 내용과 요구 역량을 "바꾸는" 방향으로 영향을 주고 있다.</w:t>
      </w:r>
    </w:p>
    <w:p>
      <w:pPr>
        <w:pStyle w:val="Heading2"/>
      </w:pPr>
      <w:r>
        <w:t xml:space="preserve">5. 안전과 규제: 기술을 따라가지 못하는 제도</w:t>
      </w:r>
    </w:p>
    <w:p>
      <w:pPr>
        <w:spacing w:after="160" w:line="360"/>
        <w:jc w:val="both"/>
      </w:pPr>
      <w:r>
        <w:t xml:space="preserve">기술 발전 속도에 비해 안전과 제도는 뒤처져 있다. 기록된 AI 관련 사고는 1년 사이 233건에서 362건으로 늘었고, 미국 중·고등학교의 절반가량만 AI 관련 정책을 갖추고 있다. AI가 업무에 도움이 될지에 대해서는 전문가와 일반 대중의 인식 차이가 약 50%포인트에 달한다.</w:t>
      </w:r>
    </w:p>
    <w:p>
      <w:pPr>
        <w:spacing w:after="160" w:line="360"/>
        <w:jc w:val="both"/>
      </w:pPr>
      <w:r>
        <w:t xml:space="preserve">규제 방향도 국가마다 엇갈린다. 한국은 2026년 1월 22일 「AI 기본법」을 전면 시행하여 EU에 이어 세계 두 번째, 아시아 최초의 포괄적 AI 법을 갖추었다. 이 법은 의료·에너지·교통·채용·신용평가·생체인식 등을 "고영향 AI"로 정해 위험 평가와 설명 의무를 부과하되, 과태료는 1년간 유예하여 산업 부담을 완화했다. 반면 EU는 AI 법의 고위험 AI 의무 시행 시점을 2027년 12월로 늦추었고, 미국은 행정명령 중심으로 프런티어 모델과 사이버보안에 대응하고 있다.</w:t>
      </w:r>
    </w:p>
    <w:p>
      <w:pPr>
        <w:pStyle w:val="Heading2"/>
      </w:pPr>
      <w:r>
        <w:t xml:space="preserve">6. 한국의 대응: 소버린 AI 전략</w:t>
      </w:r>
    </w:p>
    <w:p>
      <w:pPr>
        <w:spacing w:after="160" w:line="360"/>
        <w:jc w:val="both"/>
      </w:pPr>
      <w:r>
        <w:t xml:space="preserve">한국은 "AI 3대 강국(G3)"을 목표로 컴퓨팅 인프라와 자체 모델 확보에 집중하고 있다. 정부는 2030년까지 GPU 26만 장 확보를 목표로 하고 있으며, 첫 1만 장을 대학·연구기관에는 무상으로, 기업에는 시장가의 일부 비용으로 배분하고 있다. 또한 정부 주도 독자 파운데이션 모델 프로젝트에서 LG AI연구원, SK텔레콤, 업스테이지가 이끄는 3개 컨소시엄이 2차 단계에 진출했다. 이는 해외 AI 의존도를 낮추고 한국어와 한국 문화를 반영한 모델을 확보하려는 전략이다.</w:t>
      </w:r>
    </w:p>
    <w:p>
      <w:pPr>
        <w:pStyle w:val="Heading1"/>
      </w:pPr>
      <w:r>
        <w:t xml:space="preserve">Ⅲ. 결론</w:t>
      </w:r>
    </w:p>
    <w:p>
      <w:pPr>
        <w:pStyle w:val="Heading2"/>
      </w:pPr>
      <w:r>
        <w:t xml:space="preserve">1. 요약</w:t>
      </w:r>
    </w:p>
    <w:p>
      <w:pPr>
        <w:spacing w:after="160" w:line="360"/>
        <w:jc w:val="both"/>
      </w:pPr>
      <w:r>
        <w:t xml:space="preserve">조사 결과를 종합하면 2026년 AI 발전은 다음 다섯 가지로 정리할 수 있다.</w:t>
      </w:r>
    </w:p>
    <w:p>
      <w:pPr>
        <w:pStyle w:val="ListParagraph"/>
        <w:numPr>
          <w:ilvl w:val="0"/>
          <w:numId w:val="2"/>
        </w:numPr>
        <w:spacing w:after="80" w:line="340"/>
      </w:pPr>
      <w:r>
        <w:t xml:space="preserve">AI 성능은 정체되지 않고 가속 중이며, 에이전트형 AI가 새로운 최전선이 되었다.</w:t>
      </w:r>
    </w:p>
    <w:p>
      <w:pPr>
        <w:pStyle w:val="ListParagraph"/>
        <w:numPr>
          <w:ilvl w:val="0"/>
          <w:numId w:val="2"/>
        </w:numPr>
        <w:spacing w:after="80" w:line="340"/>
      </w:pPr>
      <w:r>
        <w:t xml:space="preserve">투자와 컴퓨팅은 사상 최대 규모이지만, 전력과 공급망이 성장의 병목으로 떠올랐다.</w:t>
      </w:r>
    </w:p>
    <w:p>
      <w:pPr>
        <w:pStyle w:val="ListParagraph"/>
        <w:numPr>
          <w:ilvl w:val="0"/>
          <w:numId w:val="2"/>
        </w:numPr>
        <w:spacing w:after="80" w:line="340"/>
      </w:pPr>
      <w:r>
        <w:t xml:space="preserve">노동시장 영향은 대량 실업이 아니라 채용 구조 변화와 AI 역량 프리미엄으로 나타나고 있다.</w:t>
      </w:r>
    </w:p>
    <w:p>
      <w:pPr>
        <w:pStyle w:val="ListParagraph"/>
        <w:numPr>
          <w:ilvl w:val="0"/>
          <w:numId w:val="2"/>
        </w:numPr>
        <w:spacing w:after="80" w:line="340"/>
      </w:pPr>
      <w:r>
        <w:t xml:space="preserve">안전·교육·규제는 기술 속도를 따라가지 못하고 있으며, 국가별 규제 방향은 엇갈리고 있다.</w:t>
      </w:r>
    </w:p>
    <w:p>
      <w:pPr>
        <w:pStyle w:val="ListParagraph"/>
        <w:numPr>
          <w:ilvl w:val="0"/>
          <w:numId w:val="2"/>
        </w:numPr>
        <w:spacing w:after="80" w:line="340"/>
      </w:pPr>
      <w:r>
        <w:t xml:space="preserve">한국은 AI 기본법 시행과 GPU·독자 모델 확보로 규제와 육성을 동시에 추진하고 있다.</w:t>
      </w:r>
    </w:p>
    <w:p>
      <w:pPr>
        <w:pStyle w:val="Heading2"/>
      </w:pPr>
      <w:r>
        <w:t xml:space="preserve">2. 시사점 및 제언</w:t>
      </w:r>
    </w:p>
    <w:p>
      <w:pPr>
        <w:spacing w:after="160" w:line="360"/>
        <w:jc w:val="both"/>
      </w:pPr>
      <w:r>
        <w:t xml:space="preserve">AI 발전은 이제 "가능한가"의 문제가 아니라 "어떻게 감당하고 활용할 것인가"의 문제가 되었다. 이를 위해 다음과 같은 대응이 필요하다.</w:t>
      </w:r>
    </w:p>
    <w:p>
      <w:pPr>
        <w:pStyle w:val="ListParagraph"/>
        <w:numPr>
          <w:ilvl w:val="0"/>
          <w:numId w:val="3"/>
        </w:numPr>
        <w:spacing w:after="80" w:line="340"/>
      </w:pPr>
      <w:r>
        <w:t xml:space="preserve">에너지·인프라: 전력망 확충과 재생에너지 연계를 AI 정책과 함께 설계해야 한다.</w:t>
      </w:r>
    </w:p>
    <w:p>
      <w:pPr>
        <w:pStyle w:val="ListParagraph"/>
        <w:numPr>
          <w:ilvl w:val="0"/>
          <w:numId w:val="3"/>
        </w:numPr>
        <w:spacing w:after="80" w:line="340"/>
      </w:pPr>
      <w:r>
        <w:t xml:space="preserve">인력·교육: 반복 업무 축소에 대비해 재교육을 확대하고, 학교 현장의 AI 활용 지침을 조속히 마련해야 한다.</w:t>
      </w:r>
    </w:p>
    <w:p>
      <w:pPr>
        <w:pStyle w:val="ListParagraph"/>
        <w:numPr>
          <w:ilvl w:val="0"/>
          <w:numId w:val="3"/>
        </w:numPr>
        <w:spacing w:after="80" w:line="340"/>
      </w:pPr>
      <w:r>
        <w:t xml:space="preserve">안전·신뢰: 에이전트 AI의 행동을 감시·기록하는 체계와 사고 보고 제도를 강화해야 한다.</w:t>
      </w:r>
    </w:p>
    <w:p>
      <w:pPr>
        <w:pStyle w:val="ListParagraph"/>
        <w:numPr>
          <w:ilvl w:val="0"/>
          <w:numId w:val="3"/>
        </w:numPr>
        <w:spacing w:after="80" w:line="340"/>
      </w:pPr>
      <w:r>
        <w:t xml:space="preserve">규제의 균형: AI 기본법의 유예 기간 동안 하위 기준을 명확히 하여 혁신과 안전을 함께 확보해야 한다.</w:t>
      </w:r>
    </w:p>
    <w:p>
      <w:pPr>
        <w:spacing w:after="160" w:line="360"/>
        <w:jc w:val="both"/>
      </w:pPr>
      <w:r>
        <w:t xml:space="preserve">AI는 생산성과 과학 발전에 큰 기회를 주는 동시에, 그 혜택과 위험이 고르게 나뉘지 않을 수 있다는 과제를 안고 있다. 기술의 속도에 맞춰 제도와 사회의 준비 속도를 높이는 것이 앞으로 AI 발전의 성패를 가를 것이다.</w:t>
      </w:r>
    </w:p>
    <w:p>
      <w:r>
        <w:br w:type="page"/>
      </w:r>
    </w:p>
    <w:p>
      <w:pPr>
        <w:pStyle w:val="Heading1"/>
      </w:pPr>
      <w:r>
        <w:t xml:space="preserve">참고 자료</w:t>
      </w:r>
    </w:p>
    <w:p>
      <w:pPr>
        <w:pStyle w:val="ListParagraph"/>
        <w:numPr>
          <w:ilvl w:val="0"/>
          <w:numId w:val="4"/>
        </w:numPr>
        <w:spacing w:after="80"/>
      </w:pPr>
      <w:r>
        <w:rPr>
          <w:sz w:val="19"/>
          <w:szCs w:val="19"/>
        </w:rPr>
        <w:t xml:space="preserve">Stanford HAI, The 2026 AI Index Report — hai.stanford.edu/ai-index/2026-ai-index-report</w:t>
      </w:r>
    </w:p>
    <w:p>
      <w:pPr>
        <w:pStyle w:val="ListParagraph"/>
        <w:numPr>
          <w:ilvl w:val="0"/>
          <w:numId w:val="4"/>
        </w:numPr>
        <w:spacing w:after="80"/>
      </w:pPr>
      <w:r>
        <w:rPr>
          <w:sz w:val="19"/>
          <w:szCs w:val="19"/>
        </w:rPr>
        <w:t xml:space="preserve">IEA, Energy and AI — iea.org/reports/key-questions-on-energy-and-ai</w:t>
      </w:r>
    </w:p>
    <w:p>
      <w:pPr>
        <w:pStyle w:val="ListParagraph"/>
        <w:numPr>
          <w:ilvl w:val="0"/>
          <w:numId w:val="4"/>
        </w:numPr>
        <w:spacing w:after="80"/>
      </w:pPr>
      <w:r>
        <w:rPr>
          <w:sz w:val="19"/>
          <w:szCs w:val="19"/>
        </w:rPr>
        <w:t xml:space="preserve">PwC, Global investment in AI infrastructure (2026) / 2026 Global AI Jobs Barometer — pwc.com</w:t>
      </w:r>
    </w:p>
    <w:p>
      <w:pPr>
        <w:pStyle w:val="ListParagraph"/>
        <w:numPr>
          <w:ilvl w:val="0"/>
          <w:numId w:val="4"/>
        </w:numPr>
        <w:spacing w:after="80"/>
      </w:pPr>
      <w:r>
        <w:rPr>
          <w:sz w:val="19"/>
          <w:szCs w:val="19"/>
        </w:rPr>
        <w:t xml:space="preserve">Futurum, AI Capex 2026: The $690B Infrastructure Sprint — futurumgroup.com</w:t>
      </w:r>
    </w:p>
    <w:p>
      <w:pPr>
        <w:pStyle w:val="ListParagraph"/>
        <w:numPr>
          <w:ilvl w:val="0"/>
          <w:numId w:val="4"/>
        </w:numPr>
        <w:spacing w:after="80"/>
      </w:pPr>
      <w:r>
        <w:rPr>
          <w:sz w:val="19"/>
          <w:szCs w:val="19"/>
        </w:rPr>
        <w:t xml:space="preserve">S&amp;P Global, AI impact on employment 2026 — spglobal.com</w:t>
      </w:r>
    </w:p>
    <w:p>
      <w:pPr>
        <w:pStyle w:val="ListParagraph"/>
        <w:numPr>
          <w:ilvl w:val="0"/>
          <w:numId w:val="4"/>
        </w:numPr>
        <w:spacing w:after="80"/>
      </w:pPr>
      <w:r>
        <w:rPr>
          <w:sz w:val="19"/>
          <w:szCs w:val="19"/>
        </w:rPr>
        <w:t xml:space="preserve">Harvard Business Review, Research: How AI Is Changing the Labor Market (2026.3) — hbr.org</w:t>
      </w:r>
    </w:p>
    <w:p>
      <w:pPr>
        <w:pStyle w:val="ListParagraph"/>
        <w:numPr>
          <w:ilvl w:val="0"/>
          <w:numId w:val="4"/>
        </w:numPr>
        <w:spacing w:after="80"/>
      </w:pPr>
      <w:r>
        <w:rPr>
          <w:sz w:val="19"/>
          <w:szCs w:val="19"/>
        </w:rPr>
        <w:t xml:space="preserve">IMF, New Jobs Creation in the AI Age (SDN/2026/001) — imf.org</w:t>
      </w:r>
    </w:p>
    <w:p>
      <w:pPr>
        <w:pStyle w:val="ListParagraph"/>
        <w:numPr>
          <w:ilvl w:val="0"/>
          <w:numId w:val="4"/>
        </w:numPr>
        <w:spacing w:after="80"/>
      </w:pPr>
      <w:r>
        <w:rPr>
          <w:sz w:val="19"/>
          <w:szCs w:val="19"/>
        </w:rPr>
        <w:t xml:space="preserve">Stimson Center, South Korea's AI Basic Act (2026) — stimson.org</w:t>
      </w:r>
    </w:p>
    <w:p>
      <w:pPr>
        <w:pStyle w:val="ListParagraph"/>
        <w:numPr>
          <w:ilvl w:val="0"/>
          <w:numId w:val="4"/>
        </w:numPr>
        <w:spacing w:after="80"/>
      </w:pPr>
      <w:r>
        <w:rPr>
          <w:sz w:val="19"/>
          <w:szCs w:val="19"/>
        </w:rPr>
        <w:t xml:space="preserve">White &amp; Case, AI Watch: Global regulatory tracker – South Korea — whitecase.com</w:t>
      </w:r>
    </w:p>
    <w:p>
      <w:pPr>
        <w:pStyle w:val="ListParagraph"/>
        <w:numPr>
          <w:ilvl w:val="0"/>
          <w:numId w:val="4"/>
        </w:numPr>
        <w:spacing w:after="80"/>
      </w:pPr>
      <w:r>
        <w:rPr>
          <w:sz w:val="19"/>
          <w:szCs w:val="19"/>
        </w:rPr>
        <w:t xml:space="preserve">Greenberg Traurig, White House Executive Order Targeting Frontier AI Models (2026.6) — gtlaw.com</w:t>
      </w:r>
    </w:p>
    <w:p>
      <w:pPr>
        <w:pStyle w:val="ListParagraph"/>
        <w:numPr>
          <w:ilvl w:val="0"/>
          <w:numId w:val="4"/>
        </w:numPr>
        <w:spacing w:after="80"/>
      </w:pPr>
      <w:r>
        <w:rPr>
          <w:sz w:val="19"/>
          <w:szCs w:val="19"/>
        </w:rPr>
        <w:t xml:space="preserve">NVIDIA Newsroom, South Korea AI infrastructure — nvidianews.nvidia.com</w:t>
      </w:r>
    </w:p>
    <w:p>
      <w:pPr>
        <w:pStyle w:val="ListParagraph"/>
        <w:numPr>
          <w:ilvl w:val="0"/>
          <w:numId w:val="4"/>
        </w:numPr>
        <w:spacing w:after="80"/>
      </w:pPr>
      <w:r>
        <w:rPr>
          <w:sz w:val="19"/>
          <w:szCs w:val="19"/>
        </w:rPr>
        <w:t xml:space="preserve">The AI Insider, South Korea's AI G3 Strategy: Decoded (2026.9) — theaiinsider.tech</w:t>
      </w:r>
    </w:p>
    <w:p>
      <w:pPr>
        <w:pStyle w:val="ListParagraph"/>
        <w:numPr>
          <w:ilvl w:val="0"/>
          <w:numId w:val="4"/>
        </w:numPr>
        <w:spacing w:after="80"/>
      </w:pPr>
      <w:r>
        <w:rPr>
          <w:sz w:val="19"/>
          <w:szCs w:val="19"/>
        </w:rPr>
        <w:t xml:space="preserve">Netguru, Latest AI developments 2026 — netguru.com</w:t>
      </w:r>
    </w:p>
    <w:sectPr>
      <w:footerReference w:type="default" r:id="rId6"/>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5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200" w:before="360"/>
      <w:outlineLvl w:val="0"/>
    </w:pPr>
    <w:rPr>
      <w:rFonts w:ascii="Malgun Gothic" w:cs="Malgun Gothic" w:eastAsia="Malgun Gothic" w:hAnsi="Malgun Gothic"/>
      <w:b/>
      <w:bCs/>
      <w:color w:val="1F4E79"/>
      <w:sz w:val="32"/>
      <w:szCs w:val="32"/>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2026-10-04T06:38:58.008Z</dcterms:created>
  <dcterms:modified xsi:type="dcterms:W3CDTF">2026-10-04T06:38:58.009Z</dcterms:modified>
</cp:coreProperties>
</file>

<file path=docProps/custom.xml><?xml version="1.0" encoding="utf-8"?>
<Properties xmlns="http://schemas.openxmlformats.org/officeDocument/2006/custom-properties" xmlns:vt="http://schemas.openxmlformats.org/officeDocument/2006/docPropsVTypes"/>
</file>