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400"/>
        <w:jc w:val="center"/>
      </w:pPr>
      <w:r>
        <w:rPr>
          <w:rFonts w:ascii="맑은 고딕" w:cs="맑은 고딕" w:eastAsia="맑은 고딕" w:hAnsi="맑은 고딕"/>
          <w:b/>
          <w:bCs/>
          <w:color w:val="1F3864"/>
          <w:sz w:val="52"/>
          <w:szCs w:val="52"/>
        </w:rPr>
        <w:t xml:space="preserve">AI 발전 동향 보고서</w:t>
      </w:r>
    </w:p>
    <w:p>
      <w:pPr>
        <w:spacing w:after="1200"/>
        <w:jc w:val="center"/>
      </w:pPr>
      <w:r>
        <w:rPr>
          <w:rFonts w:ascii="맑은 고딕" w:cs="맑은 고딕" w:eastAsia="맑은 고딕" w:hAnsi="맑은 고딕"/>
          <w:color w:val="595959"/>
          <w:sz w:val="26"/>
          <w:szCs w:val="26"/>
        </w:rPr>
        <w:t xml:space="preserve">기술·산업·규제 측면에서 본 2024–2026년 인공지능의 발전</w:t>
      </w:r>
    </w:p>
    <w:p>
      <w:pPr>
        <w:jc w:val="center"/>
      </w:pPr>
      <w:r>
        <w:rPr>
          <w:rFonts w:ascii="맑은 고딕" w:cs="맑은 고딕" w:eastAsia="맑은 고딕" w:hAnsi="맑은 고딕"/>
          <w:sz w:val="22"/>
          <w:szCs w:val="22"/>
        </w:rPr>
        <w:t xml:space="preserve">작성일: 2026년 10월 4일</w:t>
      </w:r>
    </w:p>
    <w:p>
      <w:pPr>
        <w:jc w:val="center"/>
      </w:pPr>
      <w:r>
        <w:rPr>
          <w:rFonts w:ascii="맑은 고딕" w:cs="맑은 고딕" w:eastAsia="맑은 고딕" w:hAnsi="맑은 고딕"/>
          <w:color w:val="7F7F7F"/>
          <w:sz w:val="20"/>
          <w:szCs w:val="20"/>
        </w:rPr>
        <w:t xml:space="preserve">근거 자료: research/ai-development-research-v2.md</w:t>
      </w:r>
    </w:p>
    <w:p>
      <w:r>
        <w:br w:type="page"/>
      </w:r>
    </w:p>
    <w:p>
      <w:pPr>
        <w:pStyle w:val="Heading1"/>
        <w:spacing w:after="200" w:before="360"/>
      </w:pPr>
      <w:r>
        <w:rPr>
          <w:rFonts w:ascii="맑은 고딕" w:cs="맑은 고딕" w:eastAsia="맑은 고딕" w:hAnsi="맑은 고딕"/>
        </w:rPr>
        <w:t xml:space="preserve">Ⅰ. 서론</w:t>
      </w:r>
    </w:p>
    <w:p>
      <w:pPr>
        <w:pStyle w:val="Heading2"/>
        <w:spacing w:after="120" w:before="240"/>
      </w:pPr>
      <w:r>
        <w:rPr>
          <w:rFonts w:ascii="맑은 고딕" w:cs="맑은 고딕" w:eastAsia="맑은 고딕" w:hAnsi="맑은 고딕"/>
        </w:rPr>
        <w:t xml:space="preserve">1. 배경</w:t>
      </w:r>
    </w:p>
    <w:p>
      <w:pPr>
        <w:spacing w:after="160" w:line="360"/>
      </w:pPr>
      <w:r>
        <w:rPr>
          <w:rFonts w:ascii="맑은 고딕" w:cs="맑은 고딕" w:eastAsia="맑은 고딕" w:hAnsi="맑은 고딕"/>
          <w:sz w:val="22"/>
          <w:szCs w:val="22"/>
        </w:rPr>
        <w:t xml:space="preserve">인공지능(AI)은 2022년 말 생성형 AI가 대중화된 뒤 불과 3년 만에 전 세계 인구의 53%가 사용하는 기술이 되었다. 개인용 컴퓨터나 인터넷보다 빠른 확산 속도다. 2025년 전 세계 기업 AI 투자는 5,817억 달러로 전년보다 130% 늘었고, 조사 대상 조직의 88%가 이미 AI를 쓰고 있다.</w:t>
      </w:r>
    </w:p>
    <w:p>
      <w:pPr>
        <w:spacing w:after="160" w:line="360"/>
      </w:pPr>
      <w:r>
        <w:rPr>
          <w:rFonts w:ascii="맑은 고딕" w:cs="맑은 고딕" w:eastAsia="맑은 고딕" w:hAnsi="맑은 고딕"/>
          <w:sz w:val="22"/>
          <w:szCs w:val="22"/>
        </w:rPr>
        <w:t xml:space="preserve">그러나 빠른 발전의 이면에서 AI 사고 증가, 일자리 불안, 에너지 수요 급증 같은 문제도 함께 커지고 있다. EU AI Act(2026년 8월 전면 적용)와 한국 AI 기본법(2026년 1월 시행)처럼 규제도 선언 단계를 지나 실제 집행 단계에 들어섰다.</w:t>
      </w:r>
    </w:p>
    <w:p>
      <w:pPr>
        <w:pStyle w:val="Heading2"/>
        <w:spacing w:after="120" w:before="240"/>
      </w:pPr>
      <w:r>
        <w:rPr>
          <w:rFonts w:ascii="맑은 고딕" w:cs="맑은 고딕" w:eastAsia="맑은 고딕" w:hAnsi="맑은 고딕"/>
        </w:rPr>
        <w:t xml:space="preserve">2. 목적과 범위</w:t>
      </w:r>
    </w:p>
    <w:p>
      <w:pPr>
        <w:spacing w:after="160" w:line="360"/>
      </w:pPr>
      <w:r>
        <w:rPr>
          <w:rFonts w:ascii="맑은 고딕" w:cs="맑은 고딕" w:eastAsia="맑은 고딕" w:hAnsi="맑은 고딕"/>
          <w:sz w:val="22"/>
          <w:szCs w:val="22"/>
        </w:rPr>
        <w:t xml:space="preserve">이 보고서는 2024~2026년 AI 발전 현황을 ① 핵심 기술, ② 산업·경제 영향, ③ 규제·안전·윤리의 세 측면에서 정리하고, 이를 바탕으로 앞으로의 과제와 시사점을 제시하는 것을 목적으로 한다. Stanford AI Index 2026, PwC, Gartner, IEA, EU 집행위원회 등 공신력 있는 기관의 자료를 주로 참고하였다.</w:t>
      </w:r>
    </w:p>
    <w:p>
      <w:pPr>
        <w:pStyle w:val="Heading1"/>
        <w:spacing w:after="200" w:before="360"/>
      </w:pPr>
      <w:r>
        <w:rPr>
          <w:rFonts w:ascii="맑은 고딕" w:cs="맑은 고딕" w:eastAsia="맑은 고딕" w:hAnsi="맑은 고딕"/>
        </w:rPr>
        <w:t xml:space="preserve">Ⅱ. 본론</w:t>
      </w:r>
    </w:p>
    <w:p>
      <w:pPr>
        <w:pStyle w:val="Heading2"/>
        <w:spacing w:after="120" w:before="240"/>
      </w:pPr>
      <w:r>
        <w:rPr>
          <w:rFonts w:ascii="맑은 고딕" w:cs="맑은 고딕" w:eastAsia="맑은 고딕" w:hAnsi="맑은 고딕"/>
        </w:rPr>
        <w:t xml:space="preserve">1. 핵심 기술의 발전</w:t>
      </w:r>
    </w:p>
    <w:p>
      <w:pPr>
        <w:spacing w:after="160" w:line="360"/>
      </w:pPr>
      <w:r>
        <w:rPr>
          <w:rFonts w:ascii="맑은 고딕" w:cs="맑은 고딕" w:eastAsia="맑은 고딕" w:hAnsi="맑은 고딕"/>
          <w:sz w:val="22"/>
          <w:szCs w:val="22"/>
        </w:rPr>
        <w:t xml:space="preserve">① 프런티어 모델 성능의 가속. 2025년 주요 프런티어 모델의 90% 이상을 산업계가 개발했으며, 여러 모델이 박사 수준 과학 문제, 멀티모달 추론, 경시 수학에서 인간 기준선과 같거나 그 이상의 성능을 보였다. 코딩 벤치마크 SWE-bench Verified 점수는 1년 만에 약 60%에서 100% 가까이로 올랐다.</w:t>
      </w:r>
    </w:p>
    <w:p>
      <w:pPr>
        <w:spacing w:after="160" w:line="360"/>
      </w:pPr>
      <w:r>
        <w:rPr>
          <w:rFonts w:ascii="맑은 고딕" w:cs="맑은 고딕" w:eastAsia="맑은 고딕" w:hAnsi="맑은 고딕"/>
          <w:sz w:val="22"/>
          <w:szCs w:val="22"/>
        </w:rPr>
        <w:t xml:space="preserve">② 들쭉날쭉한 프런티어. 국제수학올림피아드에서 금메달 수준인 모델이 아날로그 시계는 50.1%만 바르게 읽는다. 벤치마크 점수만으로는 실제 업무 성능을 판단하기 어렵다는 뜻이다.</w:t>
      </w:r>
    </w:p>
    <w:p>
      <w:pPr>
        <w:spacing w:after="160" w:line="360"/>
      </w:pPr>
      <w:r>
        <w:rPr>
          <w:rFonts w:ascii="맑은 고딕" w:cs="맑은 고딕" w:eastAsia="맑은 고딕" w:hAnsi="맑은 고딕"/>
          <w:sz w:val="22"/>
          <w:szCs w:val="22"/>
        </w:rPr>
        <w:t xml:space="preserve">③ 챗봇에서 에이전트로. 스스로 컴퓨터를 조작해 과제를 수행하는 AI 에이전트의 OSWorld 성공률은 12%에서 약 66%로 높아졌다. Gartner 조사에서 현재 에이전트를 도입한 조직은 17%이지만 60% 이상이 2년 안에 도입할 계획이며, 기업 리더의 84%가 관련 투자를 늘릴 것이라고 답했다.</w:t>
      </w:r>
    </w:p>
    <w:p>
      <w:pPr>
        <w:spacing w:after="160" w:line="360"/>
      </w:pPr>
      <w:r>
        <w:rPr>
          <w:rFonts w:ascii="맑은 고딕" w:cs="맑은 고딕" w:eastAsia="맑은 고딕" w:hAnsi="맑은 고딕"/>
          <w:sz w:val="22"/>
          <w:szCs w:val="22"/>
        </w:rPr>
        <w:t xml:space="preserve">④ 미·중 경쟁. 두 나라의 모델 성능 격차는 사실상 사라졌으나(2026년 3월 기준 2.7% 차이), 2025년 미국 민간 AI 투자(2,859억 달러)는 중국(124억 달러)의 23배를 넘어 자본과 인프라 격차는 여전히 크다.</w:t>
      </w:r>
    </w:p>
    <w:p>
      <w:pPr>
        <w:pStyle w:val="Heading2"/>
        <w:spacing w:after="120" w:before="240"/>
      </w:pPr>
      <w:r>
        <w:rPr>
          <w:rFonts w:ascii="맑은 고딕" w:cs="맑은 고딕" w:eastAsia="맑은 고딕" w:hAnsi="맑은 고딕"/>
        </w:rPr>
        <w:t xml:space="preserve">2. 산업·경제에 미치는 영향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626"/>
      </w:tblGrid>
      <w:tr>
        <w:tc>
          <w:tcPr>
            <w:tcW w:type="dxa" w:w="3000"/>
            <w:shd w:fill="1F3864" w:color="auto"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지표</w:t>
            </w:r>
          </w:p>
        </w:tc>
        <w:tc>
          <w:tcPr>
            <w:tcW w:type="dxa" w:w="2400"/>
            <w:shd w:fill="1F3864" w:color="auto"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수치</w:t>
            </w:r>
          </w:p>
        </w:tc>
        <w:tc>
          <w:tcPr>
            <w:tcW w:type="dxa" w:w="3626"/>
            <w:shd w:fill="1F3864" w:color="auto" w:val="clear"/>
            <w:tcMar>
              <w:top w:type="dxa" w:w="80"/>
              <w:left w:type="dxa" w:w="120"/>
              <w:bottom w:type="dxa" w:w="80"/>
              <w:right w:type="dxa" w:w="120"/>
            </w:tcMar>
          </w:tcPr>
          <w:p>
            <w:r>
              <w:rPr>
                <w:rFonts w:ascii="맑은 고딕" w:cs="맑은 고딕" w:eastAsia="맑은 고딕" w:hAnsi="맑은 고딕"/>
                <w:b/>
                <w:bCs/>
                <w:color w:val="FFFFFF"/>
                <w:sz w:val="20"/>
                <w:szCs w:val="20"/>
              </w:rPr>
              <w:t xml:space="preserve">출처</w:t>
            </w:r>
          </w:p>
        </w:tc>
      </w:tr>
      <w:tr>
        <w:tc>
          <w:tcPr>
            <w:tcW w:type="dxa" w:w="3000"/>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전 세계 기업 AI 투자(2025)</w:t>
            </w:r>
          </w:p>
        </w:tc>
        <w:tc>
          <w:tcPr>
            <w:tcW w:type="dxa" w:w="2400"/>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5,817억 달러 (+130%)</w:t>
            </w:r>
          </w:p>
        </w:tc>
        <w:tc>
          <w:tcPr>
            <w:tcW w:type="dxa" w:w="3626"/>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Stanford AI Index 2026</w:t>
            </w:r>
          </w:p>
        </w:tc>
      </w:tr>
      <w:tr>
        <w:tc>
          <w:tcPr>
            <w:tcW w:type="dxa" w:w="3000"/>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생성형 AI 투자(2025)</w:t>
            </w:r>
          </w:p>
        </w:tc>
        <w:tc>
          <w:tcPr>
            <w:tcW w:type="dxa" w:w="2400"/>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1,709억 달러 (약 5배)</w:t>
            </w:r>
          </w:p>
        </w:tc>
        <w:tc>
          <w:tcPr>
            <w:tcW w:type="dxa" w:w="3626"/>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Stanford AI Index 2026</w:t>
            </w:r>
          </w:p>
        </w:tc>
      </w:tr>
      <w:tr>
        <w:tc>
          <w:tcPr>
            <w:tcW w:type="dxa" w:w="3000"/>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AI 노출 업종 생산성 증가(2018→2025)</w:t>
            </w:r>
          </w:p>
        </w:tc>
        <w:tc>
          <w:tcPr>
            <w:tcW w:type="dxa" w:w="2400"/>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34% (저노출 업종 24%)</w:t>
            </w:r>
          </w:p>
        </w:tc>
        <w:tc>
          <w:tcPr>
            <w:tcW w:type="dxa" w:w="3626"/>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PwC AI Jobs Barometer 2026</w:t>
            </w:r>
          </w:p>
        </w:tc>
      </w:tr>
      <w:tr>
        <w:tc>
          <w:tcPr>
            <w:tcW w:type="dxa" w:w="3000"/>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AI 역량 임금 프리미엄</w:t>
            </w:r>
          </w:p>
        </w:tc>
        <w:tc>
          <w:tcPr>
            <w:tcW w:type="dxa" w:w="2400"/>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62% (전년 57%)</w:t>
            </w:r>
          </w:p>
        </w:tc>
        <w:tc>
          <w:tcPr>
            <w:tcW w:type="dxa" w:w="3626"/>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PwC AI Jobs Barometer 2026</w:t>
            </w:r>
          </w:p>
        </w:tc>
      </w:tr>
      <w:tr>
        <w:tc>
          <w:tcPr>
            <w:tcW w:type="dxa" w:w="3000"/>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2026년 AI로 인한 고용 감소 예상</w:t>
            </w:r>
          </w:p>
        </w:tc>
        <w:tc>
          <w:tcPr>
            <w:tcW w:type="dxa" w:w="2400"/>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0.4% 미만</w:t>
            </w:r>
          </w:p>
        </w:tc>
        <w:tc>
          <w:tcPr>
            <w:tcW w:type="dxa" w:w="3626"/>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NBER 경영진 설문</w:t>
            </w:r>
          </w:p>
        </w:tc>
      </w:tr>
      <w:tr>
        <w:tc>
          <w:tcPr>
            <w:tcW w:type="dxa" w:w="3000"/>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22~25세 SW 개발자 고용 변화</w:t>
            </w:r>
          </w:p>
        </w:tc>
        <w:tc>
          <w:tcPr>
            <w:tcW w:type="dxa" w:w="2400"/>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2024년 대비 약 20% 감소</w:t>
            </w:r>
          </w:p>
        </w:tc>
        <w:tc>
          <w:tcPr>
            <w:tcW w:type="dxa" w:w="3626"/>
            <w:tcMar>
              <w:top w:type="dxa" w:w="80"/>
              <w:left w:type="dxa" w:w="120"/>
              <w:bottom w:type="dxa" w:w="80"/>
              <w:right w:type="dxa" w:w="120"/>
            </w:tcMar>
          </w:tcPr>
          <w:p>
            <w:r>
              <w:rPr>
                <w:rFonts w:ascii="맑은 고딕" w:cs="맑은 고딕" w:eastAsia="맑은 고딕" w:hAnsi="맑은 고딕"/>
                <w:b w:val="false"/>
                <w:bCs w:val="false"/>
                <w:sz w:val="20"/>
                <w:szCs w:val="20"/>
              </w:rPr>
              <w:t xml:space="preserve">Stanford AI Index 2026</w:t>
            </w:r>
          </w:p>
        </w:tc>
      </w:tr>
    </w:tbl>
    <w:p>
      <w:pPr>
        <w:spacing w:after="160" w:line="360"/>
      </w:pPr>
      <w:r>
        <w:rPr>
          <w:rFonts w:ascii="맑은 고딕" w:cs="맑은 고딕" w:eastAsia="맑은 고딕" w:hAnsi="맑은 고딕"/>
          <w:sz w:val="22"/>
          <w:szCs w:val="22"/>
        </w:rPr>
        <w:t xml:space="preserve"/>
      </w:r>
    </w:p>
    <w:p>
      <w:pPr>
        <w:spacing w:after="160" w:line="360"/>
      </w:pPr>
      <w:r>
        <w:rPr>
          <w:rFonts w:ascii="맑은 고딕" w:cs="맑은 고딕" w:eastAsia="맑은 고딕" w:hAnsi="맑은 고딕"/>
          <w:sz w:val="22"/>
          <w:szCs w:val="22"/>
        </w:rPr>
        <w:t xml:space="preserve">생산성 측면에서는 AI 노출도가 높은 업종과 기업이 뚜렷하게 앞서 나가고 있으며, AI 역량을 갖춘 노동자의 임금 프리미엄도 커지고 있다. 반면 전체 고용에 미치는 영향은 아직 작지만, 영향이 신입 채용과 청년층에 몰려 '경력 사다리의 첫 계단'이 약해지는 문제가 나타나고 있다.</w:t>
      </w:r>
    </w:p>
    <w:p>
      <w:pPr>
        <w:spacing w:after="160" w:line="360"/>
      </w:pPr>
      <w:r>
        <w:rPr>
          <w:rFonts w:ascii="맑은 고딕" w:cs="맑은 고딕" w:eastAsia="맑은 고딕" w:hAnsi="맑은 고딕"/>
          <w:sz w:val="22"/>
          <w:szCs w:val="22"/>
        </w:rPr>
        <w:t xml:space="preserve">AI는 에너지와 인프라에도 새로운 부담을 주고 있다. 2025년 AI 중심 데이터센터의 전력 수요는 50% 늘어 전 세계 전력 수요 증가율(3%)을 크게 웃돌았고, IEA는 데이터센터 전력 사용량이 2030년까지 약 945TWh로 두 배 가까이 늘 것으로 전망한다. 한편 AI 작업당 에너지 효율은 해마다 10배 이상 좋아지고 있다.</w:t>
      </w:r>
    </w:p>
    <w:p>
      <w:pPr>
        <w:pStyle w:val="Heading2"/>
        <w:spacing w:after="120" w:before="240"/>
      </w:pPr>
      <w:r>
        <w:rPr>
          <w:rFonts w:ascii="맑은 고딕" w:cs="맑은 고딕" w:eastAsia="맑은 고딕" w:hAnsi="맑은 고딕"/>
        </w:rPr>
        <w:t xml:space="preserve">3. 규제·안전·윤리의 과제</w:t>
      </w:r>
    </w:p>
    <w:p>
      <w:pPr>
        <w:spacing w:after="160" w:line="360"/>
      </w:pPr>
      <w:r>
        <w:rPr>
          <w:rFonts w:ascii="맑은 고딕" w:cs="맑은 고딕" w:eastAsia="맑은 고딕" w:hAnsi="맑은 고딕"/>
          <w:sz w:val="22"/>
          <w:szCs w:val="22"/>
        </w:rPr>
        <w:t xml:space="preserve">① 사고와 신뢰. 기록된 AI 사고는 2024년 233건에서 2025년 362건으로 늘었다. 전문가의 73%는 AI가 일자리에 긍정적일 것이라 보지만 일반 대중은 23%에 그쳐, 인식 차이가 50%p에 이른다.</w:t>
      </w:r>
    </w:p>
    <w:p>
      <w:pPr>
        <w:spacing w:after="160" w:line="360"/>
      </w:pPr>
      <w:r>
        <w:rPr>
          <w:rFonts w:ascii="맑은 고딕" w:cs="맑은 고딕" w:eastAsia="맑은 고딕" w:hAnsi="맑은 고딕"/>
          <w:sz w:val="22"/>
          <w:szCs w:val="22"/>
        </w:rPr>
        <w:t xml:space="preserve">② EU AI Act. 범용 AI(GPAI) 모델 제공자의 의무가 2025년 8월부터 시작되었고, 2026년 8월 2일 전면 적용되었다. GPAI 제공자는 기술 문서 유지, 학습 데이터 요약 공개, 중대 사고 보고 등의 의무를 진다.</w:t>
      </w:r>
    </w:p>
    <w:p>
      <w:pPr>
        <w:spacing w:after="160" w:line="360"/>
      </w:pPr>
      <w:r>
        <w:rPr>
          <w:rFonts w:ascii="맑은 고딕" w:cs="맑은 고딕" w:eastAsia="맑은 고딕" w:hAnsi="맑은 고딕"/>
          <w:sz w:val="22"/>
          <w:szCs w:val="22"/>
        </w:rPr>
        <w:t xml:space="preserve">③ 한국 AI 기본법. 「인공지능 발전과 신뢰 기반 조성 등에 관한 기본법」이 2026년 1월 22일 시행되었다. 산업 진흥과 함께 생성형 AI 결과물 고지, 고영향 AI(의료·채용·대출·에너지)의 영향평가와 위험관리, 해외 사업자의 국내 대리인 지정을 의무로 정했다. 과태료 상한은 3,000만 원이며, 최소 1년의 계도 기간을 둔다.</w:t>
      </w:r>
    </w:p>
    <w:p>
      <w:pPr>
        <w:pStyle w:val="Heading1"/>
        <w:spacing w:after="200" w:before="360"/>
      </w:pPr>
      <w:r>
        <w:rPr>
          <w:rFonts w:ascii="맑은 고딕" w:cs="맑은 고딕" w:eastAsia="맑은 고딕" w:hAnsi="맑은 고딕"/>
        </w:rPr>
        <w:t xml:space="preserve">Ⅲ. 결론</w:t>
      </w:r>
    </w:p>
    <w:p>
      <w:pPr>
        <w:pStyle w:val="Heading2"/>
        <w:spacing w:after="120" w:before="240"/>
      </w:pPr>
      <w:r>
        <w:rPr>
          <w:rFonts w:ascii="맑은 고딕" w:cs="맑은 고딕" w:eastAsia="맑은 고딕" w:hAnsi="맑은 고딕"/>
        </w:rPr>
        <w:t xml:space="preserve">1. 요약</w:t>
      </w:r>
    </w:p>
    <w:p>
      <w:pPr>
        <w:spacing w:after="160" w:line="360"/>
      </w:pPr>
      <w:r>
        <w:rPr>
          <w:rFonts w:ascii="맑은 고딕" w:cs="맑은 고딕" w:eastAsia="맑은 고딕" w:hAnsi="맑은 고딕"/>
          <w:sz w:val="22"/>
          <w:szCs w:val="22"/>
        </w:rPr>
        <w:t xml:space="preserve">2024~2026년 AI는 성능, 확산 속도, 투자 규모 모두에서 전례 없는 발전을 이루었다. 그러나 그 발전은 고르지 않다. 기술 성능은 영역마다 들쭉날쭉하고, 경제적 혜택은 일부 기업과 숙련 노동자에게 몰리며, 안전·정책·교육은 기술의 속도를 따라가지 못하고 있다.</w:t>
      </w:r>
    </w:p>
    <w:p>
      <w:pPr>
        <w:pStyle w:val="Heading2"/>
        <w:spacing w:after="120" w:before="240"/>
      </w:pPr>
      <w:r>
        <w:rPr>
          <w:rFonts w:ascii="맑은 고딕" w:cs="맑은 고딕" w:eastAsia="맑은 고딕" w:hAnsi="맑은 고딕"/>
        </w:rPr>
        <w:t xml:space="preserve">2. 시사점과 제언</w:t>
      </w:r>
    </w:p>
    <w:p>
      <w:pPr>
        <w:pStyle w:val="ListParagraph"/>
        <w:numPr>
          <w:ilvl w:val="0"/>
          <w:numId w:val="2"/>
        </w:numPr>
        <w:spacing w:after="80" w:line="340"/>
      </w:pPr>
      <w:r>
        <w:rPr>
          <w:rFonts w:ascii="맑은 고딕" w:cs="맑은 고딕" w:eastAsia="맑은 고딕" w:hAnsi="맑은 고딕"/>
          <w:sz w:val="22"/>
          <w:szCs w:val="22"/>
        </w:rPr>
        <w:t xml:space="preserve">기업: 벤치마크 점수보다 실제 업무 환경에서 검증하고, 에이전트 도입 시 거버넌스와 변화관리를 먼저 갖춰야 한다.</w:t>
      </w:r>
    </w:p>
    <w:p>
      <w:pPr>
        <w:pStyle w:val="ListParagraph"/>
        <w:numPr>
          <w:ilvl w:val="0"/>
          <w:numId w:val="2"/>
        </w:numPr>
        <w:spacing w:after="80" w:line="340"/>
      </w:pPr>
      <w:r>
        <w:rPr>
          <w:rFonts w:ascii="맑은 고딕" w:cs="맑은 고딕" w:eastAsia="맑은 고딕" w:hAnsi="맑은 고딕"/>
          <w:sz w:val="22"/>
          <w:szCs w:val="22"/>
        </w:rPr>
        <w:t xml:space="preserve">정부: 한국 AI 기본법의 계도 기간 동안 세부 기준을 명확히 하고, 전력·반도체 등 AI 인프라를 확충해야 한다.</w:t>
      </w:r>
    </w:p>
    <w:p>
      <w:pPr>
        <w:pStyle w:val="ListParagraph"/>
        <w:numPr>
          <w:ilvl w:val="0"/>
          <w:numId w:val="2"/>
        </w:numPr>
        <w:spacing w:after="80" w:line="340"/>
      </w:pPr>
      <w:r>
        <w:rPr>
          <w:rFonts w:ascii="맑은 고딕" w:cs="맑은 고딕" w:eastAsia="맑은 고딕" w:hAnsi="맑은 고딕"/>
          <w:sz w:val="22"/>
          <w:szCs w:val="22"/>
        </w:rPr>
        <w:t xml:space="preserve">개인·교육: 청년층의 진입 경로를 보완하는 재교육과 AI 활용 역량 교육을 늘려야 한다.</w:t>
      </w:r>
    </w:p>
    <w:p>
      <w:pPr>
        <w:pStyle w:val="ListParagraph"/>
        <w:numPr>
          <w:ilvl w:val="0"/>
          <w:numId w:val="2"/>
        </w:numPr>
        <w:spacing w:after="80" w:line="340"/>
      </w:pPr>
      <w:r>
        <w:rPr>
          <w:rFonts w:ascii="맑은 고딕" w:cs="맑은 고딕" w:eastAsia="맑은 고딕" w:hAnsi="맑은 고딕"/>
          <w:sz w:val="22"/>
          <w:szCs w:val="22"/>
        </w:rPr>
        <w:t xml:space="preserve">사회: AI 사고 보고 체계와 투명성을 높여 전문가와 대중 사이의 신뢰 격차를 줄여야 한다.</w:t>
      </w:r>
    </w:p>
    <w:p>
      <w:pPr>
        <w:spacing w:after="160" w:line="360"/>
      </w:pPr>
      <w:r>
        <w:rPr>
          <w:rFonts w:ascii="맑은 고딕" w:cs="맑은 고딕" w:eastAsia="맑은 고딕" w:hAnsi="맑은 고딕"/>
          <w:sz w:val="22"/>
          <w:szCs w:val="22"/>
        </w:rPr>
        <w:t xml:space="preserve">AI 발전의 방향은 기술 자체만큼이나 그것을 둘러싼 제도와 사회적 준비에 달려 있다. 앞으로의 경쟁력은 '얼마나 뛰어난 AI를 만드느냐'와 함께 '얼마나 안전하고 고르게 활용하느냐'로 결정될 것이다.</w:t>
      </w:r>
    </w:p>
    <w:p>
      <w:pPr>
        <w:pStyle w:val="Heading1"/>
        <w:spacing w:after="200" w:before="360"/>
      </w:pPr>
      <w:r>
        <w:rPr>
          <w:rFonts w:ascii="맑은 고딕" w:cs="맑은 고딕" w:eastAsia="맑은 고딕" w:hAnsi="맑은 고딕"/>
        </w:rPr>
        <w:t xml:space="preserve">참고문헌</w:t>
      </w:r>
    </w:p>
    <w:p>
      <w:pPr>
        <w:spacing w:after="100"/>
      </w:pPr>
      <w:r>
        <w:rPr>
          <w:rFonts w:ascii="맑은 고딕" w:cs="맑은 고딕" w:eastAsia="맑은 고딕" w:hAnsi="맑은 고딕"/>
          <w:sz w:val="18"/>
          <w:szCs w:val="18"/>
        </w:rPr>
        <w:t xml:space="preserve">Stanford HAI (2026). The 2026 AI Index Report. https://hai.stanford.edu/ai-index/2026-ai-index-report</w:t>
      </w:r>
    </w:p>
    <w:p>
      <w:pPr>
        <w:spacing w:after="100"/>
      </w:pPr>
      <w:r>
        <w:rPr>
          <w:rFonts w:ascii="맑은 고딕" w:cs="맑은 고딕" w:eastAsia="맑은 고딕" w:hAnsi="맑은 고딕"/>
          <w:sz w:val="18"/>
          <w:szCs w:val="18"/>
        </w:rPr>
        <w:t xml:space="preserve">PwC (2026). 2026 Global AI Jobs Barometer. https://www.pwc.com/gx/en/news-room/press-releases/2026/pwc-2026-ai-jobs-barometer.html</w:t>
      </w:r>
    </w:p>
    <w:p>
      <w:pPr>
        <w:spacing w:after="100"/>
      </w:pPr>
      <w:r>
        <w:rPr>
          <w:rFonts w:ascii="맑은 고딕" w:cs="맑은 고딕" w:eastAsia="맑은 고딕" w:hAnsi="맑은 고딕"/>
          <w:sz w:val="18"/>
          <w:szCs w:val="18"/>
        </w:rPr>
        <w:t xml:space="preserve">NBER (2026). Artificial Intelligence, Productivity, and the Workforce (w34984). https://www.nber.org/papers/w34984</w:t>
      </w:r>
    </w:p>
    <w:p>
      <w:pPr>
        <w:spacing w:after="100"/>
      </w:pPr>
      <w:r>
        <w:rPr>
          <w:rFonts w:ascii="맑은 고딕" w:cs="맑은 고딕" w:eastAsia="맑은 고딕" w:hAnsi="맑은 고딕"/>
          <w:sz w:val="18"/>
          <w:szCs w:val="18"/>
        </w:rPr>
        <w:t xml:space="preserve">S&amp;P Global (2026). AI impact on employment 2026. https://www.spglobal.com/en/research-insights/special-reports/ai-impact-on-employment-2026</w:t>
      </w:r>
    </w:p>
    <w:p>
      <w:pPr>
        <w:spacing w:after="100"/>
      </w:pPr>
      <w:r>
        <w:rPr>
          <w:rFonts w:ascii="맑은 고딕" w:cs="맑은 고딕" w:eastAsia="맑은 고딕" w:hAnsi="맑은 고딕"/>
          <w:sz w:val="18"/>
          <w:szCs w:val="18"/>
        </w:rPr>
        <w:t xml:space="preserve">Gartner (2026). Hype Cycle for Agentic AI. https://www.gartner.com/en/articles/hype-cycle-for-agentic-ai</w:t>
      </w:r>
    </w:p>
    <w:p>
      <w:pPr>
        <w:spacing w:after="100"/>
      </w:pPr>
      <w:r>
        <w:rPr>
          <w:rFonts w:ascii="맑은 고딕" w:cs="맑은 고딕" w:eastAsia="맑은 고딕" w:hAnsi="맑은 고딕"/>
          <w:sz w:val="18"/>
          <w:szCs w:val="18"/>
        </w:rPr>
        <w:t xml:space="preserve">WRITER (2026). Enterprise AI adoption in 2026. https://writer.com/blog/enterprise-ai-adoption-2026/</w:t>
      </w:r>
    </w:p>
    <w:p>
      <w:pPr>
        <w:spacing w:after="100"/>
      </w:pPr>
      <w:r>
        <w:rPr>
          <w:rFonts w:ascii="맑은 고딕" w:cs="맑은 고딕" w:eastAsia="맑은 고딕" w:hAnsi="맑은 고딕"/>
          <w:sz w:val="18"/>
          <w:szCs w:val="18"/>
        </w:rPr>
        <w:t xml:space="preserve">European Commission. Navigating the AI Act. https://digital-strategy.ec.europa.eu/en/faqs/navigating-ai-act</w:t>
      </w:r>
    </w:p>
    <w:p>
      <w:pPr>
        <w:spacing w:after="100"/>
      </w:pPr>
      <w:r>
        <w:rPr>
          <w:rFonts w:ascii="맑은 고딕" w:cs="맑은 고딕" w:eastAsia="맑은 고딕" w:hAnsi="맑은 고딕"/>
          <w:sz w:val="18"/>
          <w:szCs w:val="18"/>
        </w:rPr>
        <w:t xml:space="preserve">U.S. ITA. South Korea AI Basic Act. https://www.trade.gov/market-intelligence/south-korea-ai-basic-act</w:t>
      </w:r>
    </w:p>
    <w:p>
      <w:pPr>
        <w:spacing w:after="100"/>
      </w:pPr>
      <w:r>
        <w:rPr>
          <w:rFonts w:ascii="맑은 고딕" w:cs="맑은 고딕" w:eastAsia="맑은 고딕" w:hAnsi="맑은 고딕"/>
          <w:sz w:val="18"/>
          <w:szCs w:val="18"/>
        </w:rPr>
        <w:t xml:space="preserve">IEA. Energy and AI: Executive summary. https://www.iea.org/reports/key-questions-on-energy-and-ai/executive-summary</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outlineLvl w:val="0"/>
    </w:pPr>
    <w:rPr>
      <w:rFonts w:ascii="맑은 고딕" w:cs="맑은 고딕" w:eastAsia="맑은 고딕" w:hAnsi="맑은 고딕"/>
      <w:b/>
      <w:bCs/>
      <w:color w:val="1F3864"/>
      <w:sz w:val="32"/>
      <w:szCs w:val="32"/>
    </w:rPr>
  </w:style>
  <w:style w:type="paragraph" w:styleId="Heading2">
    <w:name w:val="Heading 2"/>
    <w:basedOn w:val="Normal"/>
    <w:next w:val="Normal"/>
    <w:qFormat/>
    <w:pPr>
      <w:outlineLvl w:val="1"/>
    </w:pPr>
    <w:rPr>
      <w:rFonts w:ascii="맑은 고딕" w:cs="맑은 고딕" w:eastAsia="맑은 고딕" w:hAnsi="맑은 고딕"/>
      <w:b/>
      <w:bCs/>
      <w:color w:val="2E75B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2026-10-04T07:27:41.135Z</dcterms:created>
  <dcterms:modified xsi:type="dcterms:W3CDTF">2026-10-04T07:27:41.136Z</dcterms:modified>
</cp:coreProperties>
</file>

<file path=docProps/custom.xml><?xml version="1.0" encoding="utf-8"?>
<Properties xmlns="http://schemas.openxmlformats.org/officeDocument/2006/custom-properties" xmlns:vt="http://schemas.openxmlformats.org/officeDocument/2006/docPropsVTypes"/>
</file>