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pPr>
      <w:r>
        <w:rPr>
          <w:rFonts w:ascii="Calibri" w:hAnsi="Calibri"/>
          <w:b/>
          <w:color w:val="1B365D"/>
          <w:sz w:val="48"/>
        </w:rPr>
        <w:t>AI Summarization &amp; Text Condensation Guide</w:t>
      </w:r>
    </w:p>
    <w:p>
      <w:pPr>
        <w:spacing w:after="400"/>
      </w:pPr>
      <w:r>
        <w:rPr>
          <w:rFonts w:ascii="Calibri" w:hAnsi="Calibri"/>
          <w:i/>
          <w:color w:val="555555"/>
          <w:sz w:val="26"/>
        </w:rPr>
        <w:t>A Practical Demonstration of AI-Powered Text Summarization &amp; Prompt Refinement</w:t>
      </w:r>
    </w:p>
    <w:p>
      <w:pPr>
        <w:keepNext/>
        <w:spacing w:before="320" w:after="120"/>
      </w:pPr>
      <w:r>
        <w:rPr>
          <w:rFonts w:ascii="Calibri" w:hAnsi="Calibri"/>
          <w:b/>
          <w:color w:val="1B365D"/>
          <w:sz w:val="32"/>
        </w:rPr>
        <w:t>1. Original Paragraph (Input Text)</w:t>
      </w:r>
    </w:p>
    <w:p>
      <w:pPr>
        <w:spacing w:after="240" w:line="276" w:lineRule="auto"/>
        <w:ind w:left="360" w:right="360"/>
      </w:pPr>
      <w:r>
        <w:rPr>
          <w:rFonts w:ascii="Calibri" w:hAnsi="Calibri"/>
          <w:i/>
          <w:color w:val="444444"/>
          <w:sz w:val="22"/>
        </w:rPr>
        <w:t>"Artificial Intelligence (AI) has rapidly transitioned from a theoretical computer science discipline to a foundational driver of innovation across modern industries. In healthcare, AI technologies—particularly Machine Learning (ML), Computer Vision, and Natural Language Processing (NLP)—are transforming patient diagnosis, treatment planning, and administrative operations. AI models process complex medical data with high accuracy and speed, helping clinicians recognize disease patterns early, streamline workflows, and personalize therapy plans for better patient outcomes."</w:t>
      </w:r>
    </w:p>
    <w:p>
      <w:pPr>
        <w:keepNext/>
        <w:spacing w:before="320" w:after="120"/>
      </w:pPr>
      <w:r>
        <w:rPr>
          <w:rFonts w:ascii="Calibri" w:hAnsi="Calibri"/>
          <w:b/>
          <w:color w:val="1B365D"/>
          <w:sz w:val="32"/>
        </w:rPr>
        <w:t>2. AI Summarization Prompt</w:t>
      </w:r>
    </w:p>
    <w:p>
      <w:pPr>
        <w:spacing w:after="120" w:line="276" w:lineRule="auto"/>
      </w:pPr>
      <w:r>
        <w:rPr>
          <w:rFonts w:ascii="Calibri" w:hAnsi="Calibri"/>
          <w:b/>
          <w:color w:val="222222"/>
          <w:sz w:val="22"/>
        </w:rPr>
        <w:t xml:space="preserve">Prompt Instructions: </w:t>
      </w:r>
      <w:r>
        <w:rPr>
          <w:rFonts w:ascii="Calibri" w:hAnsi="Calibri"/>
          <w:color w:val="333333"/>
          <w:sz w:val="22"/>
        </w:rPr>
        <w:t>Act as an expert technical editor. Summarize the provided paragraph into a concise 2-sentence executive summary. Highlighting the key capabilities of AI in healthcare, core subfields (ML, Computer Vision, NLP), and primary operational benefits.</w:t>
      </w:r>
    </w:p>
    <w:p>
      <w:pPr>
        <w:keepNext/>
        <w:spacing w:before="320" w:after="120"/>
      </w:pPr>
      <w:r>
        <w:rPr>
          <w:rFonts w:ascii="Calibri" w:hAnsi="Calibri"/>
          <w:b/>
          <w:color w:val="1B365D"/>
          <w:sz w:val="32"/>
        </w:rPr>
        <w:t>3. AI-Generated Summarized Outputs</w:t>
      </w:r>
    </w:p>
    <w:p>
      <w:pPr>
        <w:keepNext/>
        <w:spacing w:before="240" w:after="80"/>
      </w:pPr>
      <w:r>
        <w:rPr>
          <w:rFonts w:ascii="Calibri" w:hAnsi="Calibri"/>
          <w:b/>
          <w:color w:val="2B548A"/>
          <w:sz w:val="26"/>
        </w:rPr>
        <w:t>Option A: Executive Summary (2-Sentence Version)</w:t>
      </w:r>
    </w:p>
    <w:p>
      <w:pPr>
        <w:spacing w:after="120" w:line="276" w:lineRule="auto"/>
      </w:pPr>
      <w:r>
        <w:rPr>
          <w:rFonts w:ascii="Calibri" w:hAnsi="Calibri"/>
          <w:color w:val="333333"/>
          <w:sz w:val="22"/>
        </w:rPr>
        <w:t>Artificial Intelligence—powered by Machine Learning, Computer Vision, and Natural Language Processing—is fundamentally transforming modern healthcare operations. By processing complex medical data with speed and precision, AI enables earlier disease detection, streamlined clinical workflows, and personalized patient treatment plans.</w:t>
      </w:r>
    </w:p>
    <w:p>
      <w:pPr>
        <w:keepNext/>
        <w:spacing w:before="240" w:after="80"/>
      </w:pPr>
      <w:r>
        <w:rPr>
          <w:rFonts w:ascii="Calibri" w:hAnsi="Calibri"/>
          <w:b/>
          <w:color w:val="2B548A"/>
          <w:sz w:val="26"/>
        </w:rPr>
        <w:t>Option B: Key Bullet-Point Breakdown</w:t>
      </w:r>
    </w:p>
    <w:p>
      <w:pPr>
        <w:pStyle w:val="ListBullet"/>
        <w:spacing w:after="60"/>
      </w:pPr>
      <w:r>
        <w:rPr>
          <w:b/>
        </w:rPr>
        <w:t xml:space="preserve">Core Drivers: </w:t>
      </w:r>
      <w:r>
        <w:t>Machine Learning (ML), Computer Vision, and Natural Language Processing (NLP).</w:t>
      </w:r>
    </w:p>
    <w:p>
      <w:pPr>
        <w:pStyle w:val="ListBullet"/>
        <w:spacing w:after="60"/>
      </w:pPr>
      <w:r>
        <w:rPr>
          <w:b/>
        </w:rPr>
        <w:t xml:space="preserve">Clinical Impact: </w:t>
      </w:r>
      <w:r>
        <w:t>Accelerates patient diagnosis, enables early pattern recognition, and delivers personalized treatment plans.</w:t>
      </w:r>
    </w:p>
    <w:p>
      <w:pPr>
        <w:pStyle w:val="ListBullet"/>
        <w:spacing w:after="240"/>
      </w:pPr>
      <w:r>
        <w:rPr>
          <w:b/>
        </w:rPr>
        <w:t xml:space="preserve">Operational Value: </w:t>
      </w:r>
      <w:r>
        <w:t>Streamlines administrative tasks, improves clinical speed, and enhances overall healthcare quality.</w:t>
      </w:r>
    </w:p>
    <w:p>
      <w:pPr>
        <w:keepNext/>
        <w:spacing w:before="240" w:after="80"/>
      </w:pPr>
      <w:r>
        <w:rPr>
          <w:rFonts w:ascii="Calibri" w:hAnsi="Calibri"/>
          <w:b/>
          <w:color w:val="2B548A"/>
          <w:sz w:val="26"/>
        </w:rPr>
        <w:t>Option C: Single Ultra-Short Pitch (1-Line)</w:t>
      </w:r>
    </w:p>
    <w:p>
      <w:pPr>
        <w:spacing w:after="120" w:line="276" w:lineRule="auto"/>
      </w:pPr>
      <w:r>
        <w:rPr>
          <w:rFonts w:ascii="Calibri" w:hAnsi="Calibri"/>
          <w:color w:val="333333"/>
          <w:sz w:val="22"/>
        </w:rPr>
        <w:t>AI technologies like ML, NLP, and Computer Vision are revolutionizing healthcare by accelerating diagnoses, personalizing treatments, and optimizing clinical workflows.</w:t>
      </w:r>
    </w:p>
    <w:p>
      <w:pPr>
        <w:keepNext/>
        <w:spacing w:before="320" w:after="120"/>
      </w:pPr>
      <w:r>
        <w:rPr>
          <w:rFonts w:ascii="Calibri" w:hAnsi="Calibri"/>
          <w:b/>
          <w:color w:val="1B365D"/>
          <w:sz w:val="32"/>
        </w:rPr>
        <w:t>4. Compression &amp; Metrics Comparison</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B365D"/>
            <w:tcMar>
              <w:top w:w="120" w:type="dxa"/>
              <w:bottom w:w="120" w:type="dxa"/>
              <w:left w:w="150" w:type="dxa"/>
              <w:right w:w="150" w:type="dxa"/>
            </w:tcMar>
          </w:tcPr>
          <w:p>
            <w:pPr>
              <w:jc w:val="center"/>
            </w:pPr>
            <w:r>
              <w:rPr>
                <w:rFonts w:ascii="Calibri" w:hAnsi="Calibri"/>
                <w:b/>
                <w:color w:val="FFFFFF"/>
                <w:sz w:val="20"/>
              </w:rPr>
              <w:t>Metric / Version</w:t>
            </w:r>
          </w:p>
        </w:tc>
        <w:tc>
          <w:tcPr>
            <w:tcW w:type="dxa" w:w="2340"/>
            <w:shd w:val="clear" w:color="auto" w:fill="1B365D"/>
            <w:tcMar>
              <w:top w:w="120" w:type="dxa"/>
              <w:bottom w:w="120" w:type="dxa"/>
              <w:left w:w="150" w:type="dxa"/>
              <w:right w:w="150" w:type="dxa"/>
            </w:tcMar>
          </w:tcPr>
          <w:p>
            <w:pPr>
              <w:jc w:val="center"/>
            </w:pPr>
            <w:r>
              <w:rPr>
                <w:rFonts w:ascii="Calibri" w:hAnsi="Calibri"/>
                <w:b/>
                <w:color w:val="FFFFFF"/>
                <w:sz w:val="20"/>
              </w:rPr>
              <w:t>Original Text</w:t>
            </w:r>
          </w:p>
        </w:tc>
        <w:tc>
          <w:tcPr>
            <w:tcW w:type="dxa" w:w="2340"/>
            <w:shd w:val="clear" w:color="auto" w:fill="1B365D"/>
            <w:tcMar>
              <w:top w:w="120" w:type="dxa"/>
              <w:bottom w:w="120" w:type="dxa"/>
              <w:left w:w="150" w:type="dxa"/>
              <w:right w:w="150" w:type="dxa"/>
            </w:tcMar>
          </w:tcPr>
          <w:p>
            <w:pPr>
              <w:jc w:val="center"/>
            </w:pPr>
            <w:r>
              <w:rPr>
                <w:rFonts w:ascii="Calibri" w:hAnsi="Calibri"/>
                <w:b/>
                <w:color w:val="FFFFFF"/>
                <w:sz w:val="20"/>
              </w:rPr>
              <w:t>Executive Summary</w:t>
            </w:r>
          </w:p>
        </w:tc>
        <w:tc>
          <w:tcPr>
            <w:tcW w:type="dxa" w:w="2340"/>
            <w:shd w:val="clear" w:color="auto" w:fill="1B365D"/>
            <w:tcMar>
              <w:top w:w="120" w:type="dxa"/>
              <w:bottom w:w="120" w:type="dxa"/>
              <w:left w:w="150" w:type="dxa"/>
              <w:right w:w="150" w:type="dxa"/>
            </w:tcMar>
          </w:tcPr>
          <w:p>
            <w:pPr>
              <w:jc w:val="center"/>
            </w:pPr>
            <w:r>
              <w:rPr>
                <w:rFonts w:ascii="Calibri" w:hAnsi="Calibri"/>
                <w:b/>
                <w:color w:val="FFFFFF"/>
                <w:sz w:val="20"/>
              </w:rPr>
              <w:t>Ultra-Short Pitch</w:t>
            </w:r>
          </w:p>
        </w:tc>
      </w:tr>
      <w:tr>
        <w:tc>
          <w:tcPr>
            <w:tcW w:type="dxa" w:w="2340"/>
            <w:shd w:val="clear" w:color="auto" w:fill="FFFFFF"/>
            <w:tcMar>
              <w:top w:w="100" w:type="dxa"/>
              <w:bottom w:w="100" w:type="dxa"/>
              <w:left w:w="150" w:type="dxa"/>
              <w:right w:w="150" w:type="dxa"/>
            </w:tcMar>
          </w:tcPr>
          <w:p>
            <w:pPr>
              <w:jc w:val="left"/>
            </w:pPr>
            <w:r>
              <w:rPr>
                <w:rFonts w:ascii="Calibri" w:hAnsi="Calibri"/>
                <w:b/>
                <w:color w:val="333333"/>
                <w:sz w:val="20"/>
              </w:rPr>
              <w:t>Word Count</w:t>
            </w:r>
          </w:p>
        </w:tc>
        <w:tc>
          <w:tcPr>
            <w:tcW w:type="dxa" w:w="2340"/>
            <w:shd w:val="clear" w:color="auto" w:fill="FFFFFF"/>
            <w:tcMar>
              <w:top w:w="100" w:type="dxa"/>
              <w:bottom w:w="100" w:type="dxa"/>
              <w:left w:w="150" w:type="dxa"/>
              <w:right w:w="150" w:type="dxa"/>
            </w:tcMar>
          </w:tcPr>
          <w:p>
            <w:pPr>
              <w:jc w:val="center"/>
            </w:pPr>
            <w:r>
              <w:rPr>
                <w:rFonts w:ascii="Calibri" w:hAnsi="Calibri"/>
                <w:color w:val="333333"/>
                <w:sz w:val="20"/>
              </w:rPr>
              <w:t>78 Words</w:t>
            </w:r>
          </w:p>
        </w:tc>
        <w:tc>
          <w:tcPr>
            <w:tcW w:type="dxa" w:w="2340"/>
            <w:shd w:val="clear" w:color="auto" w:fill="FFFFFF"/>
            <w:tcMar>
              <w:top w:w="100" w:type="dxa"/>
              <w:bottom w:w="100" w:type="dxa"/>
              <w:left w:w="150" w:type="dxa"/>
              <w:right w:w="150" w:type="dxa"/>
            </w:tcMar>
          </w:tcPr>
          <w:p>
            <w:pPr>
              <w:jc w:val="center"/>
            </w:pPr>
            <w:r>
              <w:rPr>
                <w:rFonts w:ascii="Calibri" w:hAnsi="Calibri"/>
                <w:color w:val="333333"/>
                <w:sz w:val="20"/>
              </w:rPr>
              <w:t>34 Words</w:t>
            </w:r>
          </w:p>
        </w:tc>
        <w:tc>
          <w:tcPr>
            <w:tcW w:type="dxa" w:w="2340"/>
            <w:shd w:val="clear" w:color="auto" w:fill="FFFFFF"/>
            <w:tcMar>
              <w:top w:w="100" w:type="dxa"/>
              <w:bottom w:w="100" w:type="dxa"/>
              <w:left w:w="150" w:type="dxa"/>
              <w:right w:w="150" w:type="dxa"/>
            </w:tcMar>
          </w:tcPr>
          <w:p>
            <w:pPr>
              <w:jc w:val="center"/>
            </w:pPr>
            <w:r>
              <w:rPr>
                <w:rFonts w:ascii="Calibri" w:hAnsi="Calibri"/>
                <w:color w:val="333333"/>
                <w:sz w:val="20"/>
              </w:rPr>
              <w:t>19 Words</w:t>
            </w:r>
          </w:p>
        </w:tc>
      </w:tr>
      <w:tr>
        <w:tc>
          <w:tcPr>
            <w:tcW w:type="dxa" w:w="2340"/>
            <w:shd w:val="clear" w:color="auto" w:fill="F2F5F9"/>
            <w:tcMar>
              <w:top w:w="100" w:type="dxa"/>
              <w:bottom w:w="100" w:type="dxa"/>
              <w:left w:w="150" w:type="dxa"/>
              <w:right w:w="150" w:type="dxa"/>
            </w:tcMar>
          </w:tcPr>
          <w:p>
            <w:pPr>
              <w:jc w:val="left"/>
            </w:pPr>
            <w:r>
              <w:rPr>
                <w:rFonts w:ascii="Calibri" w:hAnsi="Calibri"/>
                <w:b/>
                <w:color w:val="333333"/>
                <w:sz w:val="20"/>
              </w:rPr>
              <w:t>Compression Ratio</w:t>
            </w:r>
          </w:p>
        </w:tc>
        <w:tc>
          <w:tcPr>
            <w:tcW w:type="dxa" w:w="2340"/>
            <w:shd w:val="clear" w:color="auto" w:fill="F2F5F9"/>
            <w:tcMar>
              <w:top w:w="100" w:type="dxa"/>
              <w:bottom w:w="100" w:type="dxa"/>
              <w:left w:w="150" w:type="dxa"/>
              <w:right w:w="150" w:type="dxa"/>
            </w:tcMar>
          </w:tcPr>
          <w:p>
            <w:pPr>
              <w:jc w:val="center"/>
            </w:pPr>
            <w:r>
              <w:rPr>
                <w:rFonts w:ascii="Calibri" w:hAnsi="Calibri"/>
                <w:color w:val="333333"/>
                <w:sz w:val="20"/>
              </w:rPr>
              <w:t>100%</w:t>
            </w:r>
          </w:p>
        </w:tc>
        <w:tc>
          <w:tcPr>
            <w:tcW w:type="dxa" w:w="2340"/>
            <w:shd w:val="clear" w:color="auto" w:fill="F2F5F9"/>
            <w:tcMar>
              <w:top w:w="100" w:type="dxa"/>
              <w:bottom w:w="100" w:type="dxa"/>
              <w:left w:w="150" w:type="dxa"/>
              <w:right w:w="150" w:type="dxa"/>
            </w:tcMar>
          </w:tcPr>
          <w:p>
            <w:pPr>
              <w:jc w:val="center"/>
            </w:pPr>
            <w:r>
              <w:rPr>
                <w:rFonts w:ascii="Calibri" w:hAnsi="Calibri"/>
                <w:color w:val="333333"/>
                <w:sz w:val="20"/>
              </w:rPr>
              <w:t>43.5%</w:t>
            </w:r>
          </w:p>
        </w:tc>
        <w:tc>
          <w:tcPr>
            <w:tcW w:type="dxa" w:w="2340"/>
            <w:shd w:val="clear" w:color="auto" w:fill="F2F5F9"/>
            <w:tcMar>
              <w:top w:w="100" w:type="dxa"/>
              <w:bottom w:w="100" w:type="dxa"/>
              <w:left w:w="150" w:type="dxa"/>
              <w:right w:w="150" w:type="dxa"/>
            </w:tcMar>
          </w:tcPr>
          <w:p>
            <w:pPr>
              <w:jc w:val="center"/>
            </w:pPr>
            <w:r>
              <w:rPr>
                <w:rFonts w:ascii="Calibri" w:hAnsi="Calibri"/>
                <w:color w:val="333333"/>
                <w:sz w:val="20"/>
              </w:rPr>
              <w:t>24.3%</w:t>
            </w:r>
          </w:p>
        </w:tc>
      </w:tr>
      <w:tr>
        <w:tc>
          <w:tcPr>
            <w:tcW w:type="dxa" w:w="2340"/>
            <w:shd w:val="clear" w:color="auto" w:fill="FFFFFF"/>
            <w:tcMar>
              <w:top w:w="100" w:type="dxa"/>
              <w:bottom w:w="100" w:type="dxa"/>
              <w:left w:w="150" w:type="dxa"/>
              <w:right w:w="150" w:type="dxa"/>
            </w:tcMar>
          </w:tcPr>
          <w:p>
            <w:pPr>
              <w:jc w:val="left"/>
            </w:pPr>
            <w:r>
              <w:rPr>
                <w:rFonts w:ascii="Calibri" w:hAnsi="Calibri"/>
                <w:b/>
                <w:color w:val="333333"/>
                <w:sz w:val="20"/>
              </w:rPr>
              <w:t>Primary Focus</w:t>
            </w:r>
          </w:p>
        </w:tc>
        <w:tc>
          <w:tcPr>
            <w:tcW w:type="dxa" w:w="2340"/>
            <w:shd w:val="clear" w:color="auto" w:fill="FFFFFF"/>
            <w:tcMar>
              <w:top w:w="100" w:type="dxa"/>
              <w:bottom w:w="100" w:type="dxa"/>
              <w:left w:w="150" w:type="dxa"/>
              <w:right w:w="150" w:type="dxa"/>
            </w:tcMar>
          </w:tcPr>
          <w:p>
            <w:pPr>
              <w:jc w:val="center"/>
            </w:pPr>
            <w:r>
              <w:rPr>
                <w:rFonts w:ascii="Calibri" w:hAnsi="Calibri"/>
                <w:color w:val="333333"/>
                <w:sz w:val="20"/>
              </w:rPr>
              <w:t>Comprehensive Overview</w:t>
            </w:r>
          </w:p>
        </w:tc>
        <w:tc>
          <w:tcPr>
            <w:tcW w:type="dxa" w:w="2340"/>
            <w:shd w:val="clear" w:color="auto" w:fill="FFFFFF"/>
            <w:tcMar>
              <w:top w:w="100" w:type="dxa"/>
              <w:bottom w:w="100" w:type="dxa"/>
              <w:left w:w="150" w:type="dxa"/>
              <w:right w:w="150" w:type="dxa"/>
            </w:tcMar>
          </w:tcPr>
          <w:p>
            <w:pPr>
              <w:jc w:val="center"/>
            </w:pPr>
            <w:r>
              <w:rPr>
                <w:rFonts w:ascii="Calibri" w:hAnsi="Calibri"/>
                <w:color w:val="333333"/>
                <w:sz w:val="20"/>
              </w:rPr>
              <w:t>Key Insights &amp; Subfields</w:t>
            </w:r>
          </w:p>
        </w:tc>
        <w:tc>
          <w:tcPr>
            <w:tcW w:type="dxa" w:w="2340"/>
            <w:shd w:val="clear" w:color="auto" w:fill="FFFFFF"/>
            <w:tcMar>
              <w:top w:w="100" w:type="dxa"/>
              <w:bottom w:w="100" w:type="dxa"/>
              <w:left w:w="150" w:type="dxa"/>
              <w:right w:w="150" w:type="dxa"/>
            </w:tcMar>
          </w:tcPr>
          <w:p>
            <w:pPr>
              <w:jc w:val="center"/>
            </w:pPr>
            <w:r>
              <w:rPr>
                <w:rFonts w:ascii="Calibri" w:hAnsi="Calibri"/>
                <w:color w:val="333333"/>
                <w:sz w:val="20"/>
              </w:rPr>
              <w:t>High-Level Core Impact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