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fitness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 </w:t>
            </w:r>
            <w:r w:rsidR="00C820AD">
              <w:rPr>
                <w:i/>
                <w:color w:val="000000" w:themeColor="text1"/>
              </w:rPr>
              <w:t>name</w:t>
            </w:r>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t>
            </w:r>
            <w:proofErr w:type="spellStart"/>
            <w:r w:rsidRPr="00491997">
              <w:rPr>
                <w:i/>
                <w:color w:val="000000" w:themeColor="text1"/>
              </w:rPr>
              <w:t>lastname</w:t>
            </w:r>
            <w:proofErr w:type="spell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birthday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nationality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gender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t>
            </w:r>
            <w:proofErr w:type="spellStart"/>
            <w:r w:rsidRPr="00491997">
              <w:rPr>
                <w:i/>
                <w:color w:val="000000" w:themeColor="text1"/>
              </w:rPr>
              <w:t>work_occupation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availability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2DEEB02E" w:rsidR="00224EAC" w:rsidRDefault="007A460A" w:rsidP="00DA07F6">
            <w:r>
              <w:t xml:space="preserve">{{ </w:t>
            </w:r>
            <w:proofErr w:type="spellStart"/>
            <w:r w:rsidR="005C237E">
              <w:t>formatted_</w:t>
            </w:r>
            <w:r>
              <w:t>education</w:t>
            </w:r>
            <w:proofErr w:type="spell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3857C8A0" w:rsidR="0005088A" w:rsidRPr="007A460A" w:rsidRDefault="007A460A" w:rsidP="005C237E">
            <w:r>
              <w:t xml:space="preserve">{{ </w:t>
            </w:r>
            <w:r w:rsidR="00E97D82">
              <w:t>formatted_certification</w:t>
            </w:r>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0D26191D" w:rsidR="00826086" w:rsidRDefault="007A460A">
            <w:r>
              <w:t xml:space="preserve">{{ </w:t>
            </w:r>
            <w:proofErr w:type="spellStart"/>
            <w:r>
              <w:t>fren</w:t>
            </w:r>
            <w:r w:rsidR="00491997">
              <w:t>c</w:t>
            </w:r>
            <w:r>
              <w:t>h_spoken</w:t>
            </w:r>
            <w:proofErr w:type="spellEnd"/>
            <w:r>
              <w:t xml:space="preserve"> }}</w:t>
            </w:r>
          </w:p>
        </w:tc>
        <w:tc>
          <w:tcPr>
            <w:tcW w:w="2304" w:type="dxa"/>
          </w:tcPr>
          <w:p w14:paraId="2A635059" w14:textId="1049F71C" w:rsidR="00826086" w:rsidRDefault="007A460A">
            <w:r>
              <w:t xml:space="preserve">{{ </w:t>
            </w:r>
            <w:proofErr w:type="spellStart"/>
            <w:r>
              <w:t>dutch_spoken</w:t>
            </w:r>
            <w:proofErr w:type="spellEnd"/>
            <w:r>
              <w:t xml:space="preserve"> }} </w:t>
            </w:r>
          </w:p>
        </w:tc>
        <w:tc>
          <w:tcPr>
            <w:tcW w:w="2305" w:type="dxa"/>
          </w:tcPr>
          <w:p w14:paraId="3F0E2306" w14:textId="588CFDE2" w:rsidR="00826086" w:rsidRDefault="007A460A">
            <w:r>
              <w:t xml:space="preserve">{{ </w:t>
            </w:r>
            <w:proofErr w:type="spellStart"/>
            <w:r>
              <w:t>english_spoken</w:t>
            </w:r>
            <w:proofErr w:type="spellEnd"/>
            <w:r>
              <w:t xml:space="preserve"> }}</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r>
              <w:t xml:space="preserve">{{ </w:t>
            </w:r>
            <w:proofErr w:type="spellStart"/>
            <w:r>
              <w:t>fren</w:t>
            </w:r>
            <w:r w:rsidR="00491997">
              <w:t>c</w:t>
            </w:r>
            <w:r>
              <w:t>h_written</w:t>
            </w:r>
            <w:proofErr w:type="spellEnd"/>
            <w:r>
              <w:t xml:space="preserve"> }}</w:t>
            </w:r>
          </w:p>
        </w:tc>
        <w:tc>
          <w:tcPr>
            <w:tcW w:w="2304" w:type="dxa"/>
          </w:tcPr>
          <w:p w14:paraId="7FE12414" w14:textId="23AD361C" w:rsidR="00826086" w:rsidRDefault="007A460A">
            <w:r>
              <w:t xml:space="preserve">{{ </w:t>
            </w:r>
            <w:proofErr w:type="spellStart"/>
            <w:r>
              <w:t>dutch_written</w:t>
            </w:r>
            <w:proofErr w:type="spellEnd"/>
            <w:r>
              <w:t xml:space="preserve"> }} </w:t>
            </w:r>
          </w:p>
        </w:tc>
        <w:tc>
          <w:tcPr>
            <w:tcW w:w="2305" w:type="dxa"/>
          </w:tcPr>
          <w:p w14:paraId="7B320321" w14:textId="6B18A3D5" w:rsidR="00826086" w:rsidRDefault="007A460A">
            <w:r>
              <w:t xml:space="preserve">{{ </w:t>
            </w:r>
            <w:proofErr w:type="spellStart"/>
            <w:r>
              <w:t>english_written</w:t>
            </w:r>
            <w:proofErr w:type="spellEnd"/>
            <w:r>
              <w:t xml:space="preserve"> }}</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r>
              <w:t xml:space="preserve">{{ </w:t>
            </w:r>
            <w:proofErr w:type="spellStart"/>
            <w:r>
              <w:t>fren</w:t>
            </w:r>
            <w:r w:rsidR="00491997">
              <w:t>c</w:t>
            </w:r>
            <w:r>
              <w:t>h_comprehension</w:t>
            </w:r>
            <w:proofErr w:type="spellEnd"/>
            <w:r>
              <w:t xml:space="preserve"> }}</w:t>
            </w:r>
          </w:p>
        </w:tc>
        <w:tc>
          <w:tcPr>
            <w:tcW w:w="2304" w:type="dxa"/>
          </w:tcPr>
          <w:p w14:paraId="11A6CF52" w14:textId="436910FA" w:rsidR="00826086" w:rsidRDefault="007A460A">
            <w:r>
              <w:t xml:space="preserve">{{ </w:t>
            </w:r>
            <w:proofErr w:type="spellStart"/>
            <w:r>
              <w:t>dutch_comprehension</w:t>
            </w:r>
            <w:proofErr w:type="spellEnd"/>
            <w:r>
              <w:t xml:space="preserve"> }}</w:t>
            </w:r>
          </w:p>
        </w:tc>
        <w:tc>
          <w:tcPr>
            <w:tcW w:w="2305" w:type="dxa"/>
          </w:tcPr>
          <w:p w14:paraId="476C4911" w14:textId="23191C30" w:rsidR="00826086" w:rsidRDefault="007A460A">
            <w:r>
              <w:t xml:space="preserve">{{ </w:t>
            </w:r>
            <w:proofErr w:type="spellStart"/>
            <w:r>
              <w:t>english_comprehension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AWS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excel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 </w:t>
            </w:r>
            <w:proofErr w:type="spellStart"/>
            <w:r w:rsidRPr="00491997">
              <w:rPr>
                <w:i/>
                <w:color w:val="000000" w:themeColor="text1"/>
              </w:rPr>
              <w:t>man_skills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t>
            </w:r>
            <w:proofErr w:type="spellStart"/>
            <w:r w:rsidRPr="00491997">
              <w:rPr>
                <w:i/>
                <w:color w:val="000000" w:themeColor="text1"/>
              </w:rPr>
              <w:t>tech_skills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t>
            </w:r>
            <w:proofErr w:type="spellStart"/>
            <w:r>
              <w:t>other_skills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954A" w14:textId="77777777" w:rsidR="00DD79ED" w:rsidRDefault="00DD79ED">
      <w:r>
        <w:separator/>
      </w:r>
    </w:p>
  </w:endnote>
  <w:endnote w:type="continuationSeparator" w:id="0">
    <w:p w14:paraId="556E92B5" w14:textId="77777777" w:rsidR="00DD79ED" w:rsidRDefault="00DD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DA68" w14:textId="77777777" w:rsidR="00DD79ED" w:rsidRDefault="00DD79ED">
      <w:r>
        <w:separator/>
      </w:r>
    </w:p>
  </w:footnote>
  <w:footnote w:type="continuationSeparator" w:id="0">
    <w:p w14:paraId="223D7DB5" w14:textId="77777777" w:rsidR="00DD79ED" w:rsidRDefault="00DD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6</cp:revision>
  <dcterms:created xsi:type="dcterms:W3CDTF">2022-06-14T09:52:00Z</dcterms:created>
  <dcterms:modified xsi:type="dcterms:W3CDTF">2022-07-07T14:30:00Z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