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S 1</w:t>
      </w:r>
      <w:r>
        <w:t xml:space="preserve">. Descriptive statistics of all ten original habitat variables as predictors for bat activity on their original (unstandardised) scale.</w:t>
      </w:r>
    </w:p>
    <w:p>
      <w:r>
        <w:rPr>
          <w:b/>
        </w:rPr>
        <w:t xml:space="preserve">Table S 2</w:t>
      </w:r>
      <w:r>
        <w:t xml:space="preserve">. Candidate set of Generalised Linear Mixed Models for bat activity (probability of bat activity ha-1, binomial errors, complementary log-log link) within 4 AICc points of the “top” model, as a function of ten candidate habitat predictors only. Coefficients are parameter estimates based on models fit using standardised (centered and scaled to 2 SD) inputs. K is the number of parameters in the models. All models included site and transect within site as a nested random effect structure.</w:t>
      </w:r>
    </w:p>
    <w:sectPr w:rsidR="00E55A11" w:rsidSect="00280A4D">
      <w:footerReference w:type="even" r:id="rId9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8510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styleId="Header">
    <w:name w:val="header"/>
    <w:basedOn w:val="Normal"/>
    <w:link w:val="HeaderChar"/>
    <w:unhideWhenUsed/>
    <w:rsid w:val="00A2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6FED"/>
    <w:rPr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