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393" w:rsidRDefault="00783DB9">
      <w:pPr>
        <w:pStyle w:val="Heading1"/>
      </w:pPr>
      <w:bookmarkStart w:id="0" w:name="no-evidence-for-cumulative-effects-of-sm"/>
      <w:bookmarkEnd w:id="0"/>
      <w:r>
        <w:t>No evidence for cumulative effects of small wind turbines on bat activity</w:t>
      </w:r>
    </w:p>
    <w:p w:rsidR="00533393" w:rsidRDefault="00783DB9">
      <w:r>
        <w:rPr>
          <w:i/>
        </w:rPr>
        <w:t>Jeroen Minderman</w:t>
      </w:r>
      <w:r>
        <w:rPr>
          <w:i/>
          <w:vertAlign w:val="superscript"/>
        </w:rPr>
        <w:t>1$</w:t>
      </w:r>
      <w:r>
        <w:rPr>
          <w:i/>
        </w:rPr>
        <w:t>, Mairi H. Gillis</w:t>
      </w:r>
      <w:r>
        <w:rPr>
          <w:i/>
          <w:vertAlign w:val="superscript"/>
        </w:rPr>
        <w:t>2</w:t>
      </w:r>
      <w:r>
        <w:rPr>
          <w:i/>
        </w:rPr>
        <w:t>, Helen F. Daly</w:t>
      </w:r>
      <w:r>
        <w:rPr>
          <w:i/>
          <w:vertAlign w:val="superscript"/>
        </w:rPr>
        <w:t>3</w:t>
      </w:r>
      <w:r>
        <w:rPr>
          <w:i/>
        </w:rPr>
        <w:t xml:space="preserve"> &amp; Kirsty J. Park</w:t>
      </w:r>
      <w:r>
        <w:rPr>
          <w:i/>
          <w:vertAlign w:val="superscript"/>
        </w:rPr>
        <w:t>1</w:t>
      </w:r>
    </w:p>
    <w:p w:rsidR="00533393" w:rsidRDefault="00783DB9">
      <w:pPr>
        <w:pStyle w:val="Compact"/>
        <w:numPr>
          <w:ilvl w:val="0"/>
          <w:numId w:val="5"/>
        </w:numPr>
      </w:pPr>
      <w:r>
        <w:t>Biological &amp; Environmental Sciences, University of Stirling, Stirling, FK9 4LA, United Kingdom.</w:t>
      </w:r>
    </w:p>
    <w:p w:rsidR="00533393" w:rsidRDefault="00783DB9">
      <w:pPr>
        <w:pStyle w:val="Compact"/>
        <w:numPr>
          <w:ilvl w:val="0"/>
          <w:numId w:val="5"/>
        </w:numPr>
      </w:pPr>
      <w:r>
        <w:t xml:space="preserve">228 Galashiels Road, Stow, Galashiels, Selkirkshire, TD1 2RA, </w:t>
      </w:r>
      <w:hyperlink r:id="rId8">
        <w:r>
          <w:rPr>
            <w:rStyle w:val="Link"/>
          </w:rPr>
          <w:t>mgillis4a7i@gmail.com</w:t>
        </w:r>
      </w:hyperlink>
    </w:p>
    <w:p w:rsidR="00533393" w:rsidRDefault="00783DB9">
      <w:pPr>
        <w:pStyle w:val="Compact"/>
        <w:numPr>
          <w:ilvl w:val="0"/>
          <w:numId w:val="5"/>
        </w:numPr>
      </w:pPr>
      <w:r>
        <w:t xml:space="preserve">20/11 Duff Street, Dalry, Edinburgh, Midlothian, EH11 2HG, </w:t>
      </w:r>
      <w:hyperlink r:id="rId9">
        <w:r>
          <w:rPr>
            <w:rStyle w:val="Link"/>
          </w:rPr>
          <w:t>hfdaly@outlook.com</w:t>
        </w:r>
      </w:hyperlink>
    </w:p>
    <w:p w:rsidR="00533393" w:rsidRDefault="00783DB9">
      <w:r>
        <w:rPr>
          <w:vertAlign w:val="superscript"/>
        </w:rPr>
        <w:t>$</w:t>
      </w:r>
      <w:r>
        <w:rPr>
          <w:b/>
          <w:i/>
        </w:rPr>
        <w:t>Corresponding author</w:t>
      </w:r>
      <w:r>
        <w:t xml:space="preserve">. Current address: School of Biology, University of St Andrews, St Andrews, Fife, KY16 9ST, UK. Email: </w:t>
      </w:r>
      <w:hyperlink r:id="rId10">
        <w:r>
          <w:rPr>
            <w:rStyle w:val="Link"/>
          </w:rPr>
          <w:t>jm340@st-andrews.ac.uk</w:t>
        </w:r>
      </w:hyperlink>
      <w:r>
        <w:t>.</w:t>
      </w:r>
    </w:p>
    <w:p w:rsidR="00533393" w:rsidRDefault="00783DB9">
      <w:r>
        <w:rPr>
          <w:b/>
        </w:rPr>
        <w:t>Key words</w:t>
      </w:r>
      <w:r>
        <w:t>: microturbines, domestic turbines, renewables, renewable energy, conservation, planning, wildlife impact</w:t>
      </w:r>
    </w:p>
    <w:p w:rsidR="00533393" w:rsidRDefault="00783DB9">
      <w:pPr>
        <w:pStyle w:val="Heading1"/>
      </w:pPr>
      <w:bookmarkStart w:id="1" w:name="summary"/>
      <w:bookmarkEnd w:id="1"/>
      <w:r>
        <w:t>Summary</w:t>
      </w:r>
    </w:p>
    <w:p w:rsidR="00533393" w:rsidRDefault="00783DB9">
      <w:pPr>
        <w:numPr>
          <w:ilvl w:val="0"/>
          <w:numId w:val="6"/>
        </w:numPr>
      </w:pPr>
      <w:r>
        <w:t>While the effects of large wind farms on wildlife (particularly birds and bats) are generally well-studied, similar effects of small wind turbines (SWTs, in the UK usually up to 25m in hub height) remain relatively unknown. This is problematic, because rapid development and increasing accessibility of SWT technology have led to rapid growth of the number of SWTs installed worldwide.</w:t>
      </w:r>
    </w:p>
    <w:p w:rsidR="00533393" w:rsidRDefault="00783DB9">
      <w:pPr>
        <w:numPr>
          <w:ilvl w:val="0"/>
          <w:numId w:val="6"/>
        </w:numPr>
      </w:pPr>
      <w:r>
        <w:t xml:space="preserve">Although recent studies showed that bat activity is negatively affected by the immediate proximity of single operating SWTs, the potential for wider landscape-scale effects of multiple SWTs installed in clusters remains unstudied. By contrast, </w:t>
      </w:r>
      <w:r>
        <w:lastRenderedPageBreak/>
        <w:t>such cumulative effects are commonly considered in impact studies of large wind farms.</w:t>
      </w:r>
    </w:p>
    <w:p w:rsidR="00533393" w:rsidRDefault="00783DB9">
      <w:pPr>
        <w:numPr>
          <w:ilvl w:val="0"/>
          <w:numId w:val="6"/>
        </w:numPr>
      </w:pPr>
      <w:r>
        <w:t>We measured variation in bat actvity at a sample of 34 SWT sites in the UK (free-standing SWTs between 6 and 25m in hub height),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rsidR="00533393" w:rsidRDefault="00783DB9">
      <w:pPr>
        <w:numPr>
          <w:ilvl w:val="0"/>
          <w:numId w:val="6"/>
        </w:numPr>
      </w:pPr>
      <w:r>
        <w:t>We focused our analysis on Pipistrelle bats because more than 98% of our recorded activity was from this genus. After accounting for the effects of confounding variables (e.g. habitat and weather) we show that although observed Pipistrelle activity was up to 10% lower within 100m of multiple turbine sites compared to activity at 100-200m, when accounting for confounding effects of habitat and environmental conditions, this effect is non-existent, irrespective of the number of turbines installed.</w:t>
      </w:r>
    </w:p>
    <w:p w:rsidR="00533393" w:rsidRDefault="00783DB9">
      <w:pPr>
        <w:numPr>
          <w:ilvl w:val="0"/>
          <w:numId w:val="6"/>
        </w:numPr>
      </w:pPr>
      <w:r>
        <w:t>We conclude that within our sample there is no evidence of cumulative effects of SWTs on the activity of Pipistrelle 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It should be noted that this study focused on small wind turbines only, and that these findings should not be direcly extrapolated to larger wind turbines.</w:t>
      </w:r>
    </w:p>
    <w:p w:rsidR="00533393" w:rsidRDefault="00783DB9">
      <w:pPr>
        <w:pStyle w:val="Heading1"/>
      </w:pPr>
      <w:bookmarkStart w:id="2" w:name="introduction"/>
      <w:bookmarkEnd w:id="2"/>
      <w:r>
        <w:lastRenderedPageBreak/>
        <w:t>Introduction</w:t>
      </w:r>
    </w:p>
    <w:p w:rsidR="00533393" w:rsidRDefault="00783DB9">
      <w:r>
        <w:t xml:space="preserve">Understanding and predicting how wildlife is affected by disturbance or habitat loss is becoming increasingly important as anthropogenic pressures on the natural world continue to grow (Tuomainen &amp; Candolin 2011). This is particularly pertinent were incremental changes or disturbances could combine to produce cumulative effects. For example, the rapid growth of the wind energy sector worldwide provides a vital contribution to sustainable energy production, a growing range of studies show that wind farms can have adverse effects on wildlife (Kuvlesky </w:t>
      </w:r>
      <w:r>
        <w:rPr>
          <w:i/>
        </w:rPr>
        <w:t>et al.</w:t>
      </w:r>
      <w:r>
        <w:t xml:space="preserve"> 2007). Although the recognition of the potential importance of cumulative effects (defined as "</w:t>
      </w:r>
      <w:r>
        <w:rPr>
          <w:i/>
        </w:rPr>
        <w:t>the additional changes caused by a proposed development in conjunction with other similar developments or as the combined effect of a set of developments, taken together</w:t>
      </w:r>
      <w:r>
        <w:t xml:space="preserve">", SNH (2012)) is relatively recent and its quantification is in its infancy (Masden </w:t>
      </w:r>
      <w:r>
        <w:rPr>
          <w:i/>
        </w:rPr>
        <w:t>et al.</w:t>
      </w:r>
      <w:r>
        <w:t xml:space="preserve"> 2010), both direct (collision mortality of birds and bats, e.g. Drewitt &amp; Langston (2006), Rydell </w:t>
      </w:r>
      <w:r>
        <w:rPr>
          <w:i/>
        </w:rPr>
        <w:t>et al</w:t>
      </w:r>
      <w:r>
        <w:t xml:space="preserve">. (2010)) and indirect effects (disturbance or displacement, e.g. Larsen &amp; Guillemette (2007), Pearce-Higgins </w:t>
      </w:r>
      <w:r>
        <w:rPr>
          <w:i/>
        </w:rPr>
        <w:t>et al</w:t>
      </w:r>
      <w:r>
        <w:t>. (2009)) of individual turbines or wind farms have been widely studied.</w:t>
      </w:r>
    </w:p>
    <w:p w:rsidR="00533393" w:rsidRDefault="00783DB9">
      <w:r>
        <w:t xml:space="preserve">By contrast, similar effects of small wind turbines (SWTs, also referred to as micro-turbines or domestic turbines) on wildlife remain relatively unknown. These turbines are not only much smaller in size (in the UK, typical units are between 6 and 25m hub height) than those installed in wind farms, they are also commonly installed in a much wider range of habitats. Thus, their impacts on wildlife is likely to be different to that of large turbines, but up until recently this had not been quantified systematically. Our previous work found evidence for adverse effects of SWTs on bat activity (Minderman </w:t>
      </w:r>
      <w:r>
        <w:rPr>
          <w:i/>
        </w:rPr>
        <w:t xml:space="preserve">et </w:t>
      </w:r>
      <w:r>
        <w:rPr>
          <w:i/>
        </w:rPr>
        <w:lastRenderedPageBreak/>
        <w:t>al.</w:t>
      </w:r>
      <w:r>
        <w:t xml:space="preserve"> 2012, Tatchley et al. submitted) as well as direct mortality (Minderman </w:t>
      </w:r>
      <w:r>
        <w:rPr>
          <w:i/>
        </w:rPr>
        <w:t>et al.</w:t>
      </w:r>
      <w:r>
        <w:t xml:space="preserve"> 2014). These previous studies focused on a relatively limited spatial scale (e.g. within 25m of installed SWTs) and on single SWTs only. As a result, it is unclear whether any such adverse effects of SWTs on wildlife could be cumulative, i.e. whether the combined effects of multiple SWT installations could have greater adverse effects on wildife.</w:t>
      </w:r>
    </w:p>
    <w:p w:rsidR="00533393" w:rsidRDefault="00783DB9">
      <w:r>
        <w:t xml:space="preserve">This lack of understanding of the potential cumulative effects is particularly important for SWTs for two reasons. First, the number of SWTs installed is growing rapidly, both in the UK and worldwide and this growth is set to continue (WWEA 2013; RenewableUK 2014). As a result, the density of installed SWTs is likely to increase even if they are not installed in the same scheme or by the same owner. Secondly, the number of SWTs installed in groups is growing rapidly, with installations of 2-4 turbines now relatively common in the UK. Indeed, some installers now specifically promote the installation of multiple SWTs in so-called "wind crofts" </w:t>
      </w:r>
      <w:r>
        <w:rPr>
          <w:b/>
        </w:rPr>
        <w:t>REF?</w:t>
      </w:r>
      <w:r>
        <w:t>. As a result, where SWT installation requires planning permission (Park, Turner &amp; Minderman 2013), decision makers are increasingly faced with the question whether mutiple-turbine installations would have greater effects on wildlife, or if limiting the number of SWTs to be installed would be a feasible mitigation option. Currently, the evidence base for such decisions for SWTs specifically is entirely lacking.</w:t>
      </w:r>
    </w:p>
    <w:p w:rsidR="00533393" w:rsidRDefault="00783DB9">
      <w:r>
        <w:t>Here, we aim to address this knowledge gap by quantifying and analysing the potential cumulative effect of SWTs on bat activity on a wider landscape scale (up to 500m from installed turbines). Specifically, using data collected at 34 throughout the UK we test the following predictions:</w:t>
      </w:r>
    </w:p>
    <w:p w:rsidR="00533393" w:rsidRDefault="00783DB9">
      <w:pPr>
        <w:numPr>
          <w:ilvl w:val="0"/>
          <w:numId w:val="7"/>
        </w:numPr>
      </w:pPr>
      <w:r>
        <w:lastRenderedPageBreak/>
        <w:t>Bat activity is systematically lower in closer proximity (e.g. 0-100m from SWTs compared to 100-200m, 200-300m, etc) of operating SWTs, controlling for the effects of habitat and environmental conditions.</w:t>
      </w:r>
    </w:p>
    <w:p w:rsidR="00533393" w:rsidRDefault="00783DB9">
      <w:pPr>
        <w:numPr>
          <w:ilvl w:val="0"/>
          <w:numId w:val="7"/>
        </w:numPr>
      </w:pPr>
      <w:r>
        <w:t>The effect of SWT proximity on bat activity as tested in Prediction 1 is stronger in sites with multiple (2-4) SWTs installed compared to single SWT sites. Support for this prediction would indicate evidence of cumulative effects of SWTs.</w:t>
      </w:r>
    </w:p>
    <w:p w:rsidR="00533393" w:rsidRDefault="00783DB9">
      <w:pPr>
        <w:pStyle w:val="Heading1"/>
      </w:pPr>
      <w:bookmarkStart w:id="3" w:name="methods"/>
      <w:bookmarkEnd w:id="3"/>
      <w:r>
        <w:t>Methods</w:t>
      </w:r>
    </w:p>
    <w:p w:rsidR="00533393" w:rsidRDefault="00783DB9">
      <w:pPr>
        <w:pStyle w:val="Heading2"/>
      </w:pPr>
      <w:bookmarkStart w:id="4" w:name="sites"/>
      <w:bookmarkEnd w:id="4"/>
      <w:r>
        <w:t>Sites</w:t>
      </w:r>
    </w:p>
    <w:p w:rsidR="00533393" w:rsidRDefault="00783DB9">
      <w:r>
        <w:t xml:space="preserve">Data were collected at 34 SWT sites in central and eastern Scotland. Sites were selected from an existing database of owners (Minderman </w:t>
      </w:r>
      <w:r>
        <w:rPr>
          <w:i/>
        </w:rPr>
        <w:t>et al.</w:t>
      </w:r>
      <w:r>
        <w:t xml:space="preserve"> 2012; Park, Turner &amp; Minderman 2013) 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 </w:t>
      </w:r>
      <w:hyperlink w:anchor="habitat-data-and-variable-selection">
        <w:r>
          <w:rPr>
            <w:rStyle w:val="Link"/>
          </w:rPr>
          <w:t>Habitat data and variable selection</w:t>
        </w:r>
      </w:hyperlink>
      <w:r>
        <w:t>).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rsidR="00533393" w:rsidRDefault="00783DB9">
      <w:pPr>
        <w:pStyle w:val="Heading2"/>
      </w:pPr>
      <w:bookmarkStart w:id="5" w:name="bat-data-and-transects"/>
      <w:bookmarkEnd w:id="5"/>
      <w:r>
        <w:t>Bat data and transects</w:t>
      </w:r>
    </w:p>
    <w:p w:rsidR="00533393" w:rsidRDefault="00783DB9">
      <w:r>
        <w:lastRenderedPageBreak/>
        <w:t>Bat activity data were collected between 28 May and 01 September 2013 and 07 July and 04 September 2014. The time of data collection varied but started 30 minutes after sunset at the earliest and finished well before sunrise in all cases.</w:t>
      </w:r>
    </w:p>
    <w:p w:rsidR="00533393" w:rsidRDefault="00783DB9">
      <w:r>
        <w:t>Bat activity was measured along transects by 1-2 observers walking the length of each transect at a slow (approximately 2.5km h</w:t>
      </w:r>
      <w:r>
        <w:rPr>
          <w:vertAlign w:val="superscript"/>
        </w:rPr>
        <w:t>-1</w:t>
      </w:r>
      <w:r>
        <w:t>)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impassible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sidR="00533393" w:rsidRDefault="00783DB9">
      <w:r>
        <w:t>One measure of ground level wind speed was taken at the end of each section (i.e. in each distance band) on each survey visit, and minimum daily temperature measures for each survey visit were obtained from the UK MIDAS weather station data at Grangemouth (N 56° 1' 5.15, W 3° 43' 5.88) (‘UK Meteorological Office’ 2006).</w:t>
      </w:r>
    </w:p>
    <w:p w:rsidR="00533393" w:rsidRDefault="00783DB9">
      <w:pPr>
        <w:pStyle w:val="Heading2"/>
      </w:pPr>
      <w:bookmarkStart w:id="6" w:name="habitat-data-and-variable-selection"/>
      <w:bookmarkEnd w:id="6"/>
      <w:r>
        <w:t>Habitat data and variable selection</w:t>
      </w:r>
    </w:p>
    <w:p w:rsidR="00533393" w:rsidRDefault="00783DB9">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w:t>
      </w:r>
      <w:r>
        <w:lastRenderedPageBreak/>
        <w:t xml:space="preserve">basis of a preliminary analysis of the effect of a full set of 10 habitat variables on bat activity. This was done to avoid both overparameterisation of the main statistical models presented here, as well as the inclusion of highly collinear habitat metrics. Full details of this preliminary analysis are given in Appendix 1.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 </w:t>
      </w:r>
      <w:hyperlink w:anchor="statistical-analysis">
        <w:r>
          <w:rPr>
            <w:rStyle w:val="Link"/>
          </w:rPr>
          <w:t>Statistical analysis</w:t>
        </w:r>
      </w:hyperlink>
      <w:r>
        <w:t>. All habitat variables were quantified in each transect section using 1:1250 UK Ordnance Survey MasterMap Topography digital maps, using QGIS v. 1.8 (‘Quantum GIS Development Team’ 2014).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-2</w:t>
      </w:r>
      <w:r>
        <w:t>)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2</w:t>
      </w:r>
      <w:r>
        <w:t>)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rsidR="00533393" w:rsidRDefault="00783DB9">
      <w:pPr>
        <w:pStyle w:val="Heading2"/>
      </w:pPr>
      <w:bookmarkStart w:id="7" w:name="data-analysis-and-statistics"/>
      <w:bookmarkEnd w:id="7"/>
      <w:r>
        <w:t>Data analysis and statistics</w:t>
      </w:r>
    </w:p>
    <w:p w:rsidR="00533393" w:rsidRDefault="00783DB9">
      <w:pPr>
        <w:pStyle w:val="Heading3"/>
      </w:pPr>
      <w:bookmarkStart w:id="8" w:name="bat-activity-probability-of-a-pass-per-h"/>
      <w:bookmarkEnd w:id="8"/>
      <w:r>
        <w:lastRenderedPageBreak/>
        <w:t>Bat activity: probability of a pass per hectare surveyed</w:t>
      </w:r>
    </w:p>
    <w:p w:rsidR="00533393" w:rsidRDefault="00783DB9">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 </w:t>
      </w:r>
      <w:hyperlink w:anchor="bat-data-and-transects">
        <w:r>
          <w:rPr>
            <w:rStyle w:val="Link"/>
          </w:rPr>
          <w:t>Bat data and transects</w:t>
        </w:r>
      </w:hyperlink>
      <w:r>
        <w:t>), we here model the probability of detecting bat activity per section and hectares covered.</w:t>
      </w:r>
    </w:p>
    <w:p w:rsidR="00533393" w:rsidRDefault="00783DB9">
      <w:pPr>
        <w:pStyle w:val="Heading3"/>
      </w:pPr>
      <w:bookmarkStart w:id="9" w:name="statistical-analysis"/>
      <w:bookmarkEnd w:id="9"/>
      <w:r>
        <w:t>Statistical analysis</w:t>
      </w:r>
    </w:p>
    <w:p w:rsidR="00533393" w:rsidRDefault="00783DB9">
      <w:r>
        <w:t>We used generalised linear mixed effects models (GLMMs) (Gelman &amp; Hill 2007) and an Information-Theoretic model selection (IT) approach (Burnham &amp; Anderson 1998) to analyse our data.</w:t>
      </w:r>
    </w:p>
    <w:p w:rsidR="00533393" w:rsidRDefault="00783DB9">
      <w:pPr>
        <w:pStyle w:val="Heading4"/>
      </w:pPr>
      <w:bookmarkStart w:id="10" w:name="model-structure"/>
      <w:bookmarkEnd w:id="10"/>
      <w:r>
        <w:t>Model structure</w:t>
      </w:r>
    </w:p>
    <w:p w:rsidR="00533393" w:rsidRDefault="00783DB9">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 </w:t>
      </w:r>
      <w:hyperlink w:anchor="introduction">
        <w:r>
          <w:rPr>
            <w:rStyle w:val="Link"/>
          </w:rPr>
          <w:t>Introduction</w:t>
        </w:r>
      </w:hyperlink>
      <w:r>
        <w:t xml:space="preserve">), we included two focal fixed factors; (1) </w:t>
      </w:r>
      <w:r>
        <w:lastRenderedPageBreak/>
        <w:t xml:space="preserve">transect section (distance bands; 0-100m, 100-200m, 200-300m, 300-400m and 400-500m from the SWTs) and (2) turbine number (single or multiple SWTs), as well as the statistical interaction between the two. In addition to these focal factors we included the two selected (see </w:t>
      </w:r>
      <w:hyperlink w:anchor="habitat-data-and-variable-selection">
        <w:r>
          <w:rPr>
            <w:rStyle w:val="Link"/>
          </w:rPr>
          <w:t>Habitat data and variable selection</w:t>
        </w:r>
      </w:hyperlink>
      <w:r>
        <w:t>)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-1</w:t>
      </w:r>
      <w:r>
        <w:t>), julian day number, time to midnight (mins) and time to midnight</w:t>
      </w:r>
      <w:r>
        <w:rPr>
          <w:vertAlign w:val="superscript"/>
        </w:rPr>
        <w:t>2</w:t>
      </w:r>
      <w:r>
        <w:t xml:space="preserve"> (to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 (2008) to improve performance of parameter estimation and allow for direct interpretation of relative effect strength, but we calculate and present model predictions on the response scale. Summary statistics of unstandardised model inputs are given in Table 1.</w:t>
      </w:r>
    </w:p>
    <w:p w:rsidR="00533393" w:rsidRDefault="00783DB9">
      <w:pPr>
        <w:pStyle w:val="Heading4"/>
      </w:pPr>
      <w:bookmarkStart w:id="11" w:name="model-selection-averaging-and-prediction"/>
      <w:bookmarkEnd w:id="11"/>
      <w:r>
        <w:t>Model selection, averaging and predictions</w:t>
      </w:r>
    </w:p>
    <w:p w:rsidR="00533393" w:rsidRDefault="00783DB9">
      <w:r>
        <w:t>The full model set was constrained to (1) only include the time to midnight</w:t>
      </w:r>
      <w:r>
        <w:rPr>
          <w:vertAlign w:val="superscript"/>
        </w:rPr>
        <w:t>2</w:t>
      </w:r>
      <w:r>
        <w:t xml:space="preserve"> term when its linear term was also included, (2) include all random effects in all models, and (3) </w:t>
      </w:r>
      <w:r>
        <w:lastRenderedPageBreak/>
        <w:t>use the same link function and distribution for all models, yielding a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 (Burnham &amp; Anderson 1998). Prediction intervals were calculated as the 95% quantiles (weighted by model weight) of predictions from N = 1000 simulated draws from the estimated parameter distributions for each of the models in the candidate set (Gelman &amp; Hill 2007). For each model in the candidate set we also present the marginal and conditional R</w:t>
      </w:r>
      <w:r>
        <w:rPr>
          <w:vertAlign w:val="superscript"/>
        </w:rPr>
        <w:t>2</w:t>
      </w:r>
      <w:r>
        <w:t xml:space="preserve"> (Nakagawa &amp; Schielzeth 2013).</w:t>
      </w:r>
    </w:p>
    <w:p w:rsidR="00533393" w:rsidRDefault="00783DB9">
      <w:r>
        <w:t xml:space="preserve">We used R version 3.1.3 (2015-03-09) (‘R Development Core Team’ 2015) for all statistical analyses. GLMMs were fit using package </w:t>
      </w:r>
      <w:r>
        <w:rPr>
          <w:i/>
        </w:rPr>
        <w:t>lme4</w:t>
      </w:r>
      <w:r>
        <w:t xml:space="preserve"> v. 1.1-7 (Bates </w:t>
      </w:r>
      <w:r>
        <w:rPr>
          <w:i/>
        </w:rPr>
        <w:t>et al.</w:t>
      </w:r>
      <w:r>
        <w:t xml:space="preserve"> 2014). Model selection and averaging was performed using package </w:t>
      </w:r>
      <w:r>
        <w:rPr>
          <w:i/>
        </w:rPr>
        <w:t>MuMIn</w:t>
      </w:r>
      <w:r>
        <w:t xml:space="preserve"> v. 1.13.4 (Barton 2015), and standardisation of model inputs and parameter simulation used package </w:t>
      </w:r>
      <w:r>
        <w:rPr>
          <w:i/>
        </w:rPr>
        <w:t>arm</w:t>
      </w:r>
      <w:r>
        <w:t xml:space="preserve"> v. 1.7-07 (Gelman &amp; Su 2014).</w:t>
      </w:r>
    </w:p>
    <w:p w:rsidR="00533393" w:rsidRDefault="00783DB9">
      <w:pPr>
        <w:pStyle w:val="Heading1"/>
      </w:pPr>
      <w:bookmarkStart w:id="12" w:name="results"/>
      <w:bookmarkEnd w:id="12"/>
      <w:r>
        <w:t>Results</w:t>
      </w:r>
    </w:p>
    <w:p w:rsidR="00533393" w:rsidRDefault="00783DB9">
      <w:r>
        <w:t>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 Pipistrelle (</w:t>
      </w:r>
      <w:r>
        <w:rPr>
          <w:i/>
        </w:rPr>
        <w:t>Pipistrellus pipistrellus</w:t>
      </w:r>
      <w:r>
        <w:t xml:space="preserve"> or </w:t>
      </w:r>
      <w:r>
        <w:rPr>
          <w:i/>
        </w:rPr>
        <w:t>P. pygmaeus</w:t>
      </w:r>
      <w:r>
        <w:t xml:space="preserve">) bats. Thus, here we only present analyses of </w:t>
      </w:r>
      <w:r>
        <w:lastRenderedPageBreak/>
        <w:t>Pipistrelle bat activity. Overall, Pipistrelle bat activity was detected on 466 section surveys (observed average probability of a Pipistrelle pass = 0.33).</w:t>
      </w:r>
    </w:p>
    <w:p w:rsidR="00533393" w:rsidRDefault="00783DB9">
      <w:r>
        <w:t>The candidate set (</w:t>
      </w:r>
      <m:oMath>
        <m:r>
          <m:rPr>
            <m:sty m:val="p"/>
          </m:rPr>
          <w:rPr>
            <w:rFonts w:ascii="Cambria Math" w:hAnsi="Cambria Math"/>
          </w: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t xml:space="preserve"> = 0.244/0.155 = 1.574 (evidence ratio) times more strongly supported than second-best model, and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10</m:t>
            </m:r>
          </m:sub>
        </m:sSub>
      </m:oMath>
      <w:r>
        <w:t xml:space="preserve"> = 0.244/0.033 = 7.394 times better supported than the saturated model (ranked 10</w:t>
      </w:r>
      <w:r>
        <w:rPr>
          <w:vertAlign w:val="superscript"/>
        </w:rPr>
        <w:t>th</w:t>
      </w:r>
      <w:r>
        <w:t>). The null model was ranked 446</w:t>
      </w:r>
      <w:r>
        <w:rPr>
          <w:vertAlign w:val="superscript"/>
        </w:rPr>
        <w:t>th</w:t>
      </w:r>
      <w:r>
        <w:t xml:space="preserve"> and had no support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446</m:t>
            </m:r>
          </m:sub>
        </m:sSub>
      </m:oMath>
      <w:r>
        <w:t xml:space="preserve"> &lt; 0.001) (</w:t>
      </w:r>
      <w:r>
        <w:rPr>
          <w:b/>
        </w:rPr>
        <w:t>Table 2</w:t>
      </w:r>
      <w:r>
        <w:t>).</w:t>
      </w:r>
    </w:p>
    <w:p w:rsidR="00533393" w:rsidRDefault="00783DB9">
      <w:r>
        <w:t xml:space="preserve">Although it was retained in the top model, four out of ten models in the candidate set did not retain an effect of distance band (predictor weight </w:t>
      </w:r>
      <m:oMath>
        <m:r>
          <m:rPr>
            <m:sty m:val="p"/>
          </m:rPr>
          <w:rPr>
            <w:rFonts w:ascii="Cambria Math" w:hAnsi="Cambria Math"/>
          </w:rPr>
          <m:t>w</m:t>
        </m:r>
      </m:oMath>
      <w:r>
        <w:t xml:space="preserve"> = 0.66). The relative importance of both the number of turbines and its interaction with distance band was even lower (</w:t>
      </w:r>
      <m:oMath>
        <m:r>
          <m:rPr>
            <m:sty m:val="p"/>
          </m:rPr>
          <w:rPr>
            <w:rFonts w:ascii="Cambria Math" w:hAnsi="Cambria Math"/>
          </w:rPr>
          <m:t>w</m:t>
        </m:r>
      </m:oMath>
      <w:r>
        <w:t xml:space="preserve"> = 0.42 and </w:t>
      </w:r>
      <m:oMath>
        <m:r>
          <m:rPr>
            <m:sty m:val="p"/>
          </m:rPr>
          <w:rPr>
            <w:rFonts w:ascii="Cambria Math" w:hAnsi="Cambria Math"/>
          </w:rPr>
          <m:t>w</m:t>
        </m:r>
      </m:oMath>
      <w:r>
        <w:t xml:space="preserve"> = 0.1, retained in 5 and 2 models in the candidate set respectively). With the exception of minimum temperature (</w:t>
      </w:r>
      <m:oMath>
        <m:r>
          <m:rPr>
            <m:sty m:val="p"/>
          </m:rPr>
          <w:rPr>
            <w:rFonts w:ascii="Cambria Math" w:hAnsi="Cambria Math"/>
          </w:rPr>
          <m:t>w</m:t>
        </m:r>
      </m:oMath>
      <w:r>
        <w:t xml:space="preserve"> = 0.32) all other predictors were retained in all models in the candidate set (Table 3).</w:t>
      </w:r>
    </w:p>
    <w:p w:rsidR="00533393" w:rsidRDefault="00783DB9">
      <w:r>
        <w:t xml:space="preserve">Thus, although at multiple turbine sites the observed probability of a Pipistrelle bat pass appeared to be lower in the closest (0-100m) distance band compared to the 100-200m distance band, this difference was relatively small (0.29 vs. 0.37) (Figure 1,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w:t>
      </w:r>
      <w:r>
        <w:lastRenderedPageBreak/>
        <w:t>Similar overlapping prediction intervals apply for both single turbine sites as well as the further distance bands (Figure 1, points and error bars).</w:t>
      </w:r>
    </w:p>
    <w:p w:rsidR="00533393" w:rsidRDefault="00783DB9">
      <w:pPr>
        <w:pStyle w:val="Heading1"/>
      </w:pPr>
      <w:bookmarkStart w:id="13" w:name="discussion"/>
      <w:bookmarkEnd w:id="13"/>
      <w:r>
        <w:t>Discussion</w:t>
      </w:r>
    </w:p>
    <w:p w:rsidR="00533393" w:rsidRDefault="00783DB9">
      <w:r>
        <w:t>We show that, when accounting for confounding effects of habitat and environmental conditions, Pipistrelle bat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rsidR="00533393" w:rsidRDefault="00783DB9">
      <w:r>
        <w:t xml:space="preserve">By contrast, we previously showed that bat activity can be systematically lower in the immediate vicinity (&lt;25m) of operating SWTs (Minderman </w:t>
      </w:r>
      <w:r>
        <w:rPr>
          <w:i/>
        </w:rPr>
        <w:t>et al.</w:t>
      </w:r>
      <w:r>
        <w:t xml:space="preserve"> 2012), and indeed subsequent experimental studies of bat activity before- and after installation of SWTs near hedgerows confirmed such adverse effects on activity (Tatchley </w:t>
      </w:r>
      <w:r>
        <w:rPr>
          <w:i/>
        </w:rPr>
        <w:t>et al</w:t>
      </w:r>
      <w:r>
        <w:t xml:space="preserve">. submitted). Combined with the present finding of a lack of similar effects on a larger scale (i.e. within 100m), this suggests that such adverse effects are relatively localised. Although the mechanism causing such avoidance behaviour is unclear, experimental studies in a laboratory setting have shown that the return of echolocation pulses off spinning turbine blades may be erratic, potentially causing navigational problems for bats (Long, Flint &amp; Lepper 2010). Other experimental studies have shown that some species of bat may avoid foraging in noisy environments (Schaub, Ostwald &amp; Siemers 2008) but whether noise generated by turbines (including SWTs) has the same effect has not been tested. In either case, it would be reasonable to assume that the strength of such interference </w:t>
      </w:r>
      <w:r>
        <w:lastRenderedPageBreak/>
        <w:t>would dissipate relatively rapidly with distance, especially if it involves relatively high-frequency noise (which should attenuate more strongly over shorter distances, (Russ 2012)), limiting the spatial scale of any adverse effect of the turbine.</w:t>
      </w:r>
    </w:p>
    <w:p w:rsidR="00533393" w:rsidRDefault="00783DB9">
      <w:r>
        <w:t xml:space="preserve">This apparently relatively localised effect of SWTs may in turn also explain the lack of evidence for any cumulative effect (i.e. effects were not different between single- or multiple turbine sites). If avoidance behaviour only operates over relatively short (as per our previous findings, &lt;25m) distances, it may be possible for bats to avoid individual turbines rather than whole "clusters" of turbines. Indeed, in our multiple turbine sitesturbines were sited 13 - 122 m apart with this distance being less than 23 m in only one case (mean 49.4m). This suggests that in most cases bats would be able to avoid individual turbines without coming in very close proximity of another, limiting the possibility of any cumulative effects. Further detailed study of individual flight paths would be required to confirm whether this is the case, however. Moreover, it should be noted that although the possibility of cumulative effects is often raised for larger turbines and wind farms (Masden </w:t>
      </w:r>
      <w:r>
        <w:rPr>
          <w:i/>
        </w:rPr>
        <w:t>et al.</w:t>
      </w:r>
      <w:r>
        <w:t xml:space="preserve"> 2010; SNH 2012), empirical studies that unequivocally demonstrate such effects are rather rare and have tended to focus on birds rather than bats (Schaub 2012). Although this may be due to the logistical difficulty of study such large-scale effects, it is possible that cumulative effects themselves are rare, except in specific circumstances.</w:t>
      </w:r>
    </w:p>
    <w:p w:rsidR="00533393" w:rsidRDefault="00783DB9">
      <w:r>
        <w:t xml:space="preserve">There are a number of important caveats with our findings that should be considered. First of all, these findings and conclusions should not be generalised to species other than </w:t>
      </w:r>
      <w:r>
        <w:rPr>
          <w:i/>
        </w:rPr>
        <w:t>Pipistrellus</w:t>
      </w:r>
      <w:r>
        <w:t xml:space="preserve"> sp. Although Pipistrelle bats are by far the commonest species in both our wider study area as well as in the specific habitats we studied (Middleton 2006), it is </w:t>
      </w:r>
      <w:r>
        <w:lastRenderedPageBreak/>
        <w:t xml:space="preserve">likely that the collection of sufficient data to draw species-specific conclusions would rely on targeted surveys. The need to collect data at a wide range of sites rather than in specific habitats (where less widespread species may be more abundant) prevented us from doing this here. However, larger turbines in wind farms are known to have different effects on different species (Cryan &amp; Barclay 2009) and we therefore consider this to be a research priority for SWTs (Tatchley </w:t>
      </w:r>
      <w:r>
        <w:rPr>
          <w:i/>
        </w:rPr>
        <w:t>et al.</w:t>
      </w:r>
      <w:r>
        <w:t xml:space="preserve"> submitted). Secondly, the limited number of sites with more than two turbines in our sample means that we cannot exclude the possibility that a larger number of turbines </w:t>
      </w:r>
      <w:r>
        <w:rPr>
          <w:i/>
        </w:rPr>
        <w:t>would</w:t>
      </w:r>
      <w:r>
        <w:t xml:space="preserve"> cause cumulative effects; indeed modelling studies in birds (Schaub 2012) show that this may well be the case. Finally, the combination of recording bat activity over a relatively large scale (up to 500m from SWTs) along transects, and a distance-based approach to turbine effects, required that we analysed our data in distance bands. Our choice of relatively 'coarse' 100m distance bands may mean that we have missed more subtle cumulative effects of SWTs. However, our previous study had already established adverse effects on activity seem to approach zero over 25 m (Minderman </w:t>
      </w:r>
      <w:r>
        <w:rPr>
          <w:i/>
        </w:rPr>
        <w:t>et al.</w:t>
      </w:r>
      <w:r>
        <w:t xml:space="preserve"> 2012). More importantly, because of the mobility of the transect-based approach it would become very difficult to accurately allocate individual bat passes to more narrow distance bands, i.e. this would potentially introduce false precision. Data on behavioural responses to turbines on a finer scale would require alternative survey methods, e.g. flight path tracking (Holderied &amp; Helversen 2003).</w:t>
      </w:r>
    </w:p>
    <w:p w:rsidR="00533393" w:rsidRDefault="00783DB9">
      <w:r>
        <w:t xml:space="preserve">In summary, based on the data presented here it is unlikely that SWTs in the range of 6-25m hub height have adverse effects on bat activity on a landscape (&gt;100 m) scale, or that such effects of cumulative (when considering 2-4 installed turbines). Given the </w:t>
      </w:r>
      <w:r>
        <w:lastRenderedPageBreak/>
        <w:t>rapid expansion of SWTs both in the UK and worldwide, and the fact that in many cases planning- or siting permission is required, these findings are of key importance to both decision makers on the local level as well as to renewable energy policy makers.</w:t>
      </w:r>
    </w:p>
    <w:p w:rsidR="00533393" w:rsidRDefault="00783DB9">
      <w:pPr>
        <w:pStyle w:val="Heading1"/>
      </w:pPr>
      <w:bookmarkStart w:id="14" w:name="acknowledgements"/>
      <w:bookmarkEnd w:id="14"/>
      <w:r>
        <w:t>Acknowledgements</w:t>
      </w:r>
    </w:p>
    <w:p w:rsidR="00533393" w:rsidRDefault="00783DB9">
      <w:r>
        <w:t>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rsidR="00533393" w:rsidRDefault="00783DB9">
      <w:pPr>
        <w:pStyle w:val="Heading1"/>
      </w:pPr>
      <w:bookmarkStart w:id="15" w:name="references"/>
      <w:bookmarkEnd w:id="15"/>
      <w:r>
        <w:t>References</w:t>
      </w:r>
    </w:p>
    <w:p w:rsidR="00533393" w:rsidRDefault="00783DB9">
      <w:pPr>
        <w:pStyle w:val="Bibliography"/>
      </w:pPr>
      <w:r>
        <w:t>Barton, K. (2015) MuMIn: Multi-Model Inference. R package version 1.13.4.</w:t>
      </w:r>
    </w:p>
    <w:p w:rsidR="00533393" w:rsidRDefault="00783DB9">
      <w:pPr>
        <w:pStyle w:val="Bibliography"/>
      </w:pPr>
      <w:r>
        <w:t>Bates, D., Maechler, M., Bolker, B. &amp; Walker, S. (2014) Lme4: Linear mixed-effects models using Eigen and S4. R package version 1.1-7.</w:t>
      </w:r>
    </w:p>
    <w:p w:rsidR="00533393" w:rsidRDefault="00783DB9">
      <w:pPr>
        <w:pStyle w:val="Bibliography"/>
      </w:pPr>
      <w:r>
        <w:t xml:space="preserve">Burnham, K. &amp; Anderson, D. (1998) </w:t>
      </w:r>
      <w:r>
        <w:rPr>
          <w:i/>
        </w:rPr>
        <w:t>Model Selection and Multimodel Inference: A Practical Information-Theoretic Approach</w:t>
      </w:r>
      <w:r>
        <w:t>, 2nd ed. Springer Verlag, New York, USA.</w:t>
      </w:r>
    </w:p>
    <w:p w:rsidR="00533393" w:rsidRDefault="00783DB9">
      <w:pPr>
        <w:pStyle w:val="Bibliography"/>
      </w:pPr>
      <w:r>
        <w:t xml:space="preserve">Cryan, P. &amp; Barclay, R. (2009) Causes of bat fatalities at wind turbines: Hypotheses and predictions. </w:t>
      </w:r>
      <w:r>
        <w:rPr>
          <w:i/>
        </w:rPr>
        <w:t>Journal of Mammology</w:t>
      </w:r>
      <w:r>
        <w:t xml:space="preserve">, </w:t>
      </w:r>
      <w:r>
        <w:rPr>
          <w:b/>
        </w:rPr>
        <w:t>90</w:t>
      </w:r>
      <w:r>
        <w:t>, 1330–1340.</w:t>
      </w:r>
    </w:p>
    <w:p w:rsidR="00533393" w:rsidRDefault="00783DB9">
      <w:pPr>
        <w:pStyle w:val="Bibliography"/>
      </w:pPr>
      <w:r>
        <w:lastRenderedPageBreak/>
        <w:t xml:space="preserve">Drewitt, A. &amp; Langston, R. (2006) Assessing the impacts of wind farms on birds. </w:t>
      </w:r>
      <w:r>
        <w:rPr>
          <w:i/>
        </w:rPr>
        <w:t>Ibis</w:t>
      </w:r>
      <w:r>
        <w:t xml:space="preserve">, </w:t>
      </w:r>
      <w:r>
        <w:rPr>
          <w:b/>
        </w:rPr>
        <w:t>148</w:t>
      </w:r>
      <w:r>
        <w:t>, 29–42.</w:t>
      </w:r>
    </w:p>
    <w:p w:rsidR="00533393" w:rsidRDefault="00783DB9">
      <w:pPr>
        <w:pStyle w:val="Bibliography"/>
      </w:pPr>
      <w:r>
        <w:t xml:space="preserve">Gelman, A. (2008) Scaling regression inputs by dividing by two standard deviations. </w:t>
      </w:r>
      <w:r>
        <w:rPr>
          <w:i/>
        </w:rPr>
        <w:t>Statistics in Medicine</w:t>
      </w:r>
      <w:r>
        <w:t xml:space="preserve">, </w:t>
      </w:r>
      <w:r>
        <w:rPr>
          <w:b/>
        </w:rPr>
        <w:t>27</w:t>
      </w:r>
      <w:r>
        <w:t>, 2865–2873.</w:t>
      </w:r>
    </w:p>
    <w:p w:rsidR="00533393" w:rsidRDefault="00783DB9">
      <w:pPr>
        <w:pStyle w:val="Bibliography"/>
      </w:pPr>
      <w:r>
        <w:t xml:space="preserve">Gelman, A. &amp; Hill, J. (2007) </w:t>
      </w:r>
      <w:r>
        <w:rPr>
          <w:i/>
        </w:rPr>
        <w:t>Data Analysis Using Regression and Multilevel/Hierarchical Models</w:t>
      </w:r>
      <w:r>
        <w:t>. Cambridge University Press, New York.</w:t>
      </w:r>
    </w:p>
    <w:p w:rsidR="00533393" w:rsidRDefault="00783DB9">
      <w:pPr>
        <w:pStyle w:val="Bibliography"/>
      </w:pPr>
      <w:r>
        <w:t>Gelman, A. &amp; Su, Y.-S. (2014) Arm: Data Analysis Using Regression and Multilevel/Hierarchical Models. R package version 1.7-07.</w:t>
      </w:r>
    </w:p>
    <w:p w:rsidR="00533393" w:rsidRDefault="00783DB9">
      <w:pPr>
        <w:pStyle w:val="Bibliography"/>
      </w:pPr>
      <w:r>
        <w:t xml:space="preserve">Holderied, M.W. &amp; Helversen, O. von. (2003) Echolocation range and wingbeat period match in aerial-hawking bats. </w:t>
      </w:r>
      <w:r>
        <w:rPr>
          <w:i/>
        </w:rPr>
        <w:t>Proceedings of the Royal Society B: Biological Sciences</w:t>
      </w:r>
      <w:r>
        <w:t xml:space="preserve">, </w:t>
      </w:r>
      <w:r>
        <w:rPr>
          <w:b/>
        </w:rPr>
        <w:t>270</w:t>
      </w:r>
      <w:r>
        <w:t>, 2293–2299.</w:t>
      </w:r>
    </w:p>
    <w:p w:rsidR="00533393" w:rsidRDefault="00783DB9">
      <w:pPr>
        <w:pStyle w:val="Bibliography"/>
      </w:pPr>
      <w:r>
        <w:t xml:space="preserve">Kuvlesky, W.P., Brennan, L.A., Morrison, M.L., Boydston, K.K., Ballard, B.M. &amp; Bryant, F.C. (2007) Wind Energy Development and Wildlife Conservation: Challenges and Opportunities. </w:t>
      </w:r>
      <w:r>
        <w:rPr>
          <w:i/>
        </w:rPr>
        <w:t>Journal of Wildlife Management</w:t>
      </w:r>
      <w:r>
        <w:t xml:space="preserve">, </w:t>
      </w:r>
      <w:r>
        <w:rPr>
          <w:b/>
        </w:rPr>
        <w:t>71</w:t>
      </w:r>
      <w:r>
        <w:t>, 2487–2498.</w:t>
      </w:r>
    </w:p>
    <w:p w:rsidR="00533393" w:rsidRDefault="00783DB9">
      <w:pPr>
        <w:pStyle w:val="Bibliography"/>
      </w:pPr>
      <w:r>
        <w:t xml:space="preserve">Larsen, J. &amp; Guillemette, M. (2007) Effects of wind turbines on flight behaviour of wintering common eiders: Implications for habitat use and collision risk. </w:t>
      </w:r>
      <w:r>
        <w:rPr>
          <w:i/>
        </w:rPr>
        <w:t>Journal of Applied Ecology</w:t>
      </w:r>
      <w:r>
        <w:t xml:space="preserve">, </w:t>
      </w:r>
      <w:r>
        <w:rPr>
          <w:b/>
        </w:rPr>
        <w:t>44</w:t>
      </w:r>
      <w:r>
        <w:t>, 516–522.</w:t>
      </w:r>
    </w:p>
    <w:p w:rsidR="00533393" w:rsidRDefault="00783DB9">
      <w:pPr>
        <w:pStyle w:val="Bibliography"/>
      </w:pPr>
      <w:r>
        <w:t xml:space="preserve">Long, C., Flint, J. &amp; Lepper, P. (2010) Wind turbines and bat mortality: Doppler shift profiles and ultrasonic bat-like pulse reflection from moving turbine blades. </w:t>
      </w:r>
      <w:r>
        <w:rPr>
          <w:i/>
        </w:rPr>
        <w:t>JOURNAL OF THE ACOUSTICAL SOCIETY OF AMERICA</w:t>
      </w:r>
      <w:r>
        <w:t xml:space="preserve">, </w:t>
      </w:r>
      <w:r>
        <w:rPr>
          <w:b/>
        </w:rPr>
        <w:t>128</w:t>
      </w:r>
      <w:r>
        <w:t>, 2238–2245.</w:t>
      </w:r>
    </w:p>
    <w:p w:rsidR="00533393" w:rsidRDefault="00783DB9">
      <w:pPr>
        <w:pStyle w:val="Bibliography"/>
      </w:pPr>
      <w:r>
        <w:lastRenderedPageBreak/>
        <w:t xml:space="preserve">Masden, E.A., Fox, A.D., Furness, R.W., Bullman, R. &amp; Haydon, D.T. (2010) Cumulative impact assessments and bird/wind farm interactions: Developing a conceptual framework. </w:t>
      </w:r>
      <w:r>
        <w:rPr>
          <w:i/>
        </w:rPr>
        <w:t>Environmental Impact Assessment Review</w:t>
      </w:r>
      <w:r>
        <w:t xml:space="preserve">, </w:t>
      </w:r>
      <w:r>
        <w:rPr>
          <w:b/>
        </w:rPr>
        <w:t>30</w:t>
      </w:r>
      <w:r>
        <w:t>, 1–7.</w:t>
      </w:r>
    </w:p>
    <w:p w:rsidR="00533393" w:rsidRDefault="00783DB9">
      <w:pPr>
        <w:pStyle w:val="Bibliography"/>
      </w:pPr>
      <w:r>
        <w:t xml:space="preserve">Middleton, N. (2006) </w:t>
      </w:r>
      <w:r>
        <w:rPr>
          <w:i/>
        </w:rPr>
        <w:t>An Introduction to the Bats of Scotland</w:t>
      </w:r>
      <w:r>
        <w:t>. ECHOES Ecology Ltd., Polmont, UK.</w:t>
      </w:r>
    </w:p>
    <w:p w:rsidR="00533393" w:rsidRDefault="00783DB9">
      <w:pPr>
        <w:pStyle w:val="Bibliography"/>
      </w:pPr>
      <w:r>
        <w:t xml:space="preserve">Minderman, J., Fuentes-Montemayor, E., Pearce-Higgins, J.W., Pendlebury, C.J. &amp; Park, K.J. (2014) Estimates and correlates of bird and bat mortality at small wind turbine sites. </w:t>
      </w:r>
      <w:r>
        <w:rPr>
          <w:i/>
        </w:rPr>
        <w:t>Biodiversity and Conservation</w:t>
      </w:r>
      <w:r>
        <w:t xml:space="preserve">, </w:t>
      </w:r>
      <w:r>
        <w:rPr>
          <w:b/>
        </w:rPr>
        <w:t>24</w:t>
      </w:r>
      <w:r>
        <w:t>, 467–482.</w:t>
      </w:r>
    </w:p>
    <w:p w:rsidR="00533393" w:rsidRDefault="00783DB9">
      <w:pPr>
        <w:pStyle w:val="Bibliography"/>
      </w:pPr>
      <w:r>
        <w:t xml:space="preserve">Minderman, J., Pendlebury, C.J., Pearce-Higgins, J.W. &amp; Park, K.J. (2012) Experimental evidence for the effect of small wind turbine proximity and operation on bird and bat activity. </w:t>
      </w:r>
      <w:r>
        <w:rPr>
          <w:i/>
        </w:rPr>
        <w:t>PLoS ONE</w:t>
      </w:r>
      <w:r>
        <w:t xml:space="preserve">, </w:t>
      </w:r>
      <w:r>
        <w:rPr>
          <w:b/>
        </w:rPr>
        <w:t>7</w:t>
      </w:r>
      <w:r>
        <w:t>, e41177.</w:t>
      </w:r>
    </w:p>
    <w:p w:rsidR="00533393" w:rsidRDefault="00783DB9">
      <w:pPr>
        <w:pStyle w:val="Bibliography"/>
      </w:pPr>
      <w:r>
        <w:t xml:space="preserve">Nakagawa, S. &amp; Schielzeth, H. (2013) A general and simple method for obtaining R2 from generalized linear mixed-effects models. </w:t>
      </w:r>
      <w:r>
        <w:rPr>
          <w:i/>
        </w:rPr>
        <w:t>Methods in Ecology and Evolution</w:t>
      </w:r>
      <w:r>
        <w:t xml:space="preserve">, </w:t>
      </w:r>
      <w:r>
        <w:rPr>
          <w:b/>
        </w:rPr>
        <w:t>4</w:t>
      </w:r>
      <w:r>
        <w:t>, 133–142.</w:t>
      </w:r>
    </w:p>
    <w:p w:rsidR="00533393" w:rsidRDefault="00783DB9">
      <w:pPr>
        <w:pStyle w:val="Bibliography"/>
      </w:pPr>
      <w:r>
        <w:t xml:space="preserve">Park, K.J., Turner, A. &amp; Minderman, J. (2013) Integrating applied ecology and planning policy: The case of micro-turbines and wildlife conservation. </w:t>
      </w:r>
      <w:r>
        <w:rPr>
          <w:i/>
        </w:rPr>
        <w:t>Journal of Applied Ecology</w:t>
      </w:r>
      <w:r>
        <w:t xml:space="preserve">, </w:t>
      </w:r>
      <w:r>
        <w:rPr>
          <w:b/>
        </w:rPr>
        <w:t>50</w:t>
      </w:r>
      <w:r>
        <w:t>, 199–204.</w:t>
      </w:r>
    </w:p>
    <w:p w:rsidR="00533393" w:rsidRDefault="00783DB9">
      <w:pPr>
        <w:pStyle w:val="Bibliography"/>
      </w:pPr>
      <w:r>
        <w:t xml:space="preserve">Pearce-Higgins, J.W., Stephen, L., Langston, R.H.W., Bainbridge, I.P. &amp; Bullman, R. (2009) The distribution of breeding birds around upland wind farms. </w:t>
      </w:r>
      <w:r>
        <w:rPr>
          <w:i/>
        </w:rPr>
        <w:t>Journal of Applied Ecology</w:t>
      </w:r>
      <w:r>
        <w:t xml:space="preserve">, </w:t>
      </w:r>
      <w:r>
        <w:rPr>
          <w:b/>
        </w:rPr>
        <w:t>46</w:t>
      </w:r>
      <w:r>
        <w:t>, 1323–1331.</w:t>
      </w:r>
    </w:p>
    <w:p w:rsidR="00533393" w:rsidRDefault="00783DB9">
      <w:pPr>
        <w:pStyle w:val="Bibliography"/>
      </w:pPr>
      <w:r>
        <w:lastRenderedPageBreak/>
        <w:t xml:space="preserve">‘Quantum GIS Development Team’. (2014) </w:t>
      </w:r>
      <w:r>
        <w:rPr>
          <w:i/>
        </w:rPr>
        <w:t>Quantum GIS Geographic Information System</w:t>
      </w:r>
      <w:r>
        <w:t>. Open Source Geospatial Foundation Project.</w:t>
      </w:r>
    </w:p>
    <w:p w:rsidR="00533393" w:rsidRDefault="00783DB9">
      <w:pPr>
        <w:pStyle w:val="Bibliography"/>
      </w:pPr>
      <w:r>
        <w:t xml:space="preserve">‘R Development Core Team’. (2015) </w:t>
      </w:r>
      <w:r>
        <w:rPr>
          <w:i/>
        </w:rPr>
        <w:t>R: A Language and Environment for Statistical Computing</w:t>
      </w:r>
      <w:r>
        <w:t>. R Foundation for Statistical Computing, Vienna, Austria.</w:t>
      </w:r>
    </w:p>
    <w:p w:rsidR="00533393" w:rsidRDefault="00783DB9">
      <w:pPr>
        <w:pStyle w:val="Bibliography"/>
      </w:pPr>
      <w:r>
        <w:t xml:space="preserve">RenewableUK. (2014) </w:t>
      </w:r>
      <w:r>
        <w:rPr>
          <w:i/>
        </w:rPr>
        <w:t>Small and Medium Wind Strategy: The Current and Future Potential of the Sub-500kW Wind Industry in the UK</w:t>
      </w:r>
      <w:r>
        <w:t>. RenewableUK, London, UK.</w:t>
      </w:r>
    </w:p>
    <w:p w:rsidR="00533393" w:rsidRDefault="00783DB9">
      <w:pPr>
        <w:pStyle w:val="Bibliography"/>
      </w:pPr>
      <w:r>
        <w:t xml:space="preserve">Russ, J. (2012) </w:t>
      </w:r>
      <w:r>
        <w:rPr>
          <w:i/>
        </w:rPr>
        <w:t>British Bat Calls: A Guide to Species Identification</w:t>
      </w:r>
      <w:r>
        <w:t>. Pelagic Pub., Exeter.</w:t>
      </w:r>
    </w:p>
    <w:p w:rsidR="00533393" w:rsidRDefault="00783DB9">
      <w:pPr>
        <w:pStyle w:val="Bibliography"/>
      </w:pPr>
      <w:r>
        <w:t xml:space="preserve">Rydell, J., Bach, L., Dubourg-Savage, M., Green, M., Rodrigues, L. &amp; Hedenstrom, A. (2010) Bat mortality at wind turbines in northwestern Europe. </w:t>
      </w:r>
      <w:r>
        <w:rPr>
          <w:i/>
        </w:rPr>
        <w:t>Acta Chiropterologica</w:t>
      </w:r>
      <w:r>
        <w:t xml:space="preserve">, </w:t>
      </w:r>
      <w:r>
        <w:rPr>
          <w:b/>
        </w:rPr>
        <w:t>12</w:t>
      </w:r>
      <w:r>
        <w:t>, 261–274.</w:t>
      </w:r>
    </w:p>
    <w:p w:rsidR="00533393" w:rsidRDefault="00783DB9">
      <w:pPr>
        <w:pStyle w:val="Bibliography"/>
      </w:pPr>
      <w:r>
        <w:t xml:space="preserve">Schaub, M. (2012) Spatial distribution of wind turbines is crucial for the survival of red kite populations. </w:t>
      </w:r>
      <w:r>
        <w:rPr>
          <w:i/>
        </w:rPr>
        <w:t>Biological Conservation</w:t>
      </w:r>
      <w:r>
        <w:t xml:space="preserve">, </w:t>
      </w:r>
      <w:r>
        <w:rPr>
          <w:b/>
        </w:rPr>
        <w:t>155</w:t>
      </w:r>
      <w:r>
        <w:t>, 111–118.</w:t>
      </w:r>
    </w:p>
    <w:p w:rsidR="00533393" w:rsidRDefault="00783DB9">
      <w:pPr>
        <w:pStyle w:val="Bibliography"/>
      </w:pPr>
      <w:r>
        <w:t xml:space="preserve">Schaub, A., Ostwald, J. &amp; Siemers, B. (2008) Foraging bats avoid noise. </w:t>
      </w:r>
      <w:r>
        <w:rPr>
          <w:i/>
        </w:rPr>
        <w:t>JOURNAL OF EXPERIMENTAL BIOLOGY</w:t>
      </w:r>
      <w:r>
        <w:t xml:space="preserve">, </w:t>
      </w:r>
      <w:r>
        <w:rPr>
          <w:b/>
        </w:rPr>
        <w:t>211</w:t>
      </w:r>
      <w:r>
        <w:t>, 3174–3180.</w:t>
      </w:r>
    </w:p>
    <w:p w:rsidR="00533393" w:rsidRDefault="00783DB9">
      <w:pPr>
        <w:pStyle w:val="Bibliography"/>
      </w:pPr>
      <w:r>
        <w:t xml:space="preserve">SNH. (2012) </w:t>
      </w:r>
      <w:r>
        <w:rPr>
          <w:i/>
        </w:rPr>
        <w:t>Assessing the Cumulative Impact of Onshore Wind Energy Developments</w:t>
      </w:r>
      <w:r>
        <w:t>. Scottish Natural Heritage, Inverness, UK.</w:t>
      </w:r>
    </w:p>
    <w:p w:rsidR="00533393" w:rsidRDefault="00783DB9">
      <w:pPr>
        <w:pStyle w:val="Bibliography"/>
      </w:pPr>
      <w:r>
        <w:t xml:space="preserve">Tuomainen, U. &amp; Candolin, U. (2011) Behavioural responses to human-induced environmental change. </w:t>
      </w:r>
      <w:r>
        <w:rPr>
          <w:i/>
        </w:rPr>
        <w:t>Biological Reviews</w:t>
      </w:r>
      <w:r>
        <w:t xml:space="preserve">, </w:t>
      </w:r>
      <w:r>
        <w:rPr>
          <w:b/>
        </w:rPr>
        <w:t>86</w:t>
      </w:r>
      <w:r>
        <w:t>, 640–657.</w:t>
      </w:r>
    </w:p>
    <w:p w:rsidR="00533393" w:rsidRDefault="00783DB9">
      <w:pPr>
        <w:pStyle w:val="Bibliography"/>
      </w:pPr>
      <w:r>
        <w:t xml:space="preserve">‘UK Meteorological Office’. (2006) </w:t>
      </w:r>
      <w:r>
        <w:rPr>
          <w:i/>
        </w:rPr>
        <w:t>MIDAS Land Surface Stations Data (1853-Current)</w:t>
      </w:r>
      <w:r>
        <w:t>. NCAS British Atmospheric Data Centre, Didcot, UK.</w:t>
      </w:r>
    </w:p>
    <w:p w:rsidR="00D52DF2" w:rsidRDefault="00783DB9">
      <w:pPr>
        <w:pStyle w:val="Bibliography"/>
      </w:pPr>
      <w:r>
        <w:lastRenderedPageBreak/>
        <w:t xml:space="preserve">WWEA. (2013) </w:t>
      </w:r>
      <w:r>
        <w:rPr>
          <w:i/>
        </w:rPr>
        <w:t>2013 Small Wind World Report Update</w:t>
      </w:r>
      <w:r>
        <w:t>. World Wind Energy Association, Bonn, Germany.</w:t>
      </w:r>
    </w:p>
    <w:p w:rsidR="00D52DF2" w:rsidRPr="00D52DF2" w:rsidRDefault="00D52DF2" w:rsidP="00D52DF2">
      <w:r>
        <w:br w:type="page"/>
      </w:r>
    </w:p>
    <w:tbl>
      <w:tblPr>
        <w:tblStyle w:val="PlainTable4"/>
        <w:tblpPr w:leftFromText="180" w:rightFromText="180" w:vertAnchor="page" w:horzAnchor="margin" w:tblpY="3014"/>
        <w:tblW w:w="0" w:type="auto"/>
        <w:tblLook w:val="04A0" w:firstRow="1" w:lastRow="0" w:firstColumn="1" w:lastColumn="0" w:noHBand="0" w:noVBand="1"/>
      </w:tblPr>
      <w:tblGrid>
        <w:gridCol w:w="3239"/>
        <w:gridCol w:w="1264"/>
        <w:gridCol w:w="1275"/>
        <w:gridCol w:w="1276"/>
        <w:gridCol w:w="1134"/>
        <w:gridCol w:w="1276"/>
      </w:tblGrid>
      <w:tr w:rsidR="00D52DF2" w:rsidRPr="00D52DF2" w:rsidTr="00D52D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sz w:val="24"/>
                <w:szCs w:val="24"/>
                <w:lang w:val="en-GB" w:eastAsia="zh-CN"/>
              </w:rPr>
            </w:pPr>
          </w:p>
        </w:tc>
        <w:tc>
          <w:tcPr>
            <w:tcW w:w="1264" w:type="dxa"/>
            <w:noWrap/>
            <w:hideMark/>
          </w:tcPr>
          <w:p w:rsidR="00D52DF2" w:rsidRPr="00D52DF2" w:rsidRDefault="00D52DF2" w:rsidP="00D52DF2">
            <w:pPr>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Mean</w:t>
            </w:r>
          </w:p>
        </w:tc>
        <w:tc>
          <w:tcPr>
            <w:tcW w:w="1275" w:type="dxa"/>
            <w:noWrap/>
            <w:hideMark/>
          </w:tcPr>
          <w:p w:rsidR="00D52DF2" w:rsidRPr="00D52DF2" w:rsidRDefault="00D52DF2" w:rsidP="00D52DF2">
            <w:pPr>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Median</w:t>
            </w:r>
          </w:p>
        </w:tc>
        <w:tc>
          <w:tcPr>
            <w:tcW w:w="1276" w:type="dxa"/>
            <w:noWrap/>
            <w:hideMark/>
          </w:tcPr>
          <w:p w:rsidR="00D52DF2" w:rsidRPr="00D52DF2" w:rsidRDefault="00D52DF2" w:rsidP="00D52DF2">
            <w:pPr>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Std. dev</w:t>
            </w:r>
          </w:p>
        </w:tc>
        <w:tc>
          <w:tcPr>
            <w:tcW w:w="1134" w:type="dxa"/>
            <w:noWrap/>
            <w:hideMark/>
          </w:tcPr>
          <w:p w:rsidR="00D52DF2" w:rsidRPr="00D52DF2" w:rsidRDefault="00D52DF2" w:rsidP="00D52DF2">
            <w:pPr>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Min.</w:t>
            </w:r>
          </w:p>
        </w:tc>
        <w:tc>
          <w:tcPr>
            <w:tcW w:w="1276" w:type="dxa"/>
            <w:noWrap/>
            <w:hideMark/>
          </w:tcPr>
          <w:p w:rsidR="00D52DF2" w:rsidRPr="00D52DF2" w:rsidRDefault="00D52DF2" w:rsidP="00D52DF2">
            <w:pPr>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Max.</w:t>
            </w:r>
          </w:p>
        </w:tc>
      </w:tr>
      <w:tr w:rsidR="00D52DF2" w:rsidRPr="00D52DF2" w:rsidTr="00D52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Minimum 24h temperature (°C)</w:t>
            </w:r>
          </w:p>
        </w:tc>
        <w:tc>
          <w:tcPr>
            <w:tcW w:w="126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11.76</w:t>
            </w:r>
          </w:p>
        </w:tc>
        <w:tc>
          <w:tcPr>
            <w:tcW w:w="1275"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12</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2.75</w:t>
            </w:r>
          </w:p>
        </w:tc>
        <w:tc>
          <w:tcPr>
            <w:tcW w:w="113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5</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17.6</w:t>
            </w:r>
          </w:p>
        </w:tc>
      </w:tr>
      <w:tr w:rsidR="00D52DF2" w:rsidRPr="00D52DF2" w:rsidTr="00D52DF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Julian day number</w:t>
            </w:r>
          </w:p>
        </w:tc>
        <w:tc>
          <w:tcPr>
            <w:tcW w:w="126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196.59</w:t>
            </w:r>
          </w:p>
        </w:tc>
        <w:tc>
          <w:tcPr>
            <w:tcW w:w="1275"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195</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28.85</w:t>
            </w:r>
          </w:p>
        </w:tc>
        <w:tc>
          <w:tcPr>
            <w:tcW w:w="113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147</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246</w:t>
            </w:r>
          </w:p>
        </w:tc>
      </w:tr>
      <w:tr w:rsidR="00D52DF2" w:rsidRPr="00D52DF2" w:rsidTr="00D52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Time to midnight (min)</w:t>
            </w:r>
          </w:p>
        </w:tc>
        <w:tc>
          <w:tcPr>
            <w:tcW w:w="126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-26.07</w:t>
            </w:r>
          </w:p>
        </w:tc>
        <w:tc>
          <w:tcPr>
            <w:tcW w:w="1275"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-41</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82.54</w:t>
            </w:r>
          </w:p>
        </w:tc>
        <w:tc>
          <w:tcPr>
            <w:tcW w:w="113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-202.3</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197.77</w:t>
            </w:r>
          </w:p>
        </w:tc>
      </w:tr>
      <w:tr w:rsidR="00D52DF2" w:rsidRPr="00D52DF2" w:rsidTr="00D52DF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Time to midnight</w:t>
            </w:r>
            <w:r w:rsidRPr="00D52DF2">
              <w:rPr>
                <w:rFonts w:asciiTheme="majorHAnsi" w:eastAsia="Times New Roman" w:hAnsiTheme="majorHAnsi" w:cstheme="majorHAnsi"/>
                <w:b w:val="0"/>
                <w:color w:val="000000"/>
                <w:szCs w:val="24"/>
                <w:vertAlign w:val="superscript"/>
                <w:lang w:val="en-GB" w:eastAsia="zh-CN"/>
              </w:rPr>
              <w:t>2</w:t>
            </w:r>
          </w:p>
        </w:tc>
        <w:tc>
          <w:tcPr>
            <w:tcW w:w="126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7487.47</w:t>
            </w:r>
          </w:p>
        </w:tc>
        <w:tc>
          <w:tcPr>
            <w:tcW w:w="1275"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4669.44</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8375.13</w:t>
            </w:r>
          </w:p>
        </w:tc>
        <w:tc>
          <w:tcPr>
            <w:tcW w:w="113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40925.29</w:t>
            </w:r>
          </w:p>
        </w:tc>
      </w:tr>
      <w:tr w:rsidR="00D52DF2" w:rsidRPr="00D52DF2" w:rsidTr="00D52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Wind speed (m s</w:t>
            </w:r>
            <w:r w:rsidRPr="00D52DF2">
              <w:rPr>
                <w:rFonts w:asciiTheme="majorHAnsi" w:eastAsia="Times New Roman" w:hAnsiTheme="majorHAnsi" w:cstheme="majorHAnsi"/>
                <w:b w:val="0"/>
                <w:color w:val="000000"/>
                <w:szCs w:val="24"/>
                <w:vertAlign w:val="superscript"/>
                <w:lang w:val="en-GB" w:eastAsia="zh-CN"/>
              </w:rPr>
              <w:t>-1</w:t>
            </w:r>
            <w:r w:rsidRPr="00D52DF2">
              <w:rPr>
                <w:rFonts w:asciiTheme="majorHAnsi" w:eastAsia="Times New Roman" w:hAnsiTheme="majorHAnsi" w:cstheme="majorHAnsi"/>
                <w:b w:val="0"/>
                <w:color w:val="000000"/>
                <w:szCs w:val="24"/>
                <w:lang w:val="en-GB" w:eastAsia="zh-CN"/>
              </w:rPr>
              <w:t>)</w:t>
            </w:r>
          </w:p>
        </w:tc>
        <w:tc>
          <w:tcPr>
            <w:tcW w:w="126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1.07</w:t>
            </w:r>
          </w:p>
        </w:tc>
        <w:tc>
          <w:tcPr>
            <w:tcW w:w="1275"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0.4</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1.46</w:t>
            </w:r>
          </w:p>
        </w:tc>
        <w:tc>
          <w:tcPr>
            <w:tcW w:w="113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9.8</w:t>
            </w:r>
          </w:p>
        </w:tc>
      </w:tr>
      <w:tr w:rsidR="00D52DF2" w:rsidRPr="00D52DF2" w:rsidTr="00D52DF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Edge density (m m</w:t>
            </w:r>
            <w:r w:rsidRPr="00D52DF2">
              <w:rPr>
                <w:rFonts w:asciiTheme="majorHAnsi" w:eastAsia="Times New Roman" w:hAnsiTheme="majorHAnsi" w:cstheme="majorHAnsi"/>
                <w:b w:val="0"/>
                <w:color w:val="000000"/>
                <w:szCs w:val="24"/>
                <w:vertAlign w:val="superscript"/>
                <w:lang w:val="en-GB" w:eastAsia="zh-CN"/>
              </w:rPr>
              <w:t>-2</w:t>
            </w:r>
            <w:r w:rsidRPr="00D52DF2">
              <w:rPr>
                <w:rFonts w:asciiTheme="majorHAnsi" w:eastAsia="Times New Roman" w:hAnsiTheme="majorHAnsi" w:cstheme="majorHAnsi"/>
                <w:b w:val="0"/>
                <w:color w:val="000000"/>
                <w:szCs w:val="24"/>
                <w:lang w:val="en-GB" w:eastAsia="zh-CN"/>
              </w:rPr>
              <w:t>)</w:t>
            </w:r>
          </w:p>
        </w:tc>
        <w:tc>
          <w:tcPr>
            <w:tcW w:w="126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0.04</w:t>
            </w:r>
          </w:p>
        </w:tc>
        <w:tc>
          <w:tcPr>
            <w:tcW w:w="1275"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0.03</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0.02</w:t>
            </w:r>
          </w:p>
        </w:tc>
        <w:tc>
          <w:tcPr>
            <w:tcW w:w="1134"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0.13</w:t>
            </w:r>
          </w:p>
        </w:tc>
      </w:tr>
      <w:tr w:rsidR="00D52DF2" w:rsidRPr="00D52DF2" w:rsidTr="00D52D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52DF2" w:rsidRPr="00D52DF2" w:rsidRDefault="00D52DF2" w:rsidP="00D52DF2">
            <w:pPr>
              <w:jc w:val="left"/>
              <w:rPr>
                <w:rFonts w:asciiTheme="majorHAnsi" w:eastAsia="Times New Roman" w:hAnsiTheme="majorHAnsi" w:cstheme="majorHAnsi"/>
                <w:b w:val="0"/>
                <w:color w:val="000000"/>
                <w:sz w:val="24"/>
                <w:szCs w:val="24"/>
                <w:lang w:val="en-GB" w:eastAsia="zh-CN"/>
              </w:rPr>
            </w:pPr>
            <w:r w:rsidRPr="00D52DF2">
              <w:rPr>
                <w:rFonts w:asciiTheme="majorHAnsi" w:eastAsia="Times New Roman" w:hAnsiTheme="majorHAnsi" w:cstheme="majorHAnsi"/>
                <w:b w:val="0"/>
                <w:color w:val="000000"/>
                <w:szCs w:val="24"/>
                <w:lang w:val="en-GB" w:eastAsia="zh-CN"/>
              </w:rPr>
              <w:t>Proportion woodland</w:t>
            </w:r>
          </w:p>
        </w:tc>
        <w:tc>
          <w:tcPr>
            <w:tcW w:w="126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0.05</w:t>
            </w:r>
          </w:p>
        </w:tc>
        <w:tc>
          <w:tcPr>
            <w:tcW w:w="1275"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w:t>
            </w:r>
            <w:r>
              <w:rPr>
                <w:rFonts w:asciiTheme="majorHAnsi" w:eastAsia="Times New Roman" w:hAnsiTheme="majorHAnsi" w:cstheme="majorHAnsi"/>
                <w:color w:val="000000"/>
                <w:szCs w:val="24"/>
                <w:lang w:val="en-GB" w:eastAsia="zh-CN"/>
              </w:rPr>
              <w:t>.00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0.13</w:t>
            </w:r>
          </w:p>
        </w:tc>
        <w:tc>
          <w:tcPr>
            <w:tcW w:w="1134"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w:t>
            </w:r>
            <w:r>
              <w:rPr>
                <w:rFonts w:asciiTheme="majorHAnsi" w:eastAsia="Times New Roman" w:hAnsiTheme="majorHAnsi" w:cstheme="majorHAnsi"/>
                <w:color w:val="000000"/>
                <w:szCs w:val="24"/>
                <w:lang w:val="en-GB" w:eastAsia="zh-CN"/>
              </w:rPr>
              <w:t>0</w:t>
            </w:r>
          </w:p>
        </w:tc>
        <w:tc>
          <w:tcPr>
            <w:tcW w:w="1276" w:type="dxa"/>
            <w:noWrap/>
            <w:hideMark/>
          </w:tcPr>
          <w:p w:rsidR="00D52DF2" w:rsidRPr="00D52DF2" w:rsidRDefault="00D52DF2" w:rsidP="00D52DF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GB" w:eastAsia="zh-CN"/>
              </w:rPr>
            </w:pPr>
            <w:r w:rsidRPr="00D52DF2">
              <w:rPr>
                <w:rFonts w:asciiTheme="majorHAnsi" w:eastAsia="Times New Roman" w:hAnsiTheme="majorHAnsi" w:cstheme="majorHAnsi"/>
                <w:color w:val="000000"/>
                <w:sz w:val="24"/>
                <w:szCs w:val="24"/>
                <w:lang w:val="en-GB" w:eastAsia="zh-CN"/>
              </w:rPr>
              <w:t>0.92</w:t>
            </w:r>
          </w:p>
        </w:tc>
      </w:tr>
    </w:tbl>
    <w:p w:rsidR="00D52DF2" w:rsidRDefault="00D52DF2">
      <w:pPr>
        <w:pStyle w:val="Bibliography"/>
      </w:pPr>
      <w:r w:rsidRPr="00783DB9">
        <w:rPr>
          <w:b/>
        </w:rPr>
        <w:t>Table 1.</w:t>
      </w:r>
      <w:r>
        <w:t xml:space="preserve"> Descriptive statistics of predictor variables in the </w:t>
      </w:r>
      <w:proofErr w:type="spellStart"/>
      <w:r>
        <w:t>Generalised</w:t>
      </w:r>
      <w:proofErr w:type="spellEnd"/>
      <w:r>
        <w:t xml:space="preserve"> Linear Mixed Model (GLMM) for bat activity (Table 2), on their original (</w:t>
      </w:r>
      <w:proofErr w:type="spellStart"/>
      <w:r>
        <w:t>unstandardised</w:t>
      </w:r>
      <w:proofErr w:type="spellEnd"/>
      <w:r>
        <w:t>) scale.</w:t>
      </w:r>
    </w:p>
    <w:p w:rsidR="00D52DF2" w:rsidRDefault="00D52DF2" w:rsidP="00D52DF2">
      <w:pPr>
        <w:jc w:val="left"/>
        <w:sectPr w:rsidR="00D52DF2" w:rsidSect="00783DB9">
          <w:footerReference w:type="even" r:id="rId11"/>
          <w:footerReference w:type="default" r:id="rId12"/>
          <w:pgSz w:w="12240" w:h="15840"/>
          <w:pgMar w:top="1440" w:right="1440" w:bottom="1440" w:left="1440" w:header="720" w:footer="720" w:gutter="0"/>
          <w:lnNumType w:countBy="1" w:restart="continuous"/>
          <w:cols w:space="720"/>
        </w:sectPr>
      </w:pPr>
    </w:p>
    <w:p w:rsidR="00D52DF2" w:rsidRDefault="00D52DF2" w:rsidP="00D52DF2">
      <w:pPr>
        <w:jc w:val="left"/>
      </w:pPr>
      <w:r w:rsidRPr="00783DB9">
        <w:rPr>
          <w:b/>
        </w:rPr>
        <w:lastRenderedPageBreak/>
        <w:t>Table 2.</w:t>
      </w:r>
      <w:r>
        <w:t xml:space="preserve"> </w:t>
      </w:r>
      <w:r w:rsidR="005E1EC1">
        <w:t xml:space="preserve">Candidate set of </w:t>
      </w:r>
      <w:proofErr w:type="spellStart"/>
      <w:r w:rsidR="005E1EC1">
        <w:t>Generalised</w:t>
      </w:r>
      <w:proofErr w:type="spellEnd"/>
      <w:r w:rsidR="005E1EC1">
        <w:t xml:space="preserve"> Linear Mixed Models for bat activity (probability of bat activity ha-1, binomial errors, </w:t>
      </w:r>
      <w:proofErr w:type="gramStart"/>
      <w:r w:rsidR="005E1EC1">
        <w:t>complementary</w:t>
      </w:r>
      <w:proofErr w:type="gramEnd"/>
      <w:r w:rsidR="005E1EC1">
        <w:t xml:space="preserve"> log-log link) within 4 </w:t>
      </w:r>
      <w:proofErr w:type="spellStart"/>
      <w:r w:rsidR="005E1EC1">
        <w:t>AICc</w:t>
      </w:r>
      <w:proofErr w:type="spellEnd"/>
      <w:r w:rsidR="005E1EC1">
        <w:t xml:space="preserve"> points of the “top” model. Coefficients are parameter estimates </w:t>
      </w:r>
      <w:r w:rsidR="004A6282">
        <w:t xml:space="preserve">based on models fit using </w:t>
      </w:r>
      <w:proofErr w:type="spellStart"/>
      <w:r w:rsidR="005E1EC1">
        <w:t>standardised</w:t>
      </w:r>
      <w:proofErr w:type="spellEnd"/>
      <w:r w:rsidR="005E1EC1">
        <w:t xml:space="preserve"> (centered and scaled to 2 SD) inputs. </w:t>
      </w:r>
      <w:r w:rsidR="00506FF9">
        <w:t xml:space="preserve">In the case of factorial predictors, their inclusion is indicated by a +. Empty cells indicate the predictor was not included in a given model. K is the number of parameters in the models.  </w:t>
      </w:r>
      <w:r w:rsidR="00783DB9">
        <w:t>All models include</w:t>
      </w:r>
      <w:r w:rsidR="004A6282">
        <w:t>d</w:t>
      </w:r>
      <w:r w:rsidR="00783DB9">
        <w:t xml:space="preserve"> site and transect within site as a nested random effect structure, and all models </w:t>
      </w:r>
      <w:r w:rsidR="004A6282">
        <w:t>had</w:t>
      </w:r>
      <w:r w:rsidR="00783DB9">
        <w:t xml:space="preserve"> binomial errors and </w:t>
      </w:r>
      <w:r w:rsidR="004A6282">
        <w:t>were</w:t>
      </w:r>
      <w:r w:rsidR="00783DB9">
        <w:t xml:space="preserve"> fitted with a complimentary log-log link.</w:t>
      </w:r>
    </w:p>
    <w:tbl>
      <w:tblPr>
        <w:tblStyle w:val="GridTable2"/>
        <w:tblW w:w="5000" w:type="pct"/>
        <w:tblLook w:val="04A0" w:firstRow="1" w:lastRow="0" w:firstColumn="1" w:lastColumn="0" w:noHBand="0" w:noVBand="1"/>
      </w:tblPr>
      <w:tblGrid>
        <w:gridCol w:w="492"/>
        <w:gridCol w:w="870"/>
        <w:gridCol w:w="727"/>
        <w:gridCol w:w="633"/>
        <w:gridCol w:w="667"/>
        <w:gridCol w:w="667"/>
        <w:gridCol w:w="727"/>
        <w:gridCol w:w="667"/>
        <w:gridCol w:w="727"/>
        <w:gridCol w:w="727"/>
        <w:gridCol w:w="727"/>
        <w:gridCol w:w="617"/>
        <w:gridCol w:w="417"/>
        <w:gridCol w:w="727"/>
        <w:gridCol w:w="767"/>
        <w:gridCol w:w="806"/>
        <w:gridCol w:w="772"/>
        <w:gridCol w:w="772"/>
        <w:gridCol w:w="667"/>
      </w:tblGrid>
      <w:tr w:rsidR="00506FF9" w:rsidRPr="005E1EC1" w:rsidTr="00783DB9">
        <w:trPr>
          <w:cnfStyle w:val="100000000000" w:firstRow="1" w:lastRow="0" w:firstColumn="0" w:lastColumn="0" w:oddVBand="0" w:evenVBand="0" w:oddHBand="0" w:evenHBand="0"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197" w:type="pct"/>
            <w:textDirection w:val="btLr"/>
            <w:vAlign w:val="center"/>
          </w:tcPr>
          <w:p w:rsidR="00506FF9" w:rsidRPr="005E1EC1" w:rsidRDefault="00506FF9" w:rsidP="00506FF9">
            <w:pPr>
              <w:ind w:left="113" w:right="113"/>
              <w:jc w:val="lef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Model no.</w:t>
            </w:r>
          </w:p>
        </w:tc>
        <w:tc>
          <w:tcPr>
            <w:tcW w:w="340"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Intercept</w:t>
            </w: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No. of turbines</w:t>
            </w:r>
          </w:p>
        </w:tc>
        <w:tc>
          <w:tcPr>
            <w:tcW w:w="250"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Distance band</w:t>
            </w:r>
          </w:p>
        </w:tc>
        <w:tc>
          <w:tcPr>
            <w:tcW w:w="25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Day number</w:t>
            </w:r>
          </w:p>
        </w:tc>
        <w:tc>
          <w:tcPr>
            <w:tcW w:w="25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Edge density</w:t>
            </w: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Min. 24h temperature</w:t>
            </w:r>
          </w:p>
        </w:tc>
        <w:tc>
          <w:tcPr>
            <w:tcW w:w="25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Proportion woodland</w:t>
            </w: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Time to midnight</w:t>
            </w: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Time to midnight</w:t>
            </w:r>
            <w:r w:rsidRPr="005E1EC1">
              <w:rPr>
                <w:rFonts w:ascii="Arial" w:eastAsia="Times New Roman" w:hAnsi="Arial" w:cs="Arial"/>
                <w:color w:val="000000"/>
                <w:sz w:val="18"/>
                <w:szCs w:val="18"/>
                <w:vertAlign w:val="superscript"/>
                <w:lang w:val="en-GB" w:eastAsia="zh-CN"/>
              </w:rPr>
              <w:t>2</w:t>
            </w: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Wind speed</w:t>
            </w:r>
          </w:p>
        </w:tc>
        <w:tc>
          <w:tcPr>
            <w:tcW w:w="244"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No. of turbines * Distance band</w:t>
            </w:r>
          </w:p>
        </w:tc>
        <w:tc>
          <w:tcPr>
            <w:tcW w:w="158" w:type="pct"/>
            <w:noWrap/>
            <w:vAlign w:val="bottom"/>
            <w:hideMark/>
          </w:tcPr>
          <w:p w:rsidR="00506FF9"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k</w:t>
            </w:r>
          </w:p>
          <w:p w:rsidR="00506FF9" w:rsidRPr="005E1EC1"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lang w:val="en-GB" w:eastAsia="zh-CN"/>
              </w:rPr>
            </w:pPr>
          </w:p>
        </w:tc>
        <w:tc>
          <w:tcPr>
            <w:tcW w:w="276"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Log-likelihood</w:t>
            </w:r>
          </w:p>
        </w:tc>
        <w:tc>
          <w:tcPr>
            <w:tcW w:w="291" w:type="pct"/>
            <w:noWrap/>
            <w:vAlign w:val="bottom"/>
            <w:hideMark/>
          </w:tcPr>
          <w:p w:rsidR="00506FF9"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roofErr w:type="spellStart"/>
            <w:r w:rsidRPr="005E1EC1">
              <w:rPr>
                <w:rFonts w:ascii="Arial" w:eastAsia="Times New Roman" w:hAnsi="Arial" w:cs="Arial"/>
                <w:color w:val="000000"/>
                <w:sz w:val="18"/>
                <w:szCs w:val="18"/>
                <w:lang w:val="en-GB" w:eastAsia="zh-CN"/>
              </w:rPr>
              <w:t>AICc</w:t>
            </w:r>
            <w:proofErr w:type="spellEnd"/>
          </w:p>
          <w:p w:rsidR="00506FF9" w:rsidRPr="005E1EC1"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lang w:val="en-GB" w:eastAsia="zh-CN"/>
              </w:rPr>
            </w:pPr>
          </w:p>
        </w:tc>
        <w:tc>
          <w:tcPr>
            <w:tcW w:w="306" w:type="pct"/>
            <w:noWrap/>
            <w:vAlign w:val="bottom"/>
            <w:hideMark/>
          </w:tcPr>
          <w:p w:rsidR="00506FF9"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 xml:space="preserve">Δ </w:t>
            </w:r>
            <w:proofErr w:type="spellStart"/>
            <w:r>
              <w:rPr>
                <w:rFonts w:ascii="Arial" w:eastAsia="Times New Roman" w:hAnsi="Arial" w:cs="Arial"/>
                <w:color w:val="000000"/>
                <w:sz w:val="18"/>
                <w:szCs w:val="18"/>
                <w:lang w:val="en-GB" w:eastAsia="zh-CN"/>
              </w:rPr>
              <w:t>AICc</w:t>
            </w:r>
            <w:proofErr w:type="spellEnd"/>
          </w:p>
          <w:p w:rsidR="00506FF9" w:rsidRPr="005E1EC1" w:rsidRDefault="00506FF9" w:rsidP="00506FF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lang w:val="en-GB" w:eastAsia="zh-CN"/>
              </w:rPr>
            </w:pPr>
          </w:p>
        </w:tc>
        <w:tc>
          <w:tcPr>
            <w:tcW w:w="29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Model weight</w:t>
            </w:r>
          </w:p>
        </w:tc>
        <w:tc>
          <w:tcPr>
            <w:tcW w:w="25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i/>
                <w:color w:val="000000"/>
                <w:sz w:val="18"/>
                <w:szCs w:val="18"/>
                <w:lang w:val="en-GB" w:eastAsia="zh-CN"/>
              </w:rPr>
              <w:t>R</w:t>
            </w:r>
            <w:r w:rsidRPr="00506FF9">
              <w:rPr>
                <w:rFonts w:ascii="Arial" w:eastAsia="Times New Roman" w:hAnsi="Arial" w:cs="Arial"/>
                <w:color w:val="000000"/>
                <w:sz w:val="18"/>
                <w:szCs w:val="18"/>
                <w:vertAlign w:val="superscript"/>
                <w:lang w:val="en-GB" w:eastAsia="zh-CN"/>
              </w:rPr>
              <w:t>2</w:t>
            </w:r>
            <w:r>
              <w:rPr>
                <w:rFonts w:ascii="Arial" w:eastAsia="Times New Roman" w:hAnsi="Arial" w:cs="Arial"/>
                <w:color w:val="000000"/>
                <w:sz w:val="18"/>
                <w:szCs w:val="18"/>
                <w:vertAlign w:val="superscript"/>
                <w:lang w:val="en-GB" w:eastAsia="zh-CN"/>
              </w:rPr>
              <w:t xml:space="preserve"> </w:t>
            </w:r>
            <w:r>
              <w:rPr>
                <w:rFonts w:ascii="Arial" w:eastAsia="Times New Roman" w:hAnsi="Arial" w:cs="Arial"/>
                <w:color w:val="000000"/>
                <w:sz w:val="18"/>
                <w:szCs w:val="18"/>
                <w:lang w:val="en-GB" w:eastAsia="zh-CN"/>
              </w:rPr>
              <w:t>(marginal)</w:t>
            </w:r>
          </w:p>
        </w:tc>
        <w:tc>
          <w:tcPr>
            <w:tcW w:w="253" w:type="pct"/>
            <w:noWrap/>
            <w:textDirection w:val="btLr"/>
            <w:vAlign w:val="center"/>
            <w:hideMark/>
          </w:tcPr>
          <w:p w:rsidR="00506FF9" w:rsidRPr="005E1EC1" w:rsidRDefault="00506FF9" w:rsidP="00506FF9">
            <w:pPr>
              <w:ind w:left="113" w:right="113"/>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i/>
                <w:color w:val="000000"/>
                <w:sz w:val="18"/>
                <w:szCs w:val="18"/>
                <w:lang w:val="en-GB" w:eastAsia="zh-CN"/>
              </w:rPr>
              <w:t>R</w:t>
            </w:r>
            <w:r w:rsidRPr="00506FF9">
              <w:rPr>
                <w:rFonts w:ascii="Arial" w:eastAsia="Times New Roman" w:hAnsi="Arial" w:cs="Arial"/>
                <w:color w:val="000000"/>
                <w:sz w:val="18"/>
                <w:szCs w:val="18"/>
                <w:vertAlign w:val="superscript"/>
                <w:lang w:val="en-GB" w:eastAsia="zh-CN"/>
              </w:rPr>
              <w:t>2</w:t>
            </w:r>
            <w:r>
              <w:rPr>
                <w:rFonts w:ascii="Arial" w:eastAsia="Times New Roman" w:hAnsi="Arial" w:cs="Arial"/>
                <w:color w:val="000000"/>
                <w:sz w:val="18"/>
                <w:szCs w:val="18"/>
                <w:vertAlign w:val="superscript"/>
                <w:lang w:val="en-GB" w:eastAsia="zh-CN"/>
              </w:rPr>
              <w:t xml:space="preserve"> </w:t>
            </w:r>
            <w:r>
              <w:rPr>
                <w:rFonts w:ascii="Arial" w:eastAsia="Times New Roman" w:hAnsi="Arial" w:cs="Arial"/>
                <w:color w:val="000000"/>
                <w:sz w:val="18"/>
                <w:szCs w:val="18"/>
                <w:lang w:val="en-GB" w:eastAsia="zh-CN"/>
              </w:rPr>
              <w:t>(conditional)</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1</w:t>
            </w: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-1.319</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0.491</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0.49</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0.35</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w:t>
            </w:r>
            <w:r>
              <w:rPr>
                <w:rFonts w:ascii="Arial" w:eastAsia="Times New Roman" w:hAnsi="Arial" w:cs="Arial"/>
                <w:color w:val="000000"/>
                <w:sz w:val="18"/>
                <w:szCs w:val="18"/>
                <w:lang w:val="en-GB" w:eastAsia="zh-CN"/>
              </w:rPr>
              <w:t>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-0.561</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-0.694</w:t>
            </w: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-797.3</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1620.9</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0.244</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0.204</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0.391</w:t>
            </w:r>
          </w:p>
        </w:tc>
      </w:tr>
      <w:tr w:rsidR="00506FF9" w:rsidRPr="005E1EC1" w:rsidTr="00506FF9">
        <w:trPr>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2</w:t>
            </w:r>
          </w:p>
        </w:tc>
        <w:tc>
          <w:tcPr>
            <w:tcW w:w="34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-1.048</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25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0.504</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0.507</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0.416</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-0.193</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-0.581</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-0.706</w:t>
            </w:r>
          </w:p>
        </w:tc>
        <w:tc>
          <w:tcPr>
            <w:tcW w:w="244"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-801.8</w:t>
            </w:r>
          </w:p>
        </w:tc>
        <w:tc>
          <w:tcPr>
            <w:tcW w:w="291"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1621.8</w:t>
            </w:r>
          </w:p>
        </w:tc>
        <w:tc>
          <w:tcPr>
            <w:tcW w:w="30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0.905</w:t>
            </w:r>
          </w:p>
        </w:tc>
        <w:tc>
          <w:tcPr>
            <w:tcW w:w="29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0.155</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0.201</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0.389</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3</w:t>
            </w: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-1.32</w:t>
            </w:r>
            <w:r>
              <w:rPr>
                <w:rFonts w:ascii="Arial" w:eastAsia="Times New Roman" w:hAnsi="Arial" w:cs="Arial"/>
                <w:color w:val="000000"/>
                <w:sz w:val="18"/>
                <w:szCs w:val="18"/>
                <w:lang w:val="en-GB" w:eastAsia="zh-CN"/>
              </w:rPr>
              <w:t>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0.182</w:t>
            </w: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0.503</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0.493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0.355</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-0.19</w:t>
            </w:r>
            <w:r>
              <w:rPr>
                <w:rFonts w:ascii="Arial" w:eastAsia="Times New Roman" w:hAnsi="Arial" w:cs="Arial"/>
                <w:color w:val="000000"/>
                <w:sz w:val="18"/>
                <w:szCs w:val="18"/>
                <w:lang w:val="en-GB" w:eastAsia="zh-CN"/>
              </w:rPr>
              <w:t>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-0.549</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-0.689</w:t>
            </w: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14</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-796.9</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1622.1</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1.217</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0.133</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0.213</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0.394</w:t>
            </w:r>
          </w:p>
        </w:tc>
      </w:tr>
      <w:tr w:rsidR="00506FF9" w:rsidRPr="005E1EC1" w:rsidTr="00506FF9">
        <w:trPr>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4</w:t>
            </w:r>
          </w:p>
        </w:tc>
        <w:tc>
          <w:tcPr>
            <w:tcW w:w="34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-1.335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25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0.506</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0.493</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-0.08</w:t>
            </w:r>
            <w:r>
              <w:rPr>
                <w:rFonts w:ascii="Arial" w:eastAsia="Times New Roman" w:hAnsi="Arial" w:cs="Arial"/>
                <w:color w:val="000000"/>
                <w:sz w:val="18"/>
                <w:szCs w:val="18"/>
                <w:lang w:val="en-GB" w:eastAsia="zh-CN"/>
              </w:rPr>
              <w:t>0</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0.349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-0.201</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-0.559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-0.702</w:t>
            </w:r>
          </w:p>
        </w:tc>
        <w:tc>
          <w:tcPr>
            <w:tcW w:w="244"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14</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-797.1</w:t>
            </w:r>
          </w:p>
        </w:tc>
        <w:tc>
          <w:tcPr>
            <w:tcW w:w="291"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1622.5</w:t>
            </w:r>
          </w:p>
        </w:tc>
        <w:tc>
          <w:tcPr>
            <w:tcW w:w="30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1.573</w:t>
            </w:r>
          </w:p>
        </w:tc>
        <w:tc>
          <w:tcPr>
            <w:tcW w:w="29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0.111</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0.209</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0.391</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5</w:t>
            </w: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-1.037</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0.174</w:t>
            </w: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0.512</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0.505</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0.421</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-0.568</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-0.697</w:t>
            </w: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-801.4</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1623.1</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2.203</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0.081</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0.207</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0.391</w:t>
            </w:r>
          </w:p>
        </w:tc>
      </w:tr>
      <w:tr w:rsidR="00506FF9" w:rsidRPr="005E1EC1" w:rsidTr="00506FF9">
        <w:trPr>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6</w:t>
            </w:r>
          </w:p>
        </w:tc>
        <w:tc>
          <w:tcPr>
            <w:tcW w:w="34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-1.305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-0.075</w:t>
            </w:r>
          </w:p>
        </w:tc>
        <w:tc>
          <w:tcPr>
            <w:tcW w:w="25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0.506</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0.544</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0.333</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-0.565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-0.683</w:t>
            </w:r>
          </w:p>
        </w:tc>
        <w:tc>
          <w:tcPr>
            <w:tcW w:w="244"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158"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18</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-793.4</w:t>
            </w:r>
          </w:p>
        </w:tc>
        <w:tc>
          <w:tcPr>
            <w:tcW w:w="291"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1623.3</w:t>
            </w:r>
          </w:p>
        </w:tc>
        <w:tc>
          <w:tcPr>
            <w:tcW w:w="30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2.456</w:t>
            </w:r>
          </w:p>
        </w:tc>
        <w:tc>
          <w:tcPr>
            <w:tcW w:w="29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0.072</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0.222</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0.402</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7</w:t>
            </w: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-1.053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0.517</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0.505</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-0.078</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0.415</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-0.193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-0.577</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-0.709</w:t>
            </w: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-801.6</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1623.4</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2.495</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0.07</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0.204</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0.387</w:t>
            </w:r>
          </w:p>
        </w:tc>
      </w:tr>
      <w:tr w:rsidR="00506FF9" w:rsidRPr="005E1EC1" w:rsidTr="00506FF9">
        <w:trPr>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8</w:t>
            </w:r>
          </w:p>
        </w:tc>
        <w:tc>
          <w:tcPr>
            <w:tcW w:w="34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-1.325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0.189</w:t>
            </w:r>
          </w:p>
        </w:tc>
        <w:tc>
          <w:tcPr>
            <w:tcW w:w="25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0.516</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0.491</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-0.086</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0.354</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-0.545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-0.692</w:t>
            </w:r>
          </w:p>
        </w:tc>
        <w:tc>
          <w:tcPr>
            <w:tcW w:w="244"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15</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-796.6</w:t>
            </w:r>
          </w:p>
        </w:tc>
        <w:tc>
          <w:tcPr>
            <w:tcW w:w="291"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1623.6</w:t>
            </w:r>
          </w:p>
        </w:tc>
        <w:tc>
          <w:tcPr>
            <w:tcW w:w="30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2.722</w:t>
            </w:r>
          </w:p>
        </w:tc>
        <w:tc>
          <w:tcPr>
            <w:tcW w:w="29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0.063</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0.216</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0.392</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9</w:t>
            </w: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-1.042</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w:t>
            </w:r>
            <w:r w:rsidR="00783DB9">
              <w:rPr>
                <w:rFonts w:ascii="Arial" w:eastAsia="Times New Roman" w:hAnsi="Arial" w:cs="Arial"/>
                <w:color w:val="000000"/>
                <w:sz w:val="18"/>
                <w:szCs w:val="18"/>
                <w:lang w:val="en-GB" w:eastAsia="zh-CN"/>
              </w:rPr>
              <w:t>0</w:t>
            </w: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0.526</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0.503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-0.084</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0.42</w:t>
            </w:r>
            <w:r>
              <w:rPr>
                <w:rFonts w:ascii="Arial" w:eastAsia="Times New Roman" w:hAnsi="Arial" w:cs="Arial"/>
                <w:color w:val="000000"/>
                <w:sz w:val="18"/>
                <w:szCs w:val="18"/>
                <w:lang w:val="en-GB" w:eastAsia="zh-CN"/>
              </w:rPr>
              <w:t>0</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-0.182</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-0.564</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-0.7</w:t>
            </w:r>
            <w:r>
              <w:rPr>
                <w:rFonts w:ascii="Arial" w:eastAsia="Times New Roman" w:hAnsi="Arial" w:cs="Arial"/>
                <w:color w:val="000000"/>
                <w:sz w:val="18"/>
                <w:szCs w:val="18"/>
                <w:lang w:val="en-GB" w:eastAsia="zh-CN"/>
              </w:rPr>
              <w:t>00</w:t>
            </w: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11</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-801.2</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1624.6</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3.727</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0.038</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0.21</w:t>
            </w:r>
            <w:r>
              <w:rPr>
                <w:rFonts w:ascii="Arial" w:eastAsia="Times New Roman" w:hAnsi="Arial" w:cs="Arial"/>
                <w:color w:val="000000"/>
                <w:sz w:val="18"/>
                <w:szCs w:val="18"/>
                <w:lang w:val="en-GB" w:eastAsia="zh-CN"/>
              </w:rPr>
              <w:t>0</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0.388</w:t>
            </w:r>
          </w:p>
        </w:tc>
      </w:tr>
      <w:tr w:rsidR="00506FF9" w:rsidRPr="005E1EC1" w:rsidTr="00506FF9">
        <w:trPr>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10</w:t>
            </w:r>
          </w:p>
        </w:tc>
        <w:tc>
          <w:tcPr>
            <w:tcW w:w="34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-1.31</w:t>
            </w:r>
            <w:r>
              <w:rPr>
                <w:rFonts w:ascii="Arial" w:eastAsia="Times New Roman" w:hAnsi="Arial" w:cs="Arial"/>
                <w:color w:val="000000"/>
                <w:sz w:val="18"/>
                <w:szCs w:val="18"/>
                <w:lang w:val="en-GB" w:eastAsia="zh-CN"/>
              </w:rPr>
              <w:t>0</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-0.069</w:t>
            </w:r>
          </w:p>
        </w:tc>
        <w:tc>
          <w:tcPr>
            <w:tcW w:w="250"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0.52</w:t>
            </w:r>
            <w:r>
              <w:rPr>
                <w:rFonts w:ascii="Arial" w:eastAsia="Times New Roman" w:hAnsi="Arial" w:cs="Arial"/>
                <w:color w:val="000000"/>
                <w:sz w:val="18"/>
                <w:szCs w:val="18"/>
                <w:lang w:val="en-GB" w:eastAsia="zh-CN"/>
              </w:rPr>
              <w:t>0</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0.542</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-0.084</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0.332</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-0.188</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-0.561</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-0.686</w:t>
            </w:r>
          </w:p>
        </w:tc>
        <w:tc>
          <w:tcPr>
            <w:tcW w:w="244"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w:t>
            </w:r>
          </w:p>
        </w:tc>
        <w:tc>
          <w:tcPr>
            <w:tcW w:w="158"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19</w:t>
            </w:r>
          </w:p>
        </w:tc>
        <w:tc>
          <w:tcPr>
            <w:tcW w:w="27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-793.1</w:t>
            </w:r>
          </w:p>
        </w:tc>
        <w:tc>
          <w:tcPr>
            <w:tcW w:w="291"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1624.9</w:t>
            </w:r>
          </w:p>
        </w:tc>
        <w:tc>
          <w:tcPr>
            <w:tcW w:w="306"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3.996</w:t>
            </w:r>
          </w:p>
        </w:tc>
        <w:tc>
          <w:tcPr>
            <w:tcW w:w="29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0.033</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0.225</w:t>
            </w:r>
          </w:p>
        </w:tc>
        <w:tc>
          <w:tcPr>
            <w:tcW w:w="253" w:type="pct"/>
            <w:noWrap/>
            <w:vAlign w:val="center"/>
            <w:hideMark/>
          </w:tcPr>
          <w:p w:rsidR="00506FF9" w:rsidRPr="005E1EC1" w:rsidRDefault="00506FF9" w:rsidP="00506FF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0.4</w:t>
            </w:r>
            <w:r>
              <w:rPr>
                <w:rFonts w:ascii="Arial" w:eastAsia="Times New Roman" w:hAnsi="Arial" w:cs="Arial"/>
                <w:color w:val="000000"/>
                <w:sz w:val="18"/>
                <w:szCs w:val="18"/>
                <w:lang w:val="en-GB" w:eastAsia="zh-CN"/>
              </w:rPr>
              <w:t>00</w:t>
            </w:r>
          </w:p>
        </w:tc>
      </w:tr>
      <w:tr w:rsidR="00506FF9" w:rsidRPr="005E1EC1" w:rsidTr="00506F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 w:type="pct"/>
            <w:vAlign w:val="center"/>
          </w:tcPr>
          <w:p w:rsidR="00506FF9" w:rsidRPr="005E1EC1" w:rsidRDefault="00506FF9" w:rsidP="00506FF9">
            <w:pPr>
              <w:jc w:val="right"/>
              <w:rPr>
                <w:rFonts w:ascii="Arial" w:eastAsia="Times New Roman" w:hAnsi="Arial" w:cs="Arial"/>
                <w:color w:val="000000"/>
                <w:sz w:val="18"/>
                <w:szCs w:val="18"/>
                <w:lang w:val="en-GB" w:eastAsia="zh-CN"/>
              </w:rPr>
            </w:pPr>
          </w:p>
        </w:tc>
        <w:tc>
          <w:tcPr>
            <w:tcW w:w="34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-1.121</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p>
        </w:tc>
        <w:tc>
          <w:tcPr>
            <w:tcW w:w="250"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244"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zh-CN"/>
              </w:rPr>
            </w:pPr>
          </w:p>
        </w:tc>
        <w:tc>
          <w:tcPr>
            <w:tcW w:w="158"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3</w:t>
            </w:r>
          </w:p>
        </w:tc>
        <w:tc>
          <w:tcPr>
            <w:tcW w:w="27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-853</w:t>
            </w:r>
            <w:r>
              <w:rPr>
                <w:rFonts w:ascii="Arial" w:eastAsia="Times New Roman" w:hAnsi="Arial" w:cs="Arial"/>
                <w:color w:val="000000"/>
                <w:sz w:val="18"/>
                <w:szCs w:val="18"/>
                <w:lang w:val="en-GB" w:eastAsia="zh-CN"/>
              </w:rPr>
              <w:t>.0</w:t>
            </w:r>
          </w:p>
        </w:tc>
        <w:tc>
          <w:tcPr>
            <w:tcW w:w="291"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1712.1</w:t>
            </w:r>
          </w:p>
        </w:tc>
        <w:tc>
          <w:tcPr>
            <w:tcW w:w="306"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91.183</w:t>
            </w:r>
          </w:p>
        </w:tc>
        <w:tc>
          <w:tcPr>
            <w:tcW w:w="29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&lt;</w:t>
            </w:r>
            <w:r w:rsidRPr="005E1EC1">
              <w:rPr>
                <w:rFonts w:ascii="Arial" w:eastAsia="Times New Roman" w:hAnsi="Arial" w:cs="Arial"/>
                <w:color w:val="000000"/>
                <w:sz w:val="18"/>
                <w:szCs w:val="18"/>
                <w:lang w:val="en-GB" w:eastAsia="zh-CN"/>
              </w:rPr>
              <w:t>0</w:t>
            </w:r>
            <w:r>
              <w:rPr>
                <w:rFonts w:ascii="Arial" w:eastAsia="Times New Roman" w:hAnsi="Arial" w:cs="Arial"/>
                <w:color w:val="000000"/>
                <w:sz w:val="18"/>
                <w:szCs w:val="18"/>
                <w:lang w:val="en-GB" w:eastAsia="zh-CN"/>
              </w:rPr>
              <w:t>.001</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Pr>
                <w:rFonts w:ascii="Arial" w:eastAsia="Times New Roman" w:hAnsi="Arial" w:cs="Arial"/>
                <w:color w:val="000000"/>
                <w:sz w:val="18"/>
                <w:szCs w:val="18"/>
                <w:lang w:val="en-GB" w:eastAsia="zh-CN"/>
              </w:rPr>
              <w:t>&lt;</w:t>
            </w:r>
            <w:r w:rsidRPr="005E1EC1">
              <w:rPr>
                <w:rFonts w:ascii="Arial" w:eastAsia="Times New Roman" w:hAnsi="Arial" w:cs="Arial"/>
                <w:color w:val="000000"/>
                <w:sz w:val="18"/>
                <w:szCs w:val="18"/>
                <w:lang w:val="en-GB" w:eastAsia="zh-CN"/>
              </w:rPr>
              <w:t>0</w:t>
            </w:r>
            <w:r>
              <w:rPr>
                <w:rFonts w:ascii="Arial" w:eastAsia="Times New Roman" w:hAnsi="Arial" w:cs="Arial"/>
                <w:color w:val="000000"/>
                <w:sz w:val="18"/>
                <w:szCs w:val="18"/>
                <w:lang w:val="en-GB" w:eastAsia="zh-CN"/>
              </w:rPr>
              <w:t>.001</w:t>
            </w:r>
          </w:p>
        </w:tc>
        <w:tc>
          <w:tcPr>
            <w:tcW w:w="253" w:type="pct"/>
            <w:noWrap/>
            <w:vAlign w:val="center"/>
            <w:hideMark/>
          </w:tcPr>
          <w:p w:rsidR="00506FF9" w:rsidRPr="005E1EC1" w:rsidRDefault="00506FF9" w:rsidP="00506FF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GB" w:eastAsia="zh-CN"/>
              </w:rPr>
            </w:pPr>
            <w:r w:rsidRPr="005E1EC1">
              <w:rPr>
                <w:rFonts w:ascii="Arial" w:eastAsia="Times New Roman" w:hAnsi="Arial" w:cs="Arial"/>
                <w:color w:val="000000"/>
                <w:sz w:val="18"/>
                <w:szCs w:val="18"/>
                <w:lang w:val="en-GB" w:eastAsia="zh-CN"/>
              </w:rPr>
              <w:t>0.274</w:t>
            </w:r>
          </w:p>
        </w:tc>
      </w:tr>
    </w:tbl>
    <w:p w:rsidR="00D52DF2" w:rsidRDefault="00D52DF2" w:rsidP="00D52DF2">
      <w:pPr>
        <w:jc w:val="left"/>
      </w:pPr>
    </w:p>
    <w:p w:rsidR="00D52DF2" w:rsidRDefault="00D52DF2" w:rsidP="00D52DF2">
      <w:pPr>
        <w:jc w:val="left"/>
        <w:sectPr w:rsidR="00D52DF2" w:rsidSect="00D52DF2">
          <w:pgSz w:w="15840" w:h="12240" w:orient="landscape"/>
          <w:pgMar w:top="1440" w:right="1440" w:bottom="1440" w:left="1440" w:header="720" w:footer="720" w:gutter="0"/>
          <w:lnNumType w:countBy="1" w:restart="continuous"/>
          <w:cols w:space="720"/>
          <w:docGrid w:linePitch="326"/>
        </w:sectPr>
      </w:pPr>
    </w:p>
    <w:p w:rsidR="004A6282" w:rsidRDefault="00783DB9" w:rsidP="004A6282">
      <w:pPr>
        <w:jc w:val="left"/>
      </w:pPr>
      <w:r>
        <w:lastRenderedPageBreak/>
        <w:t>Table 3. Model-averaged (using the zero-method, Burnham &amp; Anderson 1998) parameter estimates (</w:t>
      </w:r>
      <w:r w:rsidRPr="00783DB9">
        <w:rPr>
          <w:i/>
        </w:rPr>
        <w:t>b</w:t>
      </w:r>
      <w:r>
        <w:t xml:space="preserve">) and their standard errors based on the candidate set of </w:t>
      </w:r>
      <w:proofErr w:type="spellStart"/>
      <w:r>
        <w:t>Generalised</w:t>
      </w:r>
      <w:proofErr w:type="spellEnd"/>
      <w:r>
        <w:t xml:space="preserve"> Linear Mixed Effects Models (GLMMs) for bat activity (probability of a bat pass ha-1) shown in Table 2. Coefficients are parameter estimates </w:t>
      </w:r>
      <w:r w:rsidR="004A6282">
        <w:t xml:space="preserve">based on model fits using </w:t>
      </w:r>
      <w:proofErr w:type="spellStart"/>
      <w:r>
        <w:t>standardised</w:t>
      </w:r>
      <w:proofErr w:type="spellEnd"/>
      <w:r>
        <w:t xml:space="preserve"> (centered and scaled to 2 SD) inputs.</w:t>
      </w:r>
      <w:r w:rsidR="004A6282">
        <w:t xml:space="preserve"> The reference categories for distance band is the first band (0-100m from turbines) and the </w:t>
      </w:r>
      <w:proofErr w:type="spellStart"/>
      <w:r w:rsidR="004A6282">
        <w:t>standardised</w:t>
      </w:r>
      <w:proofErr w:type="spellEnd"/>
      <w:r w:rsidR="004A6282">
        <w:t xml:space="preserve"> inputs for no. of turbines (two-way factor; therefore only centered – see main text and </w:t>
      </w:r>
      <w:proofErr w:type="spellStart"/>
      <w:r w:rsidR="004A6282">
        <w:t>Gelman</w:t>
      </w:r>
      <w:proofErr w:type="spellEnd"/>
      <w:r w:rsidR="004A6282">
        <w:t xml:space="preserve"> (2008)) </w:t>
      </w:r>
      <w:proofErr w:type="gramStart"/>
      <w:r w:rsidR="004A6282">
        <w:t xml:space="preserve">were  </w:t>
      </w:r>
      <w:r w:rsidR="004A6282" w:rsidRPr="004A6282">
        <w:t>-</w:t>
      </w:r>
      <w:proofErr w:type="gramEnd"/>
      <w:r w:rsidR="004A6282" w:rsidRPr="004A6282">
        <w:t>0.538</w:t>
      </w:r>
      <w:r w:rsidR="004A6282">
        <w:t xml:space="preserve"> for single turbines and </w:t>
      </w:r>
      <w:r w:rsidR="004A6282" w:rsidRPr="004A6282">
        <w:t>0.46</w:t>
      </w:r>
      <w:r w:rsidR="004A6282">
        <w:t xml:space="preserve">2 for multiple turbines. </w:t>
      </w:r>
      <w:r w:rsidR="004A6282">
        <w:t>All models include</w:t>
      </w:r>
      <w:r w:rsidR="004A6282">
        <w:t>d</w:t>
      </w:r>
      <w:r w:rsidR="004A6282">
        <w:t xml:space="preserve"> site and transect within site as a nested random effect structure, and all models </w:t>
      </w:r>
      <w:r w:rsidR="004A6282">
        <w:t>had</w:t>
      </w:r>
      <w:r w:rsidR="004A6282">
        <w:t xml:space="preserve"> binomial errors and </w:t>
      </w:r>
      <w:r w:rsidR="004A6282">
        <w:t>were</w:t>
      </w:r>
      <w:r w:rsidR="004A6282">
        <w:t xml:space="preserve"> fitted with a complimentary log-log link.</w:t>
      </w:r>
    </w:p>
    <w:tbl>
      <w:tblPr>
        <w:tblStyle w:val="GridTable2"/>
        <w:tblpPr w:leftFromText="180" w:rightFromText="180" w:vertAnchor="page" w:horzAnchor="margin" w:tblpY="7151"/>
        <w:tblW w:w="0" w:type="auto"/>
        <w:tblLayout w:type="fixed"/>
        <w:tblLook w:val="04A0" w:firstRow="1" w:lastRow="0" w:firstColumn="1" w:lastColumn="0" w:noHBand="0" w:noVBand="1"/>
      </w:tblPr>
      <w:tblGrid>
        <w:gridCol w:w="4644"/>
        <w:gridCol w:w="1276"/>
        <w:gridCol w:w="1418"/>
      </w:tblGrid>
      <w:tr w:rsidR="004A6282" w:rsidRPr="00783DB9" w:rsidTr="004A62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hideMark/>
          </w:tcPr>
          <w:p w:rsidR="004A6282" w:rsidRPr="00783DB9" w:rsidRDefault="004A6282" w:rsidP="004A6282">
            <w:pPr>
              <w:jc w:val="left"/>
              <w:rPr>
                <w:rFonts w:asciiTheme="majorHAnsi" w:eastAsia="Times New Roman" w:hAnsiTheme="majorHAnsi" w:cstheme="majorHAnsi"/>
                <w:lang w:val="en-GB" w:eastAsia="zh-CN"/>
              </w:rPr>
            </w:pPr>
          </w:p>
        </w:tc>
        <w:tc>
          <w:tcPr>
            <w:tcW w:w="1276" w:type="dxa"/>
            <w:noWrap/>
            <w:vAlign w:val="center"/>
            <w:hideMark/>
          </w:tcPr>
          <w:p w:rsidR="004A6282" w:rsidRPr="00783DB9" w:rsidRDefault="004A6282" w:rsidP="004A628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color w:val="000000"/>
                <w:lang w:val="en-GB" w:eastAsia="zh-CN"/>
              </w:rPr>
            </w:pPr>
            <w:r w:rsidRPr="00783DB9">
              <w:rPr>
                <w:rFonts w:asciiTheme="majorHAnsi" w:eastAsia="Times New Roman" w:hAnsiTheme="majorHAnsi" w:cstheme="majorHAnsi"/>
                <w:i/>
                <w:color w:val="000000"/>
                <w:lang w:val="en-GB" w:eastAsia="zh-CN"/>
              </w:rPr>
              <w:t>b</w:t>
            </w:r>
          </w:p>
        </w:tc>
        <w:tc>
          <w:tcPr>
            <w:tcW w:w="1418" w:type="dxa"/>
            <w:noWrap/>
            <w:vAlign w:val="center"/>
            <w:hideMark/>
          </w:tcPr>
          <w:p w:rsidR="004A6282" w:rsidRPr="00783DB9" w:rsidRDefault="004A6282" w:rsidP="004A6282">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Pr>
                <w:rFonts w:asciiTheme="majorHAnsi" w:eastAsia="Times New Roman" w:hAnsiTheme="majorHAnsi" w:cstheme="majorHAnsi"/>
                <w:color w:val="000000"/>
                <w:lang w:val="en-GB" w:eastAsia="zh-CN"/>
              </w:rPr>
              <w:t>S.E.</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Intercept</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-1.226</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0.18</w:t>
            </w:r>
            <w:r>
              <w:rPr>
                <w:rFonts w:asciiTheme="majorHAnsi" w:eastAsia="Times New Roman" w:hAnsiTheme="majorHAnsi" w:cstheme="majorHAnsi"/>
                <w:color w:val="000000"/>
                <w:lang w:val="en-GB" w:eastAsia="zh-CN"/>
              </w:rPr>
              <w:t>0</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2 (100-200m)</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0.171</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0.161</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3 (200-300m)</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0.277</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0.225</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4 (300-400m)</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0.215</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0.187</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5 (400-500m)</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0.258</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0.215</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Julian day no.</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0.505</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0.129</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Edge density</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0.502</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0.096</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Proportion woodland</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0.372</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0.093</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5E1EC1">
              <w:rPr>
                <w:rFonts w:ascii="Arial" w:eastAsia="Times New Roman" w:hAnsi="Arial" w:cs="Arial"/>
                <w:b w:val="0"/>
                <w:color w:val="000000"/>
                <w:lang w:val="en-GB" w:eastAsia="zh-CN"/>
              </w:rPr>
              <w:t>Time to midnight</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-0.193</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0.109</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5E1EC1">
              <w:rPr>
                <w:rFonts w:ascii="Arial" w:eastAsia="Times New Roman" w:hAnsi="Arial" w:cs="Arial"/>
                <w:b w:val="0"/>
                <w:color w:val="000000"/>
                <w:lang w:val="en-GB" w:eastAsia="zh-CN"/>
              </w:rPr>
              <w:t>Time to midnight</w:t>
            </w:r>
            <w:r w:rsidRPr="00783DB9">
              <w:rPr>
                <w:rFonts w:ascii="Arial" w:eastAsia="Times New Roman" w:hAnsi="Arial" w:cs="Arial"/>
                <w:b w:val="0"/>
                <w:color w:val="000000"/>
                <w:vertAlign w:val="superscript"/>
                <w:lang w:val="en-GB" w:eastAsia="zh-CN"/>
              </w:rPr>
              <w:t>2</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-0.563</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0.2</w:t>
            </w:r>
            <w:r>
              <w:rPr>
                <w:rFonts w:asciiTheme="majorHAnsi" w:eastAsia="Times New Roman" w:hAnsiTheme="majorHAnsi" w:cstheme="majorHAnsi"/>
                <w:color w:val="000000"/>
                <w:lang w:val="en-GB" w:eastAsia="zh-CN"/>
              </w:rPr>
              <w:t>00</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Wind speed</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-0.696</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0.124</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No. turbines</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0.049</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0.174</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fr-FR" w:eastAsia="zh-CN"/>
              </w:rPr>
            </w:pPr>
            <w:r w:rsidRPr="00783DB9">
              <w:rPr>
                <w:rFonts w:asciiTheme="majorHAnsi" w:eastAsia="Times New Roman" w:hAnsiTheme="majorHAnsi" w:cstheme="majorHAnsi"/>
                <w:b w:val="0"/>
                <w:color w:val="000000"/>
                <w:lang w:val="fr-FR" w:eastAsia="zh-CN"/>
              </w:rPr>
              <w:t xml:space="preserve">Min. 24h </w:t>
            </w:r>
            <w:proofErr w:type="spellStart"/>
            <w:r w:rsidRPr="00783DB9">
              <w:rPr>
                <w:rFonts w:asciiTheme="majorHAnsi" w:eastAsia="Times New Roman" w:hAnsiTheme="majorHAnsi" w:cstheme="majorHAnsi"/>
                <w:b w:val="0"/>
                <w:color w:val="000000"/>
                <w:lang w:val="fr-FR" w:eastAsia="zh-CN"/>
              </w:rPr>
              <w:t>temperature</w:t>
            </w:r>
            <w:proofErr w:type="spellEnd"/>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-0.026</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0.076</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2 (100-200m) * No. turbines</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0.049</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0.177</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3 (200-300m) * No. turbines</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0.046</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0.169</w:t>
            </w:r>
          </w:p>
        </w:tc>
      </w:tr>
      <w:tr w:rsidR="004A6282" w:rsidRPr="00783DB9" w:rsidTr="004A6282">
        <w:trPr>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4 (300-400m) * No. turbines</w:t>
            </w:r>
          </w:p>
        </w:tc>
        <w:tc>
          <w:tcPr>
            <w:tcW w:w="1276"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-0.016</w:t>
            </w:r>
          </w:p>
        </w:tc>
        <w:tc>
          <w:tcPr>
            <w:tcW w:w="1418" w:type="dxa"/>
            <w:noWrap/>
            <w:vAlign w:val="center"/>
            <w:hideMark/>
          </w:tcPr>
          <w:p w:rsidR="004A6282" w:rsidRPr="00783DB9" w:rsidRDefault="004A6282" w:rsidP="004A6282">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fr-FR" w:eastAsia="zh-CN"/>
              </w:rPr>
            </w:pPr>
            <w:r w:rsidRPr="00783DB9">
              <w:rPr>
                <w:rFonts w:asciiTheme="majorHAnsi" w:eastAsia="Times New Roman" w:hAnsiTheme="majorHAnsi" w:cstheme="majorHAnsi"/>
                <w:color w:val="000000"/>
                <w:lang w:val="fr-FR" w:eastAsia="zh-CN"/>
              </w:rPr>
              <w:t>0.113</w:t>
            </w:r>
          </w:p>
        </w:tc>
      </w:tr>
      <w:tr w:rsidR="004A6282" w:rsidRPr="00783DB9" w:rsidTr="004A6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44" w:type="dxa"/>
            <w:noWrap/>
            <w:vAlign w:val="center"/>
            <w:hideMark/>
          </w:tcPr>
          <w:p w:rsidR="004A6282" w:rsidRPr="00783DB9" w:rsidRDefault="004A6282" w:rsidP="004A6282">
            <w:pPr>
              <w:jc w:val="left"/>
              <w:rPr>
                <w:rFonts w:asciiTheme="majorHAnsi" w:eastAsia="Times New Roman" w:hAnsiTheme="majorHAnsi" w:cstheme="majorHAnsi"/>
                <w:b w:val="0"/>
                <w:color w:val="000000"/>
                <w:lang w:val="en-GB" w:eastAsia="zh-CN"/>
              </w:rPr>
            </w:pPr>
            <w:r w:rsidRPr="00783DB9">
              <w:rPr>
                <w:rFonts w:asciiTheme="majorHAnsi" w:eastAsia="Times New Roman" w:hAnsiTheme="majorHAnsi" w:cstheme="majorHAnsi"/>
                <w:b w:val="0"/>
                <w:color w:val="000000"/>
                <w:lang w:val="en-GB" w:eastAsia="zh-CN"/>
              </w:rPr>
              <w:t>Distance band 5 (400-500m) * No. turbines</w:t>
            </w:r>
          </w:p>
        </w:tc>
        <w:tc>
          <w:tcPr>
            <w:tcW w:w="1276"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fr-FR" w:eastAsia="zh-CN"/>
              </w:rPr>
              <w:t>0.</w:t>
            </w:r>
            <w:r w:rsidRPr="00783DB9">
              <w:rPr>
                <w:rFonts w:asciiTheme="majorHAnsi" w:eastAsia="Times New Roman" w:hAnsiTheme="majorHAnsi" w:cstheme="majorHAnsi"/>
                <w:color w:val="000000"/>
                <w:lang w:val="en-GB" w:eastAsia="zh-CN"/>
              </w:rPr>
              <w:t>049</w:t>
            </w:r>
          </w:p>
        </w:tc>
        <w:tc>
          <w:tcPr>
            <w:tcW w:w="1418" w:type="dxa"/>
            <w:noWrap/>
            <w:vAlign w:val="center"/>
            <w:hideMark/>
          </w:tcPr>
          <w:p w:rsidR="004A6282" w:rsidRPr="00783DB9" w:rsidRDefault="004A6282" w:rsidP="004A6282">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val="en-GB" w:eastAsia="zh-CN"/>
              </w:rPr>
            </w:pPr>
            <w:r w:rsidRPr="00783DB9">
              <w:rPr>
                <w:rFonts w:asciiTheme="majorHAnsi" w:eastAsia="Times New Roman" w:hAnsiTheme="majorHAnsi" w:cstheme="majorHAnsi"/>
                <w:color w:val="000000"/>
                <w:lang w:val="en-GB" w:eastAsia="zh-CN"/>
              </w:rPr>
              <w:t>0.178</w:t>
            </w:r>
          </w:p>
        </w:tc>
      </w:tr>
    </w:tbl>
    <w:p w:rsidR="00D52DF2" w:rsidRDefault="00D52DF2" w:rsidP="00D52DF2">
      <w:pPr>
        <w:jc w:val="left"/>
      </w:pPr>
      <w:bookmarkStart w:id="16" w:name="_GoBack"/>
      <w:bookmarkEnd w:id="16"/>
    </w:p>
    <w:sectPr w:rsidR="00D52DF2" w:rsidSect="00783DB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C49" w:rsidRDefault="00C30C49">
      <w:pPr>
        <w:spacing w:after="0" w:line="240" w:lineRule="auto"/>
      </w:pPr>
      <w:r>
        <w:separator/>
      </w:r>
    </w:p>
  </w:endnote>
  <w:endnote w:type="continuationSeparator" w:id="0">
    <w:p w:rsidR="00C30C49" w:rsidRDefault="00C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DB9" w:rsidRDefault="00783DB9" w:rsidP="00783D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3DB9" w:rsidRDefault="00783DB9" w:rsidP="00783D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DB9" w:rsidRDefault="00783DB9" w:rsidP="00783D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6282">
      <w:rPr>
        <w:rStyle w:val="PageNumber"/>
        <w:noProof/>
      </w:rPr>
      <w:t>18</w:t>
    </w:r>
    <w:r>
      <w:rPr>
        <w:rStyle w:val="PageNumber"/>
      </w:rPr>
      <w:fldChar w:fldCharType="end"/>
    </w:r>
  </w:p>
  <w:p w:rsidR="00783DB9" w:rsidRDefault="00783DB9" w:rsidP="00783D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C49" w:rsidRDefault="00C30C49">
      <w:pPr>
        <w:spacing w:after="0" w:line="240" w:lineRule="auto"/>
      </w:pPr>
      <w:r>
        <w:separator/>
      </w:r>
    </w:p>
  </w:footnote>
  <w:footnote w:type="continuationSeparator" w:id="0">
    <w:p w:rsidR="00C30C49" w:rsidRDefault="00C30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59EF652"/>
    <w:multiLevelType w:val="multilevel"/>
    <w:tmpl w:val="AFC495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2D6C159"/>
    <w:multiLevelType w:val="multilevel"/>
    <w:tmpl w:val="94FAE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A6282"/>
    <w:rsid w:val="004E29B3"/>
    <w:rsid w:val="00506FF9"/>
    <w:rsid w:val="00533393"/>
    <w:rsid w:val="00590D07"/>
    <w:rsid w:val="005E1EC1"/>
    <w:rsid w:val="00783DB9"/>
    <w:rsid w:val="00784D58"/>
    <w:rsid w:val="008D6863"/>
    <w:rsid w:val="00B86B75"/>
    <w:rsid w:val="00BC48D5"/>
    <w:rsid w:val="00C30C49"/>
    <w:rsid w:val="00C36279"/>
    <w:rsid w:val="00D52DF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34F41-8C0A-4ADA-B3B5-2AFF8873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b/>
      <w:color w:val="204A87"/>
      <w:sz w:val="24"/>
      <w:shd w:val="clear" w:color="auto" w:fill="F8F8F8"/>
    </w:rPr>
  </w:style>
  <w:style w:type="character" w:customStyle="1" w:styleId="DataTypeTok2">
    <w:name w:val="DataTypeTok"/>
    <w:basedOn w:val="VerbatimChar"/>
    <w:rPr>
      <w:color w:val="204A87"/>
      <w:sz w:val="24"/>
      <w:shd w:val="clear" w:color="auto" w:fill="F8F8F8"/>
    </w:rPr>
  </w:style>
  <w:style w:type="character" w:customStyle="1" w:styleId="DecValTok2">
    <w:name w:val="DecValTok"/>
    <w:basedOn w:val="VerbatimChar"/>
    <w:rPr>
      <w:color w:val="0000CF"/>
      <w:sz w:val="24"/>
      <w:shd w:val="clear" w:color="auto" w:fill="F8F8F8"/>
    </w:rPr>
  </w:style>
  <w:style w:type="character" w:customStyle="1" w:styleId="BaseNTok2">
    <w:name w:val="BaseNTok"/>
    <w:basedOn w:val="VerbatimChar"/>
    <w:rPr>
      <w:color w:val="0000CF"/>
      <w:sz w:val="24"/>
      <w:shd w:val="clear" w:color="auto" w:fill="F8F8F8"/>
    </w:rPr>
  </w:style>
  <w:style w:type="character" w:customStyle="1" w:styleId="FloatTok2">
    <w:name w:val="FloatTok"/>
    <w:basedOn w:val="VerbatimChar"/>
    <w:rPr>
      <w:color w:val="0000CF"/>
      <w:sz w:val="24"/>
      <w:shd w:val="clear" w:color="auto" w:fill="F8F8F8"/>
    </w:rPr>
  </w:style>
  <w:style w:type="character" w:customStyle="1" w:styleId="CharTok2">
    <w:name w:val="CharTok"/>
    <w:basedOn w:val="VerbatimChar"/>
    <w:rPr>
      <w:color w:val="4E9A06"/>
      <w:sz w:val="24"/>
      <w:shd w:val="clear" w:color="auto" w:fill="F8F8F8"/>
    </w:rPr>
  </w:style>
  <w:style w:type="character" w:customStyle="1" w:styleId="StringTok2">
    <w:name w:val="StringTok"/>
    <w:basedOn w:val="VerbatimChar"/>
    <w:rPr>
      <w:color w:val="4E9A06"/>
      <w:sz w:val="24"/>
      <w:shd w:val="clear" w:color="auto" w:fill="F8F8F8"/>
    </w:rPr>
  </w:style>
  <w:style w:type="character" w:customStyle="1" w:styleId="CommentTok2">
    <w:name w:val="CommentTok"/>
    <w:basedOn w:val="VerbatimChar"/>
    <w:rPr>
      <w:i/>
      <w:color w:val="8F5902"/>
      <w:sz w:val="24"/>
      <w:shd w:val="clear" w:color="auto" w:fill="F8F8F8"/>
    </w:rPr>
  </w:style>
  <w:style w:type="character" w:customStyle="1" w:styleId="OtherTok2">
    <w:name w:val="OtherTok"/>
    <w:basedOn w:val="VerbatimChar"/>
    <w:rPr>
      <w:color w:val="8F5902"/>
      <w:sz w:val="24"/>
      <w:shd w:val="clear" w:color="auto" w:fill="F8F8F8"/>
    </w:rPr>
  </w:style>
  <w:style w:type="character" w:customStyle="1" w:styleId="AlertTok2">
    <w:name w:val="AlertTok"/>
    <w:basedOn w:val="VerbatimChar"/>
    <w:rPr>
      <w:color w:val="EF2929"/>
      <w:sz w:val="24"/>
      <w:shd w:val="clear" w:color="auto" w:fill="F8F8F8"/>
    </w:rPr>
  </w:style>
  <w:style w:type="character" w:customStyle="1" w:styleId="FunctionTok2">
    <w:name w:val="FunctionTok"/>
    <w:basedOn w:val="VerbatimChar"/>
    <w:rPr>
      <w:color w:val="000000"/>
      <w:sz w:val="24"/>
      <w:shd w:val="clear" w:color="auto" w:fill="F8F8F8"/>
    </w:rPr>
  </w:style>
  <w:style w:type="character" w:customStyle="1" w:styleId="RegionMarkerTok2">
    <w:name w:val="RegionMarkerTok"/>
    <w:basedOn w:val="VerbatimChar"/>
    <w:rPr>
      <w:sz w:val="24"/>
      <w:shd w:val="clear" w:color="auto" w:fill="F8F8F8"/>
    </w:rPr>
  </w:style>
  <w:style w:type="character" w:customStyle="1" w:styleId="ErrorTok2">
    <w:name w:val="ErrorTok"/>
    <w:basedOn w:val="VerbatimChar"/>
    <w:rPr>
      <w:b/>
      <w:sz w:val="24"/>
      <w:shd w:val="clear" w:color="auto" w:fill="F8F8F8"/>
    </w:rPr>
  </w:style>
  <w:style w:type="character" w:customStyle="1" w:styleId="NormalTok2">
    <w:name w:val="NormalTok"/>
    <w:basedOn w:val="VerbatimChar"/>
    <w:rPr>
      <w:sz w:val="24"/>
      <w:shd w:val="clear" w:color="auto" w:fill="F8F8F8"/>
    </w:rPr>
  </w:style>
  <w:style w:type="table" w:styleId="PlainTable4">
    <w:name w:val="Plain Table 4"/>
    <w:basedOn w:val="TableNormal"/>
    <w:rsid w:val="00D52D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5E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506F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0015">
      <w:bodyDiv w:val="1"/>
      <w:marLeft w:val="0"/>
      <w:marRight w:val="0"/>
      <w:marTop w:val="0"/>
      <w:marBottom w:val="0"/>
      <w:divBdr>
        <w:top w:val="none" w:sz="0" w:space="0" w:color="auto"/>
        <w:left w:val="none" w:sz="0" w:space="0" w:color="auto"/>
        <w:bottom w:val="none" w:sz="0" w:space="0" w:color="auto"/>
        <w:right w:val="none" w:sz="0" w:space="0" w:color="auto"/>
      </w:divBdr>
    </w:div>
    <w:div w:id="520706049">
      <w:bodyDiv w:val="1"/>
      <w:marLeft w:val="0"/>
      <w:marRight w:val="0"/>
      <w:marTop w:val="0"/>
      <w:marBottom w:val="0"/>
      <w:divBdr>
        <w:top w:val="none" w:sz="0" w:space="0" w:color="auto"/>
        <w:left w:val="none" w:sz="0" w:space="0" w:color="auto"/>
        <w:bottom w:val="none" w:sz="0" w:space="0" w:color="auto"/>
        <w:right w:val="none" w:sz="0" w:space="0" w:color="auto"/>
      </w:divBdr>
    </w:div>
    <w:div w:id="1231888804">
      <w:bodyDiv w:val="1"/>
      <w:marLeft w:val="0"/>
      <w:marRight w:val="0"/>
      <w:marTop w:val="0"/>
      <w:marBottom w:val="0"/>
      <w:divBdr>
        <w:top w:val="none" w:sz="0" w:space="0" w:color="auto"/>
        <w:left w:val="none" w:sz="0" w:space="0" w:color="auto"/>
        <w:bottom w:val="none" w:sz="0" w:space="0" w:color="auto"/>
        <w:right w:val="none" w:sz="0" w:space="0" w:color="auto"/>
      </w:divBdr>
    </w:div>
    <w:div w:id="1407999705">
      <w:bodyDiv w:val="1"/>
      <w:marLeft w:val="0"/>
      <w:marRight w:val="0"/>
      <w:marTop w:val="0"/>
      <w:marBottom w:val="0"/>
      <w:divBdr>
        <w:top w:val="none" w:sz="0" w:space="0" w:color="auto"/>
        <w:left w:val="none" w:sz="0" w:space="0" w:color="auto"/>
        <w:bottom w:val="none" w:sz="0" w:space="0" w:color="auto"/>
        <w:right w:val="none" w:sz="0" w:space="0" w:color="auto"/>
      </w:divBdr>
    </w:div>
    <w:div w:id="1414475893">
      <w:bodyDiv w:val="1"/>
      <w:marLeft w:val="0"/>
      <w:marRight w:val="0"/>
      <w:marTop w:val="0"/>
      <w:marBottom w:val="0"/>
      <w:divBdr>
        <w:top w:val="none" w:sz="0" w:space="0" w:color="auto"/>
        <w:left w:val="none" w:sz="0" w:space="0" w:color="auto"/>
        <w:bottom w:val="none" w:sz="0" w:space="0" w:color="auto"/>
        <w:right w:val="none" w:sz="0" w:space="0" w:color="auto"/>
      </w:divBdr>
    </w:div>
    <w:div w:id="1444573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illis4a7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m340@st-andrews.ac.uk" TargetMode="External"/><Relationship Id="rId4" Type="http://schemas.openxmlformats.org/officeDocument/2006/relationships/settings" Target="settings.xml"/><Relationship Id="rId9" Type="http://schemas.openxmlformats.org/officeDocument/2006/relationships/hyperlink" Target="mailto:hfdaly@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D2F35-1836-4F85-BD4F-17B78042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5098</Words>
  <Characters>29061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Jeroen Minderman</cp:lastModifiedBy>
  <cp:revision>2</cp:revision>
  <dcterms:created xsi:type="dcterms:W3CDTF">2015-03-30T15:45:00Z</dcterms:created>
  <dcterms:modified xsi:type="dcterms:W3CDTF">2015-03-30T16:30:00Z</dcterms:modified>
</cp:coreProperties>
</file>