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 34 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 34 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r>
        <w:rPr>
          <w:b/>
        </w:rPr>
        <w:t xml:space="preserve">XX below</w:t>
      </w:r>
      <w:r>
        <w:t xml:space="preserve">). The number of SWTs installed in each site varied between 1 and 4 (median 1.6). SWTs installed in individual sites were the same size and specification with the exception of one site. More than two SWTs were installed in only</w:t>
      </w:r>
      <w:r>
        <w:t xml:space="preserve"> </w:t>
      </w:r>
      <w:r>
        <w:rPr>
          <w:b/>
        </w:rPr>
        <w:t xml:space="preserve">XX</w:t>
      </w:r>
      <w:r>
        <w:t xml:space="preserve"> </w:t>
      </w:r>
      <w:r>
        <w:t xml:space="preserve">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w:t>
      </w:r>
      <w:r>
        <w:t xml:space="preserve"> </w:t>
      </w:r>
      <w:r>
        <w:rPr>
          <w:b/>
        </w:rPr>
        <w:t xml:space="preserve">anenometer make</w:t>
      </w:r>
      <w:r>
        <w:t xml:space="preserve"> </w:t>
      </w:r>
      <w:r>
        <w:t xml:space="preserve">was taken at the end of each section (i.e in each distance band) on each survey visit, and minimum daily average temperature measures for each survey visit were obtained from the UK MIDAS weather station data at Grangemouth (</w:t>
      </w:r>
      <w:r>
        <w:rPr>
          <w:b/>
        </w:rPr>
        <w:t xml:space="preserve">coordinates</w:t>
      </w:r>
      <w:r>
        <w:t xml:space="preserve">)</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w:t>
      </w:r>
      <w:r>
        <w:t xml:space="preserve"> </w:t>
      </w:r>
      <w:r>
        <w:rPr>
          <w:b/>
        </w:rPr>
        <w:t xml:space="preserve">below</w:t>
      </w:r>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(‘Quantum GIS Development Team’ 2014)</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w:t>
      </w:r>
      <w:r>
        <w:t xml:space="preserve"> </w:t>
      </w:r>
      <w:r>
        <w:rPr>
          <w:b/>
        </w:rPr>
        <w:t xml:space="preserve">REF</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r>
        <w:rPr>
          <w:b/>
        </w:rPr>
        <w:t xml:space="preserve">XX</w:t>
      </w:r>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four selected (see</w:t>
      </w:r>
      <w:r>
        <w:t xml:space="preserve"> </w:t>
      </w:r>
      <w:r>
        <w:rPr>
          <w:b/>
        </w:rPr>
        <w:t xml:space="preserve">above</w:t>
      </w:r>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w:t>
      </w:r>
      <w:r>
        <w:t xml:space="preserve"> </w:t>
      </w:r>
      <w:r>
        <w:t xml:space="preserve">(2008)</w:t>
      </w:r>
      <w:r>
        <w:t xml:space="preserve"> </w:t>
      </w:r>
      <w:r>
        <w:t xml:space="preserve">to improve performance of parameter estimation and allow for direct interpretation of relative effect strength.</w:t>
      </w:r>
    </w:p>
    <w:p>
      <w:pPr>
        <w:pStyle w:val="Heading4"/>
      </w:pPr>
      <w:bookmarkStart w:id="35" w:name="model-selection-averaging-and-predictions"/>
      <w:bookmarkEnd w:id="35"/>
      <w:r>
        <w:t xml:space="preserve">Model selection, averaging and predictions</w:t>
      </w:r>
    </w:p>
    <w:p>
      <w:r>
        <w:t xml:space="preserve">A full model set was built starting with the 'full model' including all fixed- and random effects listed above. The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This yielded a full model set of N =</w:t>
      </w:r>
      <w:r>
        <w:t xml:space="preserve"> </w:t>
      </w:r>
      <w:r>
        <w:rPr>
          <w:b/>
        </w:rPr>
        <w:t xml:space="preserve">XX</w:t>
      </w:r>
      <w:r>
        <w:t xml:space="preserve"> </w:t>
      </w:r>
      <w:r>
        <w:t xml:space="preserve">models. Model fit was assessed using the adjusted Akaike Information Criterion (AICc) and we took the top models within 4 AICc points of the 'top' model as our candidate set. To account for model selection uncertainty within the candidate set, we present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 Pipistrelle bats. Thus, here we only present analyses of Pipistrelle bat activity.</w:t>
      </w:r>
    </w:p>
    <w:tbl>
      <w:tblPr>
        <w:tblStyle w:val="TableNormal"/>
        <w:tblW w:type="pct" w:w="4097.222222222222"/>
        <w:tblCaption w:val="Table NA. This is the actual table caption"/>
      </w:tblPr>
      <w:tblGrid>
        <w:gridCol w:w="1980"/>
        <w:gridCol w:w="770"/>
        <w:gridCol w:w="990"/>
        <w:gridCol w:w="121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Std. dev</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center"/>
            </w:pPr>
            <w:r>
              <w:rPr>
                <w:b/>
              </w:rPr>
              <w:t xml:space="preserve">MINTEMP</w:t>
            </w:r>
          </w:p>
        </w:tc>
        <w:tc>
          <w:p>
            <w:pPr>
              <w:pStyle w:val="Compact"/>
              <w:jc w:val="center"/>
            </w:pPr>
            <w:r>
              <w:t xml:space="preserve">11.76</w:t>
            </w:r>
          </w:p>
        </w:tc>
        <w:tc>
          <w:p>
            <w:pPr>
              <w:pStyle w:val="Compact"/>
              <w:jc w:val="center"/>
            </w:pPr>
            <w:r>
              <w:t xml:space="preserve">12</w:t>
            </w:r>
          </w:p>
        </w:tc>
        <w:tc>
          <w:p>
            <w:pPr>
              <w:pStyle w:val="Compact"/>
              <w:jc w:val="center"/>
            </w:pPr>
            <w:r>
              <w:t xml:space="preserve">2.75</w:t>
            </w:r>
          </w:p>
        </w:tc>
        <w:tc>
          <w:p>
            <w:pPr>
              <w:pStyle w:val="Compact"/>
              <w:jc w:val="center"/>
            </w:pPr>
            <w:r>
              <w:t xml:space="preserve">5</w:t>
            </w:r>
          </w:p>
        </w:tc>
        <w:tc>
          <w:p>
            <w:pPr>
              <w:pStyle w:val="Compact"/>
              <w:jc w:val="center"/>
            </w:pPr>
            <w:r>
              <w:t xml:space="preserve">17.6</w:t>
            </w:r>
          </w:p>
        </w:tc>
      </w:tr>
      <w:tr>
        <w:tc>
          <w:p>
            <w:pPr>
              <w:pStyle w:val="Compact"/>
              <w:jc w:val="center"/>
            </w:pPr>
            <w:r>
              <w:rPr>
                <w:b/>
              </w:rPr>
              <w:t xml:space="preserve">DAYNO</w:t>
            </w:r>
          </w:p>
        </w:tc>
        <w:tc>
          <w:p>
            <w:pPr>
              <w:pStyle w:val="Compact"/>
              <w:jc w:val="center"/>
            </w:pPr>
            <w:r>
              <w:t xml:space="preserve">196.6</w:t>
            </w:r>
          </w:p>
        </w:tc>
        <w:tc>
          <w:p>
            <w:pPr>
              <w:pStyle w:val="Compact"/>
              <w:jc w:val="center"/>
            </w:pPr>
            <w:r>
              <w:t xml:space="preserve">195</w:t>
            </w:r>
          </w:p>
        </w:tc>
        <w:tc>
          <w:p>
            <w:pPr>
              <w:pStyle w:val="Compact"/>
              <w:jc w:val="center"/>
            </w:pPr>
            <w:r>
              <w:t xml:space="preserve">28.85</w:t>
            </w:r>
          </w:p>
        </w:tc>
        <w:tc>
          <w:p>
            <w:pPr>
              <w:pStyle w:val="Compact"/>
              <w:jc w:val="center"/>
            </w:pPr>
            <w:r>
              <w:t xml:space="preserve">147</w:t>
            </w:r>
          </w:p>
        </w:tc>
        <w:tc>
          <w:p>
            <w:pPr>
              <w:pStyle w:val="Compact"/>
              <w:jc w:val="center"/>
            </w:pPr>
            <w:r>
              <w:t xml:space="preserve">246</w:t>
            </w:r>
          </w:p>
        </w:tc>
      </w:tr>
      <w:tr>
        <w:tc>
          <w:p>
            <w:pPr>
              <w:pStyle w:val="Compact"/>
              <w:jc w:val="center"/>
            </w:pPr>
            <w:r>
              <w:rPr>
                <w:b/>
              </w:rPr>
              <w:t xml:space="preserve">TTMIDN</w:t>
            </w:r>
          </w:p>
        </w:tc>
        <w:tc>
          <w:p>
            <w:pPr>
              <w:pStyle w:val="Compact"/>
              <w:jc w:val="center"/>
            </w:pPr>
            <w:r>
              <w:t xml:space="preserve">-26.07</w:t>
            </w:r>
          </w:p>
        </w:tc>
        <w:tc>
          <w:p>
            <w:pPr>
              <w:pStyle w:val="Compact"/>
              <w:jc w:val="center"/>
            </w:pPr>
            <w:r>
              <w:t xml:space="preserve">-41</w:t>
            </w:r>
          </w:p>
        </w:tc>
        <w:tc>
          <w:p>
            <w:pPr>
              <w:pStyle w:val="Compact"/>
              <w:jc w:val="center"/>
            </w:pPr>
            <w:r>
              <w:t xml:space="preserve">82.54</w:t>
            </w:r>
          </w:p>
        </w:tc>
        <w:tc>
          <w:p>
            <w:pPr>
              <w:pStyle w:val="Compact"/>
              <w:jc w:val="center"/>
            </w:pPr>
            <w:r>
              <w:t xml:space="preserve">-202.3</w:t>
            </w:r>
          </w:p>
        </w:tc>
        <w:tc>
          <w:p>
            <w:pPr>
              <w:pStyle w:val="Compact"/>
              <w:jc w:val="center"/>
            </w:pPr>
            <w:r>
              <w:t xml:space="preserve">197.8</w:t>
            </w:r>
          </w:p>
        </w:tc>
      </w:tr>
      <w:tr>
        <w:tc>
          <w:p>
            <w:pPr>
              <w:pStyle w:val="Compact"/>
              <w:jc w:val="center"/>
            </w:pPr>
            <w:r>
              <w:rPr>
                <w:b/>
              </w:rPr>
              <w:t xml:space="preserve">I(TTMIDN^2)</w:t>
            </w:r>
          </w:p>
        </w:tc>
        <w:tc>
          <w:p>
            <w:pPr>
              <w:pStyle w:val="Compact"/>
              <w:jc w:val="center"/>
            </w:pPr>
            <w:r>
              <w:t xml:space="preserve">7487</w:t>
            </w:r>
          </w:p>
        </w:tc>
        <w:tc>
          <w:p>
            <w:pPr>
              <w:pStyle w:val="Compact"/>
              <w:jc w:val="center"/>
            </w:pPr>
            <w:r>
              <w:t xml:space="preserve">4669</w:t>
            </w:r>
          </w:p>
        </w:tc>
        <w:tc>
          <w:p>
            <w:pPr>
              <w:pStyle w:val="Compact"/>
              <w:jc w:val="center"/>
            </w:pPr>
            <w:r>
              <w:t xml:space="preserve">8375</w:t>
            </w:r>
          </w:p>
        </w:tc>
        <w:tc>
          <w:p>
            <w:pPr>
              <w:pStyle w:val="Compact"/>
              <w:jc w:val="center"/>
            </w:pPr>
            <w:r>
              <w:t xml:space="preserve">0</w:t>
            </w:r>
          </w:p>
        </w:tc>
        <w:tc>
          <w:p>
            <w:pPr>
              <w:pStyle w:val="Compact"/>
              <w:jc w:val="center"/>
            </w:pPr>
            <w:r>
              <w:t xml:space="preserve">40925</w:t>
            </w:r>
          </w:p>
        </w:tc>
      </w:tr>
      <w:tr>
        <w:tc>
          <w:p>
            <w:pPr>
              <w:pStyle w:val="Compact"/>
              <w:jc w:val="center"/>
            </w:pPr>
            <w:r>
              <w:rPr>
                <w:b/>
              </w:rPr>
              <w:t xml:space="preserve">WINDS</w:t>
            </w:r>
          </w:p>
        </w:tc>
        <w:tc>
          <w:p>
            <w:pPr>
              <w:pStyle w:val="Compact"/>
              <w:jc w:val="center"/>
            </w:pPr>
            <w:r>
              <w:t xml:space="preserve">1.07</w:t>
            </w:r>
          </w:p>
        </w:tc>
        <w:tc>
          <w:p>
            <w:pPr>
              <w:pStyle w:val="Compact"/>
              <w:jc w:val="center"/>
            </w:pPr>
            <w:r>
              <w:t xml:space="preserve">0.4</w:t>
            </w:r>
          </w:p>
        </w:tc>
        <w:tc>
          <w:p>
            <w:pPr>
              <w:pStyle w:val="Compact"/>
              <w:jc w:val="center"/>
            </w:pPr>
            <w:r>
              <w:t xml:space="preserve">1.46</w:t>
            </w:r>
          </w:p>
        </w:tc>
        <w:tc>
          <w:p>
            <w:pPr>
              <w:pStyle w:val="Compact"/>
              <w:jc w:val="center"/>
            </w:pPr>
            <w:r>
              <w:t xml:space="preserve">0</w:t>
            </w:r>
          </w:p>
        </w:tc>
        <w:tc>
          <w:p>
            <w:pPr>
              <w:pStyle w:val="Compact"/>
              <w:jc w:val="center"/>
            </w:pPr>
            <w:r>
              <w:t xml:space="preserve">9.8</w:t>
            </w:r>
          </w:p>
        </w:tc>
      </w:tr>
      <w:tr>
        <w:tc>
          <w:p>
            <w:pPr>
              <w:pStyle w:val="Compact"/>
              <w:jc w:val="center"/>
            </w:pPr>
            <w:r>
              <w:rPr>
                <w:b/>
              </w:rPr>
              <w:t xml:space="preserve">EDGED</w:t>
            </w:r>
          </w:p>
        </w:tc>
        <w:tc>
          <w:p>
            <w:pPr>
              <w:pStyle w:val="Compact"/>
              <w:jc w:val="center"/>
            </w:pPr>
            <w:r>
              <w:t xml:space="preserve">0.04</w:t>
            </w:r>
          </w:p>
        </w:tc>
        <w:tc>
          <w:p>
            <w:pPr>
              <w:pStyle w:val="Compact"/>
              <w:jc w:val="center"/>
            </w:pPr>
            <w:r>
              <w:t xml:space="preserve">0.03</w:t>
            </w:r>
          </w:p>
        </w:tc>
        <w:tc>
          <w:p>
            <w:pPr>
              <w:pStyle w:val="Compact"/>
              <w:jc w:val="center"/>
            </w:pPr>
            <w:r>
              <w:t xml:space="preserve">0.02</w:t>
            </w:r>
          </w:p>
        </w:tc>
        <w:tc>
          <w:p>
            <w:pPr>
              <w:pStyle w:val="Compact"/>
              <w:jc w:val="center"/>
            </w:pPr>
            <w:r>
              <w:t xml:space="preserve">0</w:t>
            </w:r>
          </w:p>
        </w:tc>
        <w:tc>
          <w:p>
            <w:pPr>
              <w:pStyle w:val="Compact"/>
              <w:jc w:val="center"/>
            </w:pPr>
            <w:r>
              <w:t xml:space="preserve">0.13</w:t>
            </w:r>
          </w:p>
        </w:tc>
      </w:tr>
      <w:tr>
        <w:tc>
          <w:p>
            <w:pPr>
              <w:pStyle w:val="Compact"/>
              <w:jc w:val="center"/>
            </w:pPr>
            <w:r>
              <w:rPr>
                <w:b/>
              </w:rPr>
              <w:t xml:space="preserve">pTREE</w:t>
            </w:r>
          </w:p>
        </w:tc>
        <w:tc>
          <w:p>
            <w:pPr>
              <w:pStyle w:val="Compact"/>
              <w:jc w:val="center"/>
            </w:pPr>
            <w:r>
              <w:t xml:space="preserve">0.05</w:t>
            </w:r>
          </w:p>
        </w:tc>
        <w:tc>
          <w:p>
            <w:pPr>
              <w:pStyle w:val="Compact"/>
              <w:jc w:val="center"/>
            </w:pPr>
            <w:r>
              <w:t xml:space="preserve">0</w:t>
            </w:r>
          </w:p>
        </w:tc>
        <w:tc>
          <w:p>
            <w:pPr>
              <w:pStyle w:val="Compact"/>
              <w:jc w:val="center"/>
            </w:pPr>
            <w:r>
              <w:t xml:space="preserve">0.13</w:t>
            </w:r>
          </w:p>
        </w:tc>
        <w:tc>
          <w:p>
            <w:pPr>
              <w:pStyle w:val="Compact"/>
              <w:jc w:val="center"/>
            </w:pPr>
            <w:r>
              <w:t xml:space="preserve">0</w:t>
            </w:r>
          </w:p>
        </w:tc>
        <w:tc>
          <w:p>
            <w:pPr>
              <w:pStyle w:val="Compact"/>
              <w:jc w:val="center"/>
            </w:pPr>
            <w:r>
              <w:t xml:space="preserve">0.92</w:t>
            </w:r>
          </w:p>
        </w:tc>
      </w:tr>
    </w:tbl>
    <w:p>
      <w:pPr>
        <w:pStyle w:val="TableCaption"/>
      </w:pPr>
      <w:r>
        <w:t xml:space="preserve">Table NA. This is the actual table caption</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r>
        <w:drawing>
          <wp:inline>
            <wp:extent cx="5440680" cy="4080510"/>
            <wp:effectExtent b="0" l="0" r="0" t="0"/>
            <wp:docPr descr="" id="1" name="Picture"/>
            <a:graphic>
              <a:graphicData uri="http://schemas.openxmlformats.org/drawingml/2006/picture">
                <pic:pic>
                  <pic:nvPicPr>
                    <pic:cNvPr descr="Main_text_files/figure-docx/unnamed-chunk-2-1.png" id="0" name="Picture"/>
                    <pic:cNvPicPr>
                      <a:picLocks noChangeArrowheads="1" noChangeAspect="1"/>
                    </pic:cNvPicPr>
                  </pic:nvPicPr>
                  <pic:blipFill>
                    <a:blip r:embed="rId37"/>
                    <a:stretch>
                      <a:fillRect/>
                    </a:stretch>
                  </pic:blipFill>
                  <pic:spPr bwMode="auto">
                    <a:xfrm>
                      <a:off x="0" y="0"/>
                      <a:ext cx="5440680" cy="4080510"/>
                    </a:xfrm>
                    <a:prstGeom prst="rect">
                      <a:avLst/>
                    </a:prstGeom>
                    <a:noFill/>
                    <a:ln w="9525">
                      <a:noFill/>
                      <a:headEnd/>
                      <a:tailEnd/>
                    </a:ln>
                  </pic:spPr>
                </pic:pic>
              </a:graphicData>
            </a:graphic>
          </wp:inline>
        </w:drawing>
      </w:r>
      <w:r>
        <w:t xml:space="preserve"> </w:t>
      </w:r>
      <w:r>
        <w:t xml:space="preserve">Here is a further attempt with the same table but using kable():</w:t>
      </w:r>
    </w:p>
    <w:tbl>
      <w:tblPr>
        <w:tblStyle w:val="TableNormal"/>
        <w:tblW w:type="pct" w:w="0.0"/>
        <w:tblCaption w:val="test"/>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 dev</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left"/>
            </w:pPr>
            <w:r>
              <w:t xml:space="preserve">MINTEMP</w:t>
            </w:r>
          </w:p>
        </w:tc>
        <w:tc>
          <w:p>
            <w:pPr>
              <w:pStyle w:val="Compact"/>
              <w:jc w:val="right"/>
            </w:pPr>
            <w:r>
              <w:t xml:space="preserve">11.76</w:t>
            </w:r>
          </w:p>
        </w:tc>
        <w:tc>
          <w:p>
            <w:pPr>
              <w:pStyle w:val="Compact"/>
              <w:jc w:val="right"/>
            </w:pPr>
            <w:r>
              <w:t xml:space="preserve">12.00</w:t>
            </w:r>
          </w:p>
        </w:tc>
        <w:tc>
          <w:p>
            <w:pPr>
              <w:pStyle w:val="Compact"/>
              <w:jc w:val="right"/>
            </w:pPr>
            <w:r>
              <w:t xml:space="preserve">2.75</w:t>
            </w:r>
          </w:p>
        </w:tc>
        <w:tc>
          <w:p>
            <w:pPr>
              <w:pStyle w:val="Compact"/>
              <w:jc w:val="right"/>
            </w:pPr>
            <w:r>
              <w:t xml:space="preserve">5.0</w:t>
            </w:r>
          </w:p>
        </w:tc>
        <w:tc>
          <w:p>
            <w:pPr>
              <w:pStyle w:val="Compact"/>
              <w:jc w:val="right"/>
            </w:pPr>
            <w:r>
              <w:t xml:space="preserve">17.60</w:t>
            </w:r>
          </w:p>
        </w:tc>
      </w:tr>
      <w:tr>
        <w:tc>
          <w:p>
            <w:pPr>
              <w:pStyle w:val="Compact"/>
              <w:jc w:val="left"/>
            </w:pPr>
            <w:r>
              <w:t xml:space="preserve">DAYNO</w:t>
            </w:r>
          </w:p>
        </w:tc>
        <w:tc>
          <w:p>
            <w:pPr>
              <w:pStyle w:val="Compact"/>
              <w:jc w:val="right"/>
            </w:pPr>
            <w:r>
              <w:t xml:space="preserve">196.59</w:t>
            </w:r>
          </w:p>
        </w:tc>
        <w:tc>
          <w:p>
            <w:pPr>
              <w:pStyle w:val="Compact"/>
              <w:jc w:val="right"/>
            </w:pPr>
            <w:r>
              <w:t xml:space="preserve">195.00</w:t>
            </w:r>
          </w:p>
        </w:tc>
        <w:tc>
          <w:p>
            <w:pPr>
              <w:pStyle w:val="Compact"/>
              <w:jc w:val="right"/>
            </w:pPr>
            <w:r>
              <w:t xml:space="preserve">28.85</w:t>
            </w:r>
          </w:p>
        </w:tc>
        <w:tc>
          <w:p>
            <w:pPr>
              <w:pStyle w:val="Compact"/>
              <w:jc w:val="right"/>
            </w:pPr>
            <w:r>
              <w:t xml:space="preserve">147.0</w:t>
            </w:r>
          </w:p>
        </w:tc>
        <w:tc>
          <w:p>
            <w:pPr>
              <w:pStyle w:val="Compact"/>
              <w:jc w:val="right"/>
            </w:pPr>
            <w:r>
              <w:t xml:space="preserve">246.00</w:t>
            </w:r>
          </w:p>
        </w:tc>
      </w:tr>
      <w:tr>
        <w:tc>
          <w:p>
            <w:pPr>
              <w:pStyle w:val="Compact"/>
              <w:jc w:val="left"/>
            </w:pPr>
            <w:r>
              <w:t xml:space="preserve">TTMIDN</w:t>
            </w:r>
          </w:p>
        </w:tc>
        <w:tc>
          <w:p>
            <w:pPr>
              <w:pStyle w:val="Compact"/>
              <w:jc w:val="right"/>
            </w:pPr>
            <w:r>
              <w:t xml:space="preserve">-26.07</w:t>
            </w:r>
          </w:p>
        </w:tc>
        <w:tc>
          <w:p>
            <w:pPr>
              <w:pStyle w:val="Compact"/>
              <w:jc w:val="right"/>
            </w:pPr>
            <w:r>
              <w:t xml:space="preserve">-41.00</w:t>
            </w:r>
          </w:p>
        </w:tc>
        <w:tc>
          <w:p>
            <w:pPr>
              <w:pStyle w:val="Compact"/>
              <w:jc w:val="right"/>
            </w:pPr>
            <w:r>
              <w:t xml:space="preserve">82.54</w:t>
            </w:r>
          </w:p>
        </w:tc>
        <w:tc>
          <w:p>
            <w:pPr>
              <w:pStyle w:val="Compact"/>
              <w:jc w:val="right"/>
            </w:pPr>
            <w:r>
              <w:t xml:space="preserve">-202.3</w:t>
            </w:r>
          </w:p>
        </w:tc>
        <w:tc>
          <w:p>
            <w:pPr>
              <w:pStyle w:val="Compact"/>
              <w:jc w:val="right"/>
            </w:pPr>
            <w:r>
              <w:t xml:space="preserve">197.77</w:t>
            </w:r>
          </w:p>
        </w:tc>
      </w:tr>
      <w:tr>
        <w:tc>
          <w:p>
            <w:pPr>
              <w:pStyle w:val="Compact"/>
              <w:jc w:val="left"/>
            </w:pPr>
            <w:r>
              <w:t xml:space="preserve">I(TTMIDN^2)</w:t>
            </w:r>
          </w:p>
        </w:tc>
        <w:tc>
          <w:p>
            <w:pPr>
              <w:pStyle w:val="Compact"/>
              <w:jc w:val="right"/>
            </w:pPr>
            <w:r>
              <w:t xml:space="preserve">7487.47</w:t>
            </w:r>
          </w:p>
        </w:tc>
        <w:tc>
          <w:p>
            <w:pPr>
              <w:pStyle w:val="Compact"/>
              <w:jc w:val="right"/>
            </w:pPr>
            <w:r>
              <w:t xml:space="preserve">4669.44</w:t>
            </w:r>
          </w:p>
        </w:tc>
        <w:tc>
          <w:p>
            <w:pPr>
              <w:pStyle w:val="Compact"/>
              <w:jc w:val="right"/>
            </w:pPr>
            <w:r>
              <w:t xml:space="preserve">8375.13</w:t>
            </w:r>
          </w:p>
        </w:tc>
        <w:tc>
          <w:p>
            <w:pPr>
              <w:pStyle w:val="Compact"/>
              <w:jc w:val="right"/>
            </w:pPr>
            <w:r>
              <w:t xml:space="preserve">0.0</w:t>
            </w:r>
          </w:p>
        </w:tc>
        <w:tc>
          <w:p>
            <w:pPr>
              <w:pStyle w:val="Compact"/>
              <w:jc w:val="right"/>
            </w:pPr>
            <w:r>
              <w:t xml:space="preserve">40925.29</w:t>
            </w:r>
          </w:p>
        </w:tc>
      </w:tr>
      <w:tr>
        <w:tc>
          <w:p>
            <w:pPr>
              <w:pStyle w:val="Compact"/>
              <w:jc w:val="left"/>
            </w:pPr>
            <w:r>
              <w:t xml:space="preserve">WINDS</w:t>
            </w:r>
          </w:p>
        </w:tc>
        <w:tc>
          <w:p>
            <w:pPr>
              <w:pStyle w:val="Compact"/>
              <w:jc w:val="right"/>
            </w:pPr>
            <w:r>
              <w:t xml:space="preserve">1.07</w:t>
            </w:r>
          </w:p>
        </w:tc>
        <w:tc>
          <w:p>
            <w:pPr>
              <w:pStyle w:val="Compact"/>
              <w:jc w:val="right"/>
            </w:pPr>
            <w:r>
              <w:t xml:space="preserve">0.40</w:t>
            </w:r>
          </w:p>
        </w:tc>
        <w:tc>
          <w:p>
            <w:pPr>
              <w:pStyle w:val="Compact"/>
              <w:jc w:val="right"/>
            </w:pPr>
            <w:r>
              <w:t xml:space="preserve">1.46</w:t>
            </w:r>
          </w:p>
        </w:tc>
        <w:tc>
          <w:p>
            <w:pPr>
              <w:pStyle w:val="Compact"/>
              <w:jc w:val="right"/>
            </w:pPr>
            <w:r>
              <w:t xml:space="preserve">0.0</w:t>
            </w:r>
          </w:p>
        </w:tc>
        <w:tc>
          <w:p>
            <w:pPr>
              <w:pStyle w:val="Compact"/>
              <w:jc w:val="right"/>
            </w:pPr>
            <w:r>
              <w:t xml:space="preserve">9.80</w:t>
            </w:r>
          </w:p>
        </w:tc>
      </w:tr>
      <w:tr>
        <w:tc>
          <w:p>
            <w:pPr>
              <w:pStyle w:val="Compact"/>
              <w:jc w:val="left"/>
            </w:pPr>
            <w:r>
              <w:t xml:space="preserve">EDGED</w:t>
            </w:r>
          </w:p>
        </w:tc>
        <w:tc>
          <w:p>
            <w:pPr>
              <w:pStyle w:val="Compact"/>
              <w:jc w:val="right"/>
            </w:pPr>
            <w:r>
              <w:t xml:space="preserve">0.04</w:t>
            </w:r>
          </w:p>
        </w:tc>
        <w:tc>
          <w:p>
            <w:pPr>
              <w:pStyle w:val="Compact"/>
              <w:jc w:val="right"/>
            </w:pPr>
            <w:r>
              <w:t xml:space="preserve">0.03</w:t>
            </w:r>
          </w:p>
        </w:tc>
        <w:tc>
          <w:p>
            <w:pPr>
              <w:pStyle w:val="Compact"/>
              <w:jc w:val="right"/>
            </w:pPr>
            <w:r>
              <w:t xml:space="preserve">0.02</w:t>
            </w:r>
          </w:p>
        </w:tc>
        <w:tc>
          <w:p>
            <w:pPr>
              <w:pStyle w:val="Compact"/>
              <w:jc w:val="right"/>
            </w:pPr>
            <w:r>
              <w:t xml:space="preserve">0.0</w:t>
            </w:r>
          </w:p>
        </w:tc>
        <w:tc>
          <w:p>
            <w:pPr>
              <w:pStyle w:val="Compact"/>
              <w:jc w:val="right"/>
            </w:pPr>
            <w:r>
              <w:t xml:space="preserve">0.13</w:t>
            </w:r>
          </w:p>
        </w:tc>
      </w:tr>
      <w:tr>
        <w:tc>
          <w:p>
            <w:pPr>
              <w:pStyle w:val="Compact"/>
              <w:jc w:val="left"/>
            </w:pPr>
            <w:r>
              <w:t xml:space="preserve">pTREE</w:t>
            </w:r>
          </w:p>
        </w:tc>
        <w:tc>
          <w:p>
            <w:pPr>
              <w:pStyle w:val="Compact"/>
              <w:jc w:val="right"/>
            </w:pPr>
            <w:r>
              <w:t xml:space="preserve">0.05</w:t>
            </w:r>
          </w:p>
        </w:tc>
        <w:tc>
          <w:p>
            <w:pPr>
              <w:pStyle w:val="Compact"/>
              <w:jc w:val="right"/>
            </w:pPr>
            <w:r>
              <w:t xml:space="preserve">0.00</w:t>
            </w:r>
          </w:p>
        </w:tc>
        <w:tc>
          <w:p>
            <w:pPr>
              <w:pStyle w:val="Compact"/>
              <w:jc w:val="right"/>
            </w:pPr>
            <w:r>
              <w:t xml:space="preserve">0.13</w:t>
            </w:r>
          </w:p>
        </w:tc>
        <w:tc>
          <w:p>
            <w:pPr>
              <w:pStyle w:val="Compact"/>
              <w:jc w:val="right"/>
            </w:pPr>
            <w:r>
              <w:t xml:space="preserve">0.0</w:t>
            </w:r>
          </w:p>
        </w:tc>
        <w:tc>
          <w:p>
            <w:pPr>
              <w:pStyle w:val="Compact"/>
              <w:jc w:val="right"/>
            </w:pPr>
            <w:r>
              <w:t xml:space="preserve">0.92</w:t>
            </w:r>
          </w:p>
        </w:tc>
      </w:tr>
    </w:tbl>
    <w:p>
      <w:pPr>
        <w:pStyle w:val="TableCaption"/>
      </w:pPr>
      <w:r>
        <w:t xml:space="preserve">test</w:t>
      </w:r>
    </w:p>
    <w:p>
      <w:pPr>
        <w:pStyle w:val="Heading1"/>
      </w:pPr>
      <w:bookmarkStart w:id="38" w:name="discussion"/>
      <w:bookmarkEnd w:id="38"/>
      <w:r>
        <w:t xml:space="preserve">Discussion</w:t>
      </w:r>
    </w:p>
    <w:p>
      <w:r>
        <w:t xml:space="preserve">...</w:t>
      </w:r>
    </w:p>
    <w:p>
      <w:pPr>
        <w:pStyle w:val="Heading1"/>
      </w:pPr>
      <w:bookmarkStart w:id="39" w:name="acknowledgements"/>
      <w:bookmarkEnd w:id="39"/>
      <w:r>
        <w:t xml:space="preserve">Acknowledgements</w:t>
      </w:r>
    </w:p>
    <w:p>
      <w:r>
        <w:t xml:space="preserve">Turbine owners. Kathryn Hamilton. Sofia Motta Pralon. JM funded by University of Stirling Impact Fellowship.</w:t>
      </w:r>
    </w:p>
    <w:p>
      <w:pPr>
        <w:pStyle w:val="Heading1"/>
      </w:pPr>
      <w:bookmarkStart w:id="40" w:name="references"/>
      <w:bookmarkEnd w:id="40"/>
      <w:r>
        <w:t xml:space="preserve">References</w:t>
      </w:r>
    </w:p>
    <w:p>
      <w:pPr>
        <w:pStyle w:val="Heading1"/>
      </w:pPr>
      <w:bookmarkStart w:id="41" w:name="appendix-1-preliminary-habitat-data-analysis-and-variable-selection"/>
      <w:bookmarkEnd w:id="41"/>
      <w:r>
        <w:t xml:space="preserve">Appendix 1: Preliminary habitat data analysis and variable selection</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sectPr w:rsidR="00E55A11" w:rsidSect="00280A4D">
      <w:footerReference w:type="even" r:id="rId12"/>
      <w:footerReference w:type="default" r:id="rId13"/>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db2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de74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2c8a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3"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