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w:t>
      </w:r>
      <w:r>
        <w:t xml:space="preserve"> </w:t>
      </w:r>
      <w:r>
        <w:rPr>
          <w:b/>
        </w:rPr>
        <w:t xml:space="preserve">X</w:t>
      </w:r>
      <w:r>
        <w:t xml:space="preserve"> </w:t>
      </w:r>
      <w:r>
        <w:t xml:space="preserve">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w:t>
      </w:r>
      <w:r>
        <w:t xml:space="preserve"> </w:t>
      </w:r>
      <w:r>
        <w:rPr>
          <w:b/>
        </w:rPr>
        <w:t xml:space="preserve">X sites</w:t>
      </w:r>
      <w:r>
        <w:t xml:space="preserve"> </w:t>
      </w:r>
      <w:r>
        <w:t xml:space="preserve">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w:t>
      </w:r>
      <w:r>
        <w:t xml:space="preserve"> </w:t>
      </w:r>
      <w:r>
        <w:rPr>
          <w:b/>
        </w:rPr>
        <w:t xml:space="preserve">X</w:t>
      </w:r>
      <w:r>
        <w:t xml:space="preserve"> </w:t>
      </w:r>
      <w:r>
        <w:t xml:space="preserve">SWT sites in central and eastern Scotland. Sites were selected from an existing database of owners</w:t>
      </w:r>
      <w:r>
        <w:t xml:space="preserve"> </w:t>
      </w:r>
      <w:r>
        <w:rPr>
          <w:b/>
        </w:rPr>
        <w:t xml:space="preserve">REF</w:t>
      </w:r>
      <w:r>
        <w:t xml:space="preserve"> </w:t>
      </w:r>
      <w:r>
        <w:t xml:space="preserve">based on how representative they were of common UK SWT installation settings in terms of habitat, turbine models and size. All turbines studied here were free-standing and between</w:t>
      </w:r>
      <w:r>
        <w:t xml:space="preserve"> </w:t>
      </w:r>
      <w:r>
        <w:rPr>
          <w:b/>
        </w:rPr>
        <w:t xml:space="preserve">X and X</w:t>
      </w:r>
      <w:r>
        <w:t xml:space="preserve"> </w:t>
      </w:r>
      <w:r>
        <w:t xml:space="preserve">in hub height, and all were in rural settings but specific habitat in the surrounding area varied (see</w:t>
      </w:r>
      <w:r>
        <w:t xml:space="preserve"> </w:t>
      </w:r>
      <w:r>
        <w:rPr>
          <w:b/>
        </w:rPr>
        <w:t xml:space="preserve">XX below</w:t>
      </w:r>
      <w:r>
        <w:t xml:space="preserve">).</w:t>
      </w:r>
    </w:p>
    <w:p>
      <w:pPr>
        <w:pStyle w:val="Heading2"/>
      </w:pPr>
      <w:bookmarkStart w:id="29" w:name="bat-data"/>
      <w:bookmarkEnd w:id="29"/>
      <w:r>
        <w:t xml:space="preserve">Bat data</w:t>
      </w:r>
    </w:p>
    <w:p>
      <w:r>
        <w:t xml:space="preserve">Bat activity data was collected between</w:t>
      </w:r>
      <w:r>
        <w:t xml:space="preserve"> </w:t>
      </w:r>
      <w:r>
        <w:rPr>
          <w:b/>
        </w:rPr>
        <w:t xml:space="preserve">XXX</w:t>
      </w:r>
      <w:r>
        <w:t xml:space="preserve"> </w:t>
      </w:r>
      <w:r>
        <w:t xml:space="preserve">and</w:t>
      </w:r>
      <w:r>
        <w:t xml:space="preserve"> </w:t>
      </w:r>
      <w:r>
        <w:rPr>
          <w:b/>
        </w:rPr>
        <w:t xml:space="preserve">XXX</w:t>
      </w:r>
      <w:r>
        <w:t xml:space="preserve"> </w:t>
      </w:r>
      <w:r>
        <w:t xml:space="preserve">2013 and</w:t>
      </w:r>
      <w:r>
        <w:t xml:space="preserve"> </w:t>
      </w:r>
      <w:r>
        <w:rPr>
          <w:b/>
        </w:rPr>
        <w:t xml:space="preserve">XXX</w:t>
      </w:r>
      <w:r>
        <w:t xml:space="preserve"> </w:t>
      </w:r>
      <w:r>
        <w:t xml:space="preserve">and</w:t>
      </w:r>
      <w:r>
        <w:t xml:space="preserve"> </w:t>
      </w:r>
      <w:r>
        <w:rPr>
          <w:b/>
        </w:rPr>
        <w:t xml:space="preserve">XXX</w:t>
      </w:r>
      <w:r>
        <w:t xml:space="preserve"> </w:t>
      </w:r>
      <w:r>
        <w:t xml:space="preserve">in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w:t>
      </w:r>
    </w:p>
    <w:p>
      <w:r>
        <w:t xml:space="preserve">One measure of ground level wind speed</w:t>
      </w:r>
      <w:r>
        <w:t xml:space="preserve"> </w:t>
      </w:r>
      <w:r>
        <w:rPr>
          <w:b/>
        </w:rPr>
        <w:t xml:space="preserve">anenometer make</w:t>
      </w:r>
      <w:r>
        <w:t xml:space="preserve"> </w:t>
      </w:r>
      <w:r>
        <w:t xml:space="preserve">was taken at the end of each section on each survey visit, and minimum daily average temperature measures for each survey visit were obtained from the</w:t>
      </w:r>
      <w:r>
        <w:t xml:space="preserve"> </w:t>
      </w:r>
      <w:r>
        <w:rPr>
          <w:b/>
        </w:rPr>
        <w:t xml:space="preserve">UK MIDAS weather station data at Grangemouth</w:t>
      </w:r>
      <w:r>
        <w:t xml:space="preserve"> </w:t>
      </w:r>
      <w:r>
        <w:rPr>
          <w:b/>
        </w:rPr>
        <w:t xml:space="preserve">REF</w:t>
      </w:r>
      <w:r>
        <w:t xml:space="preserve">.</w:t>
      </w:r>
    </w:p>
    <w:p>
      <w:pPr>
        <w:pStyle w:val="Heading2"/>
      </w:pPr>
      <w:bookmarkStart w:id="30" w:name="habitat-data-and-variable-selection"/>
      <w:bookmarkEnd w:id="30"/>
      <w:r>
        <w:t xml:space="preserve">Habitat data and variable selection</w:t>
      </w:r>
    </w:p>
    <w:p>
      <w:r>
        <w:t xml:space="preserve">Briefly, quantification of all variables. Refer to appendix for details of "initial" habitat data model selection.</w:t>
      </w:r>
    </w:p>
    <w:p>
      <w:pPr>
        <w:pStyle w:val="Heading2"/>
      </w:pPr>
      <w:bookmarkStart w:id="31" w:name="data-analysis-and-statistics"/>
      <w:bookmarkEnd w:id="31"/>
      <w:r>
        <w:t xml:space="preserve">Data analysis and statistics</w:t>
      </w:r>
    </w:p>
    <w:p>
      <w:pPr>
        <w:pStyle w:val="Heading3"/>
      </w:pPr>
      <w:bookmarkStart w:id="32" w:name="measure-of-bat-activity-probability-of-a-pass-per-hectare-surveyed"/>
      <w:bookmarkEnd w:id="32"/>
      <w:r>
        <w:t xml:space="preserve">Measure of bat activity: probability of a pass per hectare surveyed</w:t>
      </w:r>
    </w:p>
    <w:p>
      <w:r>
        <w:t xml:space="preserve">Bat activity was initially quantified as the number of bat 'passes' (</w:t>
      </w:r>
      <w:r>
        <w:rPr>
          <w:b/>
        </w:rPr>
        <w:t xml:space="preserve">'pass' definition</w:t>
      </w:r>
      <w:r>
        <w:t xml:space="preserve">) per transect section. However, we chose to analyse our data as bat activity presence or absence per transect section, per survey visit, for two reasons. First, the distribution of observed counts was so skewed (many zeros and excessive variation) that count-based statistical models did not provide any reasonable fit. Second, using bat 'passes' as a measure of activity provides only a relative measure of activity in he first place.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Overall approach.</w:t>
      </w:r>
    </w:p>
    <w:p>
      <w:pPr>
        <w:pStyle w:val="Heading4"/>
      </w:pPr>
      <w:bookmarkStart w:id="34" w:name="model-structure"/>
      <w:bookmarkEnd w:id="34"/>
      <w:r>
        <w:t xml:space="preserve">Model structure</w:t>
      </w:r>
    </w:p>
    <w:p>
      <w:r>
        <w:t xml:space="preserve">Full GLMM. Family and link-function, offset. All explanatory variables and units. Standardisation of predictors. Explain limit to quadratic terms. Explain specific interaction.</w:t>
      </w:r>
    </w:p>
    <w:p>
      <w:pPr>
        <w:pStyle w:val="Heading4"/>
      </w:pPr>
      <w:bookmarkStart w:id="35" w:name="model-selection-averaging-and-predictions"/>
      <w:bookmarkEnd w:id="35"/>
      <w:r>
        <w:t xml:space="preserve">Model selection, averaging and predictions</w:t>
      </w:r>
    </w:p>
    <w:p>
      <w:pPr>
        <w:pStyle w:val="Heading1"/>
      </w:pPr>
      <w:bookmarkStart w:id="36" w:name="results"/>
      <w:bookmarkEnd w:id="36"/>
      <w:r>
        <w:t xml:space="preserve">Results</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pPr>
        <w:pStyle w:val="Heading2"/>
      </w:pPr>
      <w:bookmarkStart w:id="37" w:name="references"/>
      <w:bookmarkEnd w:id="37"/>
      <w:r>
        <w:t xml:space="preserve">References</w:t>
      </w:r>
    </w:p>
    <w:sectPr w:rsidR="00E55A11" w:rsidSect="00280A4D">
      <w:footerReference w:type="even" r:id="rId13"/>
      <w:footerReference w:type="default" r:id="rId1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9A8">
      <w:rPr>
        <w:rStyle w:val="PageNumber"/>
        <w:noProof/>
      </w:rPr>
      <w:t>4</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4b90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707ee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e29d2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3" Type="http://schemas.openxmlformats.org/officeDocument/2006/relationships/footer" Target="footer1.xml" /><Relationship Id="rId14" Type="http://schemas.openxmlformats.org/officeDocument/2006/relationships/footer" Target="footer2.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343</Words>
  <Characters>1956</Characters>
  <Application>Microsoft Macintosh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