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jpg" ContentType="image/jpeg"/>
  <Override PartName="/word/media/rId35.jpg" ContentType="image/jpeg"/>
  <Override PartName="/word/media/rId48.png" ContentType="image/png"/>
  <Override PartName="/word/media/rId49.png" ContentType="image/png"/>
  <Override PartName="/word/media/rId50.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models such socio-ecological models because increasingly complex, and thus both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This is surprising, given many parallels between models and videogames. We here propose a novel approach to both aiding communication of complex socio-ecological models as well as</w:t>
      </w:r>
      <w:r>
        <w:t xml:space="preserve"> </w:t>
      </w:r>
      <w:r>
        <w:t xml:space="preserve">“</w:t>
      </w:r>
      <w:r>
        <w:t xml:space="preserve">gamesourcing</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in which they make management decisions about a population of wild animals, which graze on crops and can thus lower agricultural yield. A number of (non-player) farmers respond to the player’s management decisions, taking actions that may affect their yield as well as the animal population. Players are asked to set their own management goal (e.g. maintain the animal population at a certain level or improving yield), and make decisions accordingly. Trail players were also asked to provide any feedback on both gameplay and purpose.</w:t>
      </w:r>
    </w:p>
    <w:p>
      <w:pPr>
        <w:numPr>
          <w:ilvl w:val="0"/>
          <w:numId w:val="1001"/>
        </w:numPr>
        <w:pStyle w:val="Compact"/>
      </w:pPr>
      <w:r>
        <w:t xml:space="preserve">We demonstrate the utility of this approach by collecting and analysing game play data from a small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focusing in particular on (1) concerns about external validity of the game, i.e. lacking features or relevance to real life, and (2) potential issues with audience bias and player sampling. Player feedback further highlights the parallels between games and models, and in particular the need for clear communication of model limitations and assumptions. We conclude that videogames provide an effective means to do so, and that although they provide a promising means to collect data on human decision-making, it is vital to carefully consider both external validity and potential biases when doing so.</w:t>
      </w:r>
    </w:p>
    <w:bookmarkEnd w:id="20"/>
    <w:bookmarkStart w:id="22" w:name="introduction"/>
    <w:p>
      <w:pPr>
        <w:pStyle w:val="Heading1"/>
      </w:pPr>
      <w:r>
        <w:t xml:space="preserve">Introduction</w:t>
      </w:r>
    </w:p>
    <w:p>
      <w:pPr>
        <w:pStyle w:val="FirstParagraph"/>
      </w:pPr>
      <w:r>
        <w:t xml:space="preserve">In recent years, the use and application of models has become widespread and indispensable in conservation science, ranging from demonstrating the likely effects of climate change</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w:t>
      </w:r>
      <w:r>
        <w:t xml:space="preserve"> </w:t>
      </w:r>
      <w:r>
        <w:t xml:space="preserve">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w:t>
      </w:r>
      <w:r>
        <w:t xml:space="preserve"> </w:t>
      </w:r>
      <w:r>
        <w:t xml:space="preserve">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ones is human exploitation of habitats and natural resources, both directly (e.g. through hunting or habitat loss to agriculture) or indirectly (e.g. through international trade in natural resources)</w:t>
      </w:r>
      <w:r>
        <w:t xml:space="preserve"> </w:t>
      </w:r>
      <w:r>
        <w:t xml:space="preserve">(e.g.</w:t>
      </w:r>
      <w:r>
        <w:t xml:space="preserve"> </w:t>
      </w:r>
      <w:hyperlink w:anchor="ref-wilting2017">
        <w:r>
          <w:rPr>
            <w:rStyle w:val="InternetLink"/>
          </w:rPr>
          <w:t xml:space="preserve">Wilting et al. 2017</w:t>
        </w:r>
      </w:hyperlink>
      <w:r>
        <w:t xml:space="preserve">)</w:t>
      </w:r>
      <w:r>
        <w:t xml:space="preserve">.</w:t>
      </w:r>
      <w:r>
        <w:t xml:space="preserve"> </w:t>
      </w:r>
      <w:r>
        <w:t xml:space="preserve">Because resource use is fundamentally driven by economic and social processes, it has long been recognised that accurate predictions thereof is reliant as much on understanding resource dynamics as it is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w:t>
      </w:r>
      <w:r>
        <w:t xml:space="preserve"> </w:t>
      </w:r>
      <w:r>
        <w:t xml:space="preserve">Although such modelling efforts represent significant progress in modelling complex socio-ecological systems, their increased complexity poses to two, interlinked, challenges.</w:t>
      </w:r>
      <w:r>
        <w:t xml:space="preserve"> </w:t>
      </w:r>
      <w:r>
        <w:t xml:space="preserve">First, models are often difficult to communicate clearly to non-specialist audiences in the first place,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w:t>
      </w:r>
      <w:r>
        <w:t xml:space="preserve"> </w:t>
      </w:r>
      <w:r>
        <w:t xml:space="preserve">This is particularly important for models for resource use in socio-ecological systems, as they are often specifically intended for use by managers or stakeholders who may lack technical expertise.</w:t>
      </w:r>
      <w:r>
        <w:t xml:space="preserve"> </w:t>
      </w:r>
      <w:r>
        <w:t xml:space="preserve">Much has been said about improving the uptake of models in such settings</w:t>
      </w:r>
      <w:r>
        <w:t xml:space="preserve"> </w:t>
      </w:r>
      <w:r>
        <w:t xml:space="preserve">(e.g.</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w:t>
      </w:r>
      <w:r>
        <w:t xml:space="preserve"> </w:t>
      </w:r>
      <w:r>
        <w:t xml:space="preserve">Even so, often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zasada2017">
        <w:r>
          <w:rPr>
            <w:rStyle w:val="InternetLink"/>
          </w:rPr>
          <w:t xml:space="preserve">Zasada et al. 2017</w:t>
        </w:r>
      </w:hyperlink>
      <w:r>
        <w:t xml:space="preserve">)</w:t>
      </w:r>
      <w:r>
        <w:t xml:space="preserve">.</w:t>
      </w:r>
      <w:r>
        <w:t xml:space="preserve"> </w:t>
      </w:r>
      <w:r>
        <w:t xml:space="preserve">Second, their complexity implies the need for extensive data to parameterise them effectively.</w:t>
      </w:r>
      <w:r>
        <w:t xml:space="preserve"> </w:t>
      </w:r>
      <w:r>
        <w:t xml:space="preserve">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Not only may this lead to limited predictive power, a perceived lack of empirical basis may negatively affect their acceptance by stakeholders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being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w:t>
      </w:r>
      <w:r>
        <w:t xml:space="preserve">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t>
      </w:r>
      <w:hyperlink w:anchor="ref-fjaellingsdal2019">
        <w:r>
          <w:rPr>
            <w:rStyle w:val="InternetLink"/>
          </w:rPr>
          <w:t xml:space="preserve">Fjaellingsdal and Kloeckner 2019</w:t>
        </w:r>
      </w:hyperlink>
      <w:r>
        <w:t xml:space="preserve">)</w:t>
      </w:r>
      <w:r>
        <w:t xml:space="preserve">, with online and video games recently becoming popular (</w:t>
      </w:r>
      <w:r>
        <w:rPr>
          <w:bCs/>
          <w:b/>
        </w:rPr>
        <w:t xml:space="preserve">REF</w:t>
      </w:r>
      <w:r>
        <w:t xml:space="preserve">).</w:t>
      </w:r>
      <w:r>
        <w:t xml:space="preserve"> </w:t>
      </w:r>
      <w:r>
        <w:t xml:space="preserve">Given this long history, it is striking that the parallels between videogames in particular and models are not discussed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which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(user)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tweaked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on what affects decision-making in socio-ecological systems.</w:t>
      </w:r>
      <w:r>
        <w:t xml:space="preserve"> </w:t>
      </w:r>
      <w:r>
        <w:t xml:space="preserve">A less well-explored potential of using this approach is using in-game decisions directly as a</w:t>
      </w:r>
      <w:r>
        <w:t xml:space="preserve"> </w:t>
      </w:r>
      <w:r>
        <w:t xml:space="preserve">“</w:t>
      </w:r>
      <w:r>
        <w:t xml:space="preserve">big data</w:t>
      </w:r>
      <w:r>
        <w:t xml:space="preserve">”</w:t>
      </w:r>
      <w:r>
        <w:t xml:space="preserve"> </w:t>
      </w:r>
      <w:r>
        <w:t xml:space="preserve">source to improve the parameterisation of the underlying model itself.</w:t>
      </w:r>
      <w:r>
        <w:t xml:space="preserve"> </w:t>
      </w:r>
      <w:r>
        <w:t xml:space="preserve">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1"/>
      </w:r>
      <w:r>
        <w:t xml:space="preserve">.</w:t>
      </w:r>
      <w:r>
        <w:t xml:space="preserve"> </w:t>
      </w:r>
      <w:r>
        <w:t xml:space="preserve">It is notable that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(e.g.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and classification of fluorescence microscopy images</w:t>
      </w:r>
      <w:r>
        <w:t xml:space="preserve"> </w:t>
      </w:r>
      <w:r>
        <w:t xml:space="preserve">(</w:t>
      </w:r>
      <w:hyperlink w:anchor="ref-sullivan2018">
        <w:r>
          <w:rPr>
            <w:rStyle w:val="InternetLink"/>
          </w:rPr>
          <w:t xml:space="preserve">Sullivan et al. 2018</w:t>
        </w:r>
      </w:hyperlink>
      <w:r>
        <w:t xml:space="preserve">)</w:t>
      </w:r>
      <w:r>
        <w:t xml:space="preserve">), but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w:t>
      </w:r>
      <w:r>
        <w:t xml:space="preserve"> </w:t>
      </w:r>
      <w:r>
        <w:t xml:space="preserve">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here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the animals.</w:t>
      </w:r>
      <w:r>
        <w:t xml:space="preserve"> </w:t>
      </w:r>
      <w:r>
        <w:t xml:space="preserve">We argue that that by acting as an interface between users (i.e. players) and a complex underlying model with many components and assumptions, such a game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basis, we discuss both the limitations of this approach as well as its wider potential.</w:t>
      </w:r>
    </w:p>
    <w:bookmarkEnd w:id="22"/>
    <w:bookmarkStart w:id="42" w:name="outline-of-approach"/>
    <w:p>
      <w:pPr>
        <w:pStyle w:val="Heading1"/>
      </w:pPr>
      <w:r>
        <w:t xml:space="preserve">Outline of approach</w:t>
      </w:r>
    </w:p>
    <w:p>
      <w:pPr>
        <w:pStyle w:val="FirstParagraph"/>
      </w:pPr>
      <w:hyperlink r:id="rId23">
        <w:r>
          <w:rPr>
            <w:rStyle w:val="InternetLink"/>
          </w:rPr>
          <w:t xml:space="preserve">A&amp;F is available to play online</w:t>
        </w:r>
      </w:hyperlink>
      <w:r>
        <w:t xml:space="preserve">.</w:t>
      </w:r>
    </w:p>
    <w:p>
      <w:pPr>
        <w:pStyle w:val="TextBody"/>
      </w:pPr>
      <w:r>
        <w:t xml:space="preserve">Overall, it consists of two main components; (1) the underlying model(s) describing the wild grazing animal (</w:t>
      </w:r>
      <w:r>
        <w:t xml:space="preserve">“</w:t>
      </w:r>
      <w:r>
        <w:t xml:space="preserve">resource</w:t>
      </w:r>
      <w:r>
        <w:t xml:space="preserve">”</w:t>
      </w:r>
      <w:r>
        <w:t xml:space="preserve">) population dynamics, the observation of this population, and farmer (</w:t>
      </w:r>
      <w:r>
        <w:t xml:space="preserve">“</w:t>
      </w:r>
      <w:r>
        <w:t xml:space="preserve">user</w:t>
      </w:r>
      <w:r>
        <w:t xml:space="preserve">”</w:t>
      </w:r>
      <w:r>
        <w:t xml:space="preserve"> </w:t>
      </w:r>
      <w:r>
        <w:t xml:space="preserve">or stakeholder) actions, all implemented using the GMSE framework as described below; and (2) the game interface for the underlying model, which allows the player to set management actions (specifically, costs for user actions) that would otherwise be determined by the management model in the default GMSE set up.</w:t>
      </w:r>
    </w:p>
    <w:bookmarkStart w:id="26" w:name="underlying-model-gmse"/>
    <w:p>
      <w:pPr>
        <w:pStyle w:val="Heading2"/>
      </w:pPr>
      <w:r>
        <w:t xml:space="preserve">Underlying model: GMSE</w:t>
      </w:r>
    </w:p>
    <w:p>
      <w:pPr>
        <w:pStyle w:val="FirstParagraph"/>
      </w:pPr>
      <w:r>
        <w:t xml:space="preserve">We used the Generalised Management Strategy Evaluation (GMSE) modelling framework to model the socio-ecological system underlying A&amp;F.</w:t>
      </w:r>
      <w:r>
        <w:t xml:space="preserve"> </w:t>
      </w:r>
      <w:r>
        <w:t xml:space="preserve">The GMSE R package (</w:t>
      </w:r>
      <w:r>
        <w:rPr>
          <w:bCs/>
          <w:b/>
        </w:rPr>
        <w:t xml:space="preserve">REF</w:t>
      </w:r>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5" w:name="X661808d150ab65b64bbf7eca0b36a8bee1a312a"/>
    <w:p>
      <w:pPr>
        <w:pStyle w:val="Heading3"/>
      </w:pPr>
      <w:r>
        <w:t xml:space="preserve">Basic introduction of GMSE principles and structures</w:t>
      </w:r>
    </w:p>
    <w:p>
      <w:pPr>
        <w:pStyle w:val="FirstParagraph"/>
      </w:pPr>
      <w:r>
        <w:t xml:space="preserve">GMSE consists of four submodels (Figure 1a): (1) the</w:t>
      </w:r>
      <w:r>
        <w:t xml:space="preserve"> </w:t>
      </w:r>
      <w:r>
        <w:rPr>
          <w:bCs/>
          <w:b/>
        </w:rPr>
        <w:t xml:space="preserve">resource model</w:t>
      </w:r>
      <w:r>
        <w:t xml:space="preserve">, an individual-based model for an animal population situated on a landscape modelled as 100x100 square cells; (2) the</w:t>
      </w:r>
      <w:r>
        <w:t xml:space="preserve"> </w:t>
      </w:r>
      <w:r>
        <w:rPr>
          <w:bCs/>
          <w:b/>
        </w:rPr>
        <w:t xml:space="preserve">observation model</w:t>
      </w:r>
      <w:r>
        <w:t xml:space="preserve"> </w:t>
      </w:r>
      <w:r>
        <w:t xml:space="preserve">which represents the process of observations (including a degree of uncertainty) of the animal population, feeding into (3) the</w:t>
      </w:r>
      <w:r>
        <w:t xml:space="preserve"> </w:t>
      </w:r>
      <w:r>
        <w:rPr>
          <w:bCs/>
          <w:b/>
        </w:rPr>
        <w:t xml:space="preserve">manager model</w:t>
      </w:r>
      <w:r>
        <w:t xml:space="preserve"> </w:t>
      </w:r>
      <w:r>
        <w:t xml:space="preserve">which uses the observation of the animal population to make management decisions, involving costs set for agents in (4) the</w:t>
      </w:r>
      <w:r>
        <w:t xml:space="preserve"> </w:t>
      </w:r>
      <w:r>
        <w:rPr>
          <w:bCs/>
          <w:b/>
        </w:rPr>
        <w:t xml:space="preserve">user model</w:t>
      </w:r>
      <w:r>
        <w:t xml:space="preserve">, representing a number of agents (farmers) that each own a part of the landscape.</w:t>
      </w:r>
      <w:r>
        <w:t xml:space="preserve"> </w:t>
      </w:r>
      <w:r>
        <w:t xml:space="preserve">In each time step, both manager and user agents are allocated a (fixed) budget.</w:t>
      </w:r>
      <w:r>
        <w:t xml:space="preserve"> </w:t>
      </w:r>
      <w:r>
        <w:t xml:space="preserve">The users (farmers) may allocate their budget to taking one of several potential actions (here: hunting animals, scaring animals of their land, or tending crops - they may only take these actions on their own land).</w:t>
      </w:r>
    </w:p>
    <w:p>
      <w:pPr>
        <w:pStyle w:val="CaptionedFigure"/>
      </w:pPr>
      <w:r>
        <w:drawing>
          <wp:inline>
            <wp:extent cx="5715000" cy="2098622"/>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4"/>
                    <a:stretch>
                      <a:fillRect/>
                    </a:stretch>
                  </pic:blipFill>
                  <pic:spPr bwMode="auto">
                    <a:xfrm>
                      <a:off x="0" y="0"/>
                      <a:ext cx="5715000" cy="2098622"/>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to a desired level (the management target, normally set externally as a model parameter).</w:t>
      </w:r>
      <w:r>
        <w:t xml:space="preserve"> </w:t>
      </w:r>
      <w:r>
        <w:t xml:space="preserve">It does so by controlling the cost for user (farmer) actions in the following time step: e.g. higher costs for hunting is likely to decrease the number of animals hunted, limiting negative effects on the population and thus making population increases more likely, decreasing scaring cost may increase the number of users choosing scaring.</w:t>
      </w:r>
      <w:r>
        <w:t xml:space="preserve"> </w:t>
      </w:r>
      <w:r>
        <w:t xml:space="preserve">Users (farmers) aim to maximise agricultural yield from their land; yield equals 1 per cell owned per time step, but yield is decreased by the presence of animals on a cell (e.g. through grazing) and may be increased by tending crops (one of the possible three actions).</w:t>
      </w:r>
      <w:r>
        <w:t xml:space="preserve"> </w:t>
      </w:r>
      <w:r>
        <w:t xml:space="preserve">Through this, users have an incentive to control the number of animals of their land, either through allocating budget to hunting or through scaring.</w:t>
      </w:r>
      <w:r>
        <w:t xml:space="preserve"> </w:t>
      </w:r>
      <w:r>
        <w:t xml:space="preserve">The former permanently reduces the number of animals present, the latter has a certain probability of moving an animal away from the user’s land, for the duration of the time step.</w:t>
      </w:r>
      <w:r>
        <w:t xml:space="preserve"> </w:t>
      </w:r>
      <w:r>
        <w:t xml:space="preserve">Users can only take actions on land that they own.</w:t>
      </w:r>
    </w:p>
    <w:p>
      <w:pPr>
        <w:pStyle w:val="TextBody"/>
      </w:pPr>
      <w:r>
        <w:t xml:space="preserve">Costs for actions (by the manager) or actions taken (by the users) are chosen using a genetic algorithm (GA), a heuristic optimisation algorithm which mimics the choice of decision as evolution by natural selection; a large number of possible decisions are iteratively compared by assessing their outcome, with the decision that maximises a given utility function (yield for users, and minimising distance to population target for the manager) identified as the</w:t>
      </w:r>
      <w:r>
        <w:t xml:space="preserve"> </w:t>
      </w:r>
      <w:r>
        <w:t xml:space="preserve">“</w:t>
      </w:r>
      <w:r>
        <w:t xml:space="preserve">fittest.</w:t>
      </w:r>
      <w:r>
        <w:t xml:space="preserve">”</w:t>
      </w:r>
      <w:r>
        <w:t xml:space="preserve"> </w:t>
      </w:r>
      <w:r>
        <w:t xml:space="preserve">The GA is run separately for each agent (manager and all users) in each time step.</w:t>
      </w:r>
    </w:p>
    <w:p>
      <w:pPr>
        <w:pStyle w:val="TextBody"/>
      </w:pPr>
      <w:r>
        <w:t xml:space="preserve">In the default resource (animal) model in GMSE, the animal population is modelled as a form of logistic growth, with a small amount of added random mortality per time step and death caused by hunting; for more detail see below and in</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w:t>
      </w:r>
      <w:r>
        <w:t xml:space="preserve"> </w:t>
      </w:r>
      <w:r>
        <w:t xml:space="preserve">In each time step, each animal moves a given distance in a random direction, and feeds from the cell it is present in.</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(users and the manager) essentially have only a single goal they each aim for.</w:t>
      </w:r>
      <w:r>
        <w:t xml:space="preserve"> </w:t>
      </w:r>
      <w:r>
        <w:t xml:space="preserve">Users (farmers)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 and other stakeholders in the system (e.g. farmers) commonly having some interest in conservation objectives (</w:t>
      </w:r>
      <w:r>
        <w:rPr>
          <w:bCs/>
          <w:b/>
        </w:rPr>
        <w:t xml:space="preserve">REF?</w:t>
      </w:r>
      <w:r>
        <w:t xml:space="preserve">).</w:t>
      </w:r>
      <w:r>
        <w:t xml:space="preserve"> </w:t>
      </w:r>
      <w:r>
        <w:t xml:space="preserve">Human decision-making in such scenarios in inevitably about balancing these different objectives, but parameterising algorithms that mimic such processes without reference to long-term data is very challenging (</w:t>
      </w:r>
      <w:r>
        <w:rPr>
          <w:bCs/>
          <w:b/>
        </w:rPr>
        <w:t xml:space="preserve">REF?</w:t>
      </w:r>
      <w:r>
        <w:t xml:space="preserve">).</w:t>
      </w:r>
      <w:r>
        <w:t xml:space="preserve"> </w:t>
      </w:r>
      <w:r>
        <w:t xml:space="preserve">Addressing this issue was a key motivation for the development of the model-game approach presented here.</w:t>
      </w:r>
    </w:p>
    <w:bookmarkEnd w:id="25"/>
    <w:bookmarkEnd w:id="26"/>
    <w:bookmarkStart w:id="41" w:name="animalfarm"/>
    <w:p>
      <w:pPr>
        <w:pStyle w:val="Heading2"/>
      </w:pPr>
      <w:r>
        <w:t xml:space="preserve">Animal&amp;Farm</w:t>
      </w:r>
    </w:p>
    <w:bookmarkStart w:id="30" w:name="structure-as-relating-to-gmse"/>
    <w:p>
      <w:pPr>
        <w:pStyle w:val="Heading3"/>
      </w:pPr>
      <w:r>
        <w:t xml:space="preserve">Structure as relating to GMSE</w:t>
      </w:r>
    </w:p>
    <w:p>
      <w:pPr>
        <w:pStyle w:val="FirstParagraph"/>
      </w:pPr>
      <w:r>
        <w:t xml:space="preserve">In the default implementation of GMSE 0.6.2.0, a single time</w:t>
      </w:r>
      <w:r>
        <w:t xml:space="preserve"> </w:t>
      </w:r>
      <m:oMath>
        <m:r>
          <m:t>t</m:t>
        </m:r>
      </m:oMath>
      <w:r>
        <w:t xml:space="preserve"> </w:t>
      </w:r>
      <w:r>
        <w:t xml:space="preserve">step consists of a series of calls to the resource model, observation model, management model and user model, in that specific order; in other words, a time step ends after user actions have been chosen (by the GA) and implemented (Figure 1b).</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(v. 0.6.2.0, implemented in R version 4.1.0 (2021-05-18), code available</w:t>
      </w:r>
      <w:r>
        <w:t xml:space="preserve"> </w:t>
      </w:r>
      <w:hyperlink r:id="rId27">
        <w:r>
          <w:rPr>
            <w:rStyle w:val="InternetLink"/>
          </w:rPr>
          <w:t xml:space="preserve">here</w:t>
        </w:r>
      </w:hyperlink>
      <w:r>
        <w:t xml:space="preserve"> </w:t>
      </w:r>
      <w:r>
        <w:t xml:space="preserve">in which the management model is replaced by user (player) inputs, and the order of operations is altered to accommodate this.</w:t>
      </w:r>
      <w:r>
        <w:t xml:space="preserve"> </w:t>
      </w:r>
      <w:r>
        <w:t xml:space="preserve">To initialise each game session, four time steps are run using the default GMSE implementation; i.e. in these time steps the management decisions are chosen by the default GA, and the resource, observation and user models are run using the parameters as defined for the given the scenario (see 4.2 below).</w:t>
      </w:r>
      <w:r>
        <w:t xml:space="preserve"> </w:t>
      </w:r>
      <w:r>
        <w:t xml:space="preserve">These time steps are followed by a</w:t>
      </w:r>
      <w:r>
        <w:t xml:space="preserve"> </w:t>
      </w:r>
      <w:r>
        <w:t xml:space="preserve">“</w:t>
      </w:r>
      <w:r>
        <w:t xml:space="preserve">partial</w:t>
      </w:r>
      <w:r>
        <w:t xml:space="preserve">”</w:t>
      </w:r>
      <w:r>
        <w:t xml:space="preserve"> </w:t>
      </w:r>
      <w:r>
        <w:t xml:space="preserve">time step where only the resource and observation models are run, skipping the management and user models.</w:t>
      </w:r>
      <w:r>
        <w:t xml:space="preserve"> </w:t>
      </w:r>
      <w:r>
        <w:t xml:space="preserve">As a result, at the end of these initial time steps (</w:t>
      </w:r>
      <w:hyperlink r:id="rId28">
        <w:r>
          <w:rPr>
            <w:rStyle w:val="VerbatimChar"/>
          </w:rPr>
          <w:t xml:space="preserve">init_man_control()</w:t>
        </w:r>
      </w:hyperlink>
      <w:r>
        <w:t xml:space="preserve">), the simulated system has five population and observation time steps and is ready for the next choice of management action at</w:t>
      </w:r>
      <w:r>
        <w:t xml:space="preserve"> </w:t>
      </w:r>
      <m:oMath>
        <m:r>
          <m:t>t</m:t>
        </m:r>
        <m:r>
          <m:rPr>
            <m:sty m:val="p"/>
          </m:rPr>
          <m:t>=</m:t>
        </m:r>
        <m:r>
          <m:t>5</m:t>
        </m:r>
      </m:oMath>
      <w:r>
        <w:t xml:space="preserve">, pending the first player input.</w:t>
      </w:r>
      <w:r>
        <w:t xml:space="preserve"> </w:t>
      </w:r>
      <w:r>
        <w:t xml:space="preserve">This is done both to set up all the required GMSE data structures using existing code, as well as to provide the player with a short time series on which to base management decisions going forward.</w:t>
      </w:r>
    </w:p>
    <w:p>
      <w:pPr>
        <w:pStyle w:val="TextBody"/>
      </w:pPr>
      <w:r>
        <w:t xml:space="preserve">The current GMSE simulations used by A&amp;F simulates a landscape of 100x100 cells, divided into farms owned by 4-12 farmers (stakeholders;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(with the exception of the management model in time steps</w:t>
      </w:r>
      <w:r>
        <w:t xml:space="preserve"> </w:t>
      </w:r>
      <m:oMath>
        <m:r>
          <m:t>t</m:t>
        </m:r>
        <m:r>
          <m:rPr>
            <m:sty m:val="p"/>
          </m:rPr>
          <m:t>&gt;</m:t>
        </m:r>
        <m:r>
          <m:t>5</m:t>
        </m:r>
      </m:oMath>
      <w:r>
        <w:t xml:space="preserve">, where the player assumes control over the management decisions (see below).</w:t>
      </w:r>
      <w:r>
        <w:t xml:space="preserve"> </w:t>
      </w:r>
      <w:r>
        <w:t xml:space="preserve">Thus, we only give brief details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Nilsson et al.</w:t>
        </w:r>
      </w:hyperlink>
      <w:r>
        <w:t xml:space="preserve"> </w:t>
      </w:r>
      <w:r>
        <w:t xml:space="preserve">(</w:t>
      </w:r>
      <w:hyperlink w:anchor="ref-nilsson2021">
        <w:r>
          <w:rPr>
            <w:rStyle w:val="InternetLink"/>
          </w:rPr>
          <w:t xml:space="preserve">2021</w:t>
        </w:r>
      </w:hyperlink>
      <w:r>
        <w:t xml:space="preserve">)</w:t>
      </w:r>
      <w:r>
        <w:t xml:space="preserve"> </w:t>
      </w:r>
      <w:r>
        <w:t xml:space="preserve">for further details).</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is likely to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only</w:t>
      </w:r>
      <w:r>
        <w:t xml:space="preserve"> </w:t>
      </w:r>
      <w:r>
        <w:rPr>
          <w:iCs/>
          <w:i/>
        </w:rPr>
        <w:t xml:space="preserve">observed</w:t>
      </w:r>
      <w:r>
        <w:t xml:space="preserve"> </w:t>
      </w:r>
      <w:r>
        <w:t xml:space="preserve">numbers of animals are available to the manager to base decisions on (and thus population trajectory plots in the game interface reflect observations only, which are subject to an unknown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GA algorithms with default parameter settings.</w:t>
      </w:r>
      <w:r>
        <w:t xml:space="preserve"> </w:t>
      </w:r>
      <w:r>
        <w:t xml:space="preserve">User (farmer) budgets are set to 1500 units per time step, manager budgets to 1000 units (both for the initial 5 time steps and the subsequent game play).</w:t>
      </w:r>
      <w:r>
        <w:t xml:space="preserve"> </w:t>
      </w:r>
      <w:r>
        <w:t xml:space="preserve">The users (farmers)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 case studies, and will adjust models and parameter settings accordingly (see Discussion).</w:t>
      </w:r>
    </w:p>
    <w:p>
      <w:pPr>
        <w:pStyle w:val="TextBody"/>
      </w:pPr>
      <w:r>
        <w:t xml:space="preserve">Each following A&amp;F time step then consists of (1) user input, taking the place of the default management model, in which the player can assess the environment using outputs provided (see below) and choose management actions (costs for user actions), and, (2) and once the player confirms their choice, a modified GMSE time step including sequential calls to the default user, resource and observation models (</w:t>
      </w:r>
      <w:hyperlink r:id="rId29">
        <w:r>
          <w:rPr>
            <w:rStyle w:val="VerbatimChar"/>
          </w:rPr>
          <w:t xml:space="preserve">gmse_apply_UROM()</w:t>
        </w:r>
      </w:hyperlink>
      <w:r>
        <w:t xml:space="preserve">) (Figure 1b).</w:t>
      </w:r>
    </w:p>
    <w:bookmarkEnd w:id="30"/>
    <w:bookmarkStart w:id="38" w:name="user-interface"/>
    <w:p>
      <w:pPr>
        <w:pStyle w:val="Heading3"/>
      </w:pPr>
      <w:r>
        <w:t xml:space="preserve">User interface</w:t>
      </w:r>
    </w:p>
    <w:p>
      <w:pPr>
        <w:pStyle w:val="FirstParagraph"/>
      </w:pPr>
      <w:r>
        <w:t xml:space="preserve">The user interface for A&amp;F is a web application is coded in R, using</w:t>
      </w:r>
      <w:r>
        <w:t xml:space="preserve"> </w:t>
      </w:r>
      <w:hyperlink r:id="rId31">
        <w:r>
          <w:rPr>
            <w:rStyle w:val="VerbatimChar"/>
          </w:rPr>
          <w:t xml:space="preserve">Shiny</w:t>
        </w:r>
      </w:hyperlink>
      <w:r>
        <w:t xml:space="preserve"> </w:t>
      </w:r>
      <w:r>
        <w:t xml:space="preserve">(1.6.0), and packages</w:t>
      </w:r>
      <w:r>
        <w:t xml:space="preserve"> </w:t>
      </w:r>
      <w:hyperlink r:id="rId32">
        <w:r>
          <w:rPr>
            <w:rStyle w:val="VerbatimChar"/>
          </w:rPr>
          <w:t xml:space="preserve">shinyjs</w:t>
        </w:r>
      </w:hyperlink>
      <w:r>
        <w:t xml:space="preserve"> </w:t>
      </w:r>
      <w:r>
        <w:t xml:space="preserve">(2.0.0),</w:t>
      </w:r>
      <w:r>
        <w:t xml:space="preserve"> </w:t>
      </w:r>
      <w:hyperlink r:id="rId33">
        <w:r>
          <w:rPr>
            <w:rStyle w:val="VerbatimChar"/>
          </w:rPr>
          <w:t xml:space="preserve">shinyBS</w:t>
        </w:r>
      </w:hyperlink>
      <w:r>
        <w:t xml:space="preserve"> </w:t>
      </w:r>
      <w:r>
        <w:t xml:space="preserve">(0.61), and</w:t>
      </w:r>
      <w:r>
        <w:t xml:space="preserve"> </w:t>
      </w:r>
      <w:hyperlink r:id="rId34">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w:t>
      </w:r>
      <w:r>
        <w:t xml:space="preserve"> </w:t>
      </w:r>
      <w:r>
        <w:t xml:space="preserv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user inputs in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5"/>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user inputs inluding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6"/>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7"/>
      </w:r>
      <w:r>
        <w:t xml:space="preserve"> </w:t>
      </w:r>
      <w:r>
        <w:t xml:space="preserve">affected by the manager (player), so no input is available for this</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the game session is also terminated.</w:t>
      </w:r>
    </w:p>
    <w:bookmarkEnd w:id="38"/>
    <w:bookmarkStart w:id="39"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p>
    <w:p>
      <w:pPr>
        <w:pStyle w:val="TextBody"/>
      </w:pPr>
      <w:r>
        <w:t xml:space="preserve">The scores are arbitrarily defined to reflect performance in terms of the animal population (</w:t>
      </w:r>
      <w:r>
        <w:t xml:space="preserve">“</w:t>
      </w:r>
      <w:r>
        <w:t xml:space="preserve">animal score,</w:t>
      </w:r>
      <w:r>
        <w:t xml:space="preserve">”</w:t>
      </w:r>
      <w:r>
        <w:t xml:space="preserve"> </w:t>
      </w:r>
      <m:oMath>
        <m:sSub>
          <m:e>
            <m:r>
              <m:t>A</m:t>
            </m:r>
          </m:e>
          <m:sub>
            <m:r>
              <m:t>t</m:t>
            </m:r>
          </m:sub>
        </m:sSub>
      </m:oMath>
      <w:r>
        <w:t xml:space="preserve">) on the one hand, and overall agricultural yield (</w:t>
      </w:r>
      <w:r>
        <w:t xml:space="preserve">“</w:t>
      </w:r>
      <w:r>
        <w:t xml:space="preserve">yield score,</w:t>
      </w:r>
      <w:r>
        <w:t xml:space="preserve">”</w:t>
      </w:r>
      <w:r>
        <w:t xml:space="preserve"> </w:t>
      </w:r>
      <m:oMath>
        <m:sSub>
          <m:e>
            <m:r>
              <m:t>Y</m:t>
            </m:r>
          </m:e>
          <m:sub>
            <m:r>
              <m:t>t</m:t>
            </m:r>
          </m:sub>
        </m:sSub>
      </m:oMath>
      <w:r>
        <w:t xml:space="preserve">) on the other.</w:t>
      </w:r>
      <w:r>
        <w:t xml:space="preserve"> </w:t>
      </w:r>
      <w:r>
        <w:t xml:space="preserve">Both scores can be interpreted as the mean % of the initial (i.e. at time</w:t>
      </w:r>
      <w:r>
        <w:t xml:space="preserve"> </w:t>
      </w:r>
      <m:oMath>
        <m:r>
          <m:t>t</m:t>
        </m:r>
        <m:r>
          <m:rPr>
            <m:sty m:val="p"/>
          </m:rPr>
          <m:t>=</m:t>
        </m:r>
        <m:r>
          <m:t>5</m:t>
        </m:r>
      </m:oMath>
      <w:r>
        <w:t xml:space="preserve">) true size of the animal population</w:t>
      </w:r>
      <w:r>
        <w:t xml:space="preserve"> </w:t>
      </w:r>
      <m:oMath>
        <m:sSub>
          <m:e>
            <m:r>
              <m:t>N</m:t>
            </m:r>
          </m:e>
          <m:sub>
            <m:r>
              <m:t>t</m:t>
            </m:r>
          </m:sub>
        </m:sSub>
      </m:oMath>
      <w:r>
        <w:t xml:space="preserve"> </w:t>
      </w:r>
      <w:r>
        <w:t xml:space="preserve">and landscape yield</w:t>
      </w:r>
      <w:r>
        <w:t xml:space="preserve"> </w:t>
      </w:r>
      <m:oMath>
        <m:sSub>
          <m:e>
            <m:r>
              <m:t>y</m:t>
            </m:r>
          </m:e>
          <m:sub>
            <m:r>
              <m:t>t</m:t>
            </m:r>
          </m:sub>
        </m:sSub>
      </m:oMath>
      <w:r>
        <w:t xml:space="preserve">, with</w:t>
      </w:r>
      <w:r>
        <w:t xml:space="preserve"> </w:t>
      </w:r>
      <m:oMath>
        <m:sSub>
          <m:e>
            <m:r>
              <m:t>y</m:t>
            </m:r>
          </m:e>
          <m:sub>
            <m:r>
              <m:t>t</m:t>
            </m:r>
          </m:sub>
        </m:sSub>
      </m:oMath>
      <w:r>
        <w:t xml:space="preserve"> </w:t>
      </w:r>
      <w:r>
        <w:t xml:space="preserve">calculated as the mean yield over all landscape cells at time</w:t>
      </w:r>
      <w:r>
        <w:t xml:space="preserve"> </w:t>
      </w:r>
      <m:oMath>
        <m:r>
          <m:t>t</m:t>
        </m:r>
      </m:oMath>
      <w:r>
        <w:t xml:space="preserve"> </w:t>
      </w:r>
      <w:r>
        <w:t xml:space="preserve">.</w:t>
      </w:r>
    </w:p>
    <w:p>
      <w:pPr>
        <w:pStyle w:val="TextBody"/>
      </w:pPr>
      <m:oMath>
        <m:sSub>
          <m:e>
            <m:r>
              <m:t>A</m:t>
            </m:r>
          </m:e>
          <m:sub>
            <m:r>
              <m:t>t</m:t>
            </m:r>
          </m:sub>
        </m:sSub>
        <m:r>
          <m:rPr>
            <m:sty m:val="p"/>
          </m:rPr>
          <m:t>=</m:t>
        </m:r>
        <m:d>
          <m:dPr>
            <m:begChr m:val="("/>
            <m:endChr m:val=")"/>
            <m:grow/>
          </m:dPr>
          <m:e>
            <m:r>
              <m:rPr>
                <m:sty m:val="p"/>
              </m:rPr>
              <m:t>∑</m:t>
            </m:r>
            <m:f>
              <m:fPr>
                <m:type m:val="bar"/>
              </m:fPr>
              <m:num>
                <m:sSub>
                  <m:e>
                    <m:r>
                      <m:t>N</m:t>
                    </m:r>
                  </m:e>
                  <m:sub>
                    <m:r>
                      <m:t>t</m:t>
                    </m:r>
                  </m:sub>
                </m:sSub>
              </m:num>
              <m:den>
                <m:sSub>
                  <m:e>
                    <m:r>
                      <m:t>N</m:t>
                    </m:r>
                  </m:e>
                  <m:sub>
                    <m:r>
                      <m:t>t</m:t>
                    </m:r>
                    <m:r>
                      <m:rPr>
                        <m:sty m:val="p"/>
                      </m:rPr>
                      <m:t>=</m:t>
                    </m:r>
                    <m:r>
                      <m:t>5</m:t>
                    </m:r>
                  </m:sub>
                </m:sSub>
                <m:r>
                  <m:rPr>
                    <m:sty m:val="p"/>
                  </m:rPr>
                  <m:t>⋅</m:t>
                </m:r>
                <m:r>
                  <m:t>t</m:t>
                </m:r>
              </m:den>
            </m:f>
          </m:e>
        </m:d>
        <m:r>
          <m:rPr>
            <m:sty m:val="p"/>
          </m:rPr>
          <m:t>⋅</m:t>
        </m:r>
        <m:r>
          <m:t>100</m:t>
        </m:r>
      </m:oMath>
      <w:r>
        <w:t xml:space="preserve"> </w:t>
      </w:r>
      <w:r>
        <w:t xml:space="preserve">and</w:t>
      </w:r>
      <w:r>
        <w:t xml:space="preserve"> </w:t>
      </w:r>
      <m:oMath>
        <m:sSub>
          <m:e>
            <m:r>
              <m:t>S</m:t>
            </m:r>
          </m:e>
          <m:sub>
            <m:r>
              <m:t>t</m:t>
            </m:r>
          </m:sub>
        </m:sSub>
        <m:r>
          <m:rPr>
            <m:sty m:val="p"/>
          </m:rPr>
          <m:t>=</m:t>
        </m:r>
        <m:d>
          <m:dPr>
            <m:begChr m:val="("/>
            <m:endChr m:val=")"/>
            <m:grow/>
          </m:dPr>
          <m:e>
            <m:f>
              <m:fPr>
                <m:type m:val="bar"/>
              </m:fPr>
              <m:num>
                <m:nary>
                  <m:naryPr>
                    <m:chr m:val="∑"/>
                    <m:limLoc m:val="undOvr"/>
                    <m:subHide m:val="0"/>
                    <m:supHide m:val="0"/>
                  </m:naryPr>
                  <m:sub>
                    <m:r>
                      <m:t>t</m:t>
                    </m:r>
                    <m:r>
                      <m:rPr>
                        <m:sty m:val="p"/>
                      </m:rPr>
                      <m:t>=</m:t>
                    </m:r>
                    <m:r>
                      <m:t>5</m:t>
                    </m:r>
                  </m:sub>
                  <m:sup>
                    <m:r>
                      <m:t>T</m:t>
                    </m:r>
                  </m:sup>
                  <m:e>
                    <m:sSub>
                      <m:e>
                        <m:r>
                          <m:t>y</m:t>
                        </m:r>
                      </m:e>
                      <m:sub>
                        <m:r>
                          <m:t>t</m:t>
                        </m:r>
                      </m:sub>
                    </m:sSub>
                  </m:e>
                </m:nary>
              </m:num>
              <m:den>
                <m:r>
                  <m:t>t</m:t>
                </m:r>
              </m:den>
            </m:f>
          </m:e>
        </m:d>
        <m:r>
          <m:rPr>
            <m:sty m:val="p"/>
          </m:rPr>
          <m:t>⋅</m:t>
        </m:r>
        <m:r>
          <m:t>100</m:t>
        </m:r>
      </m:oMath>
      <w:r>
        <w:t xml:space="preserve"> </w:t>
      </w:r>
      <w:r>
        <w:t xml:space="preserve">where</w:t>
      </w:r>
      <w:r>
        <w:t xml:space="preserve"> </w:t>
      </w:r>
      <m:oMath>
        <m:r>
          <m:t>t</m:t>
        </m:r>
        <m:r>
          <m:rPr>
            <m:sty m:val="p"/>
          </m:rPr>
          <m:t>≥</m:t>
        </m:r>
        <m:r>
          <m:t>5</m:t>
        </m:r>
      </m:oMath>
      <w:r>
        <w:t xml:space="preserve"> </w:t>
      </w:r>
      <w:r>
        <w:t xml:space="preserve">and</w:t>
      </w:r>
      <w:r>
        <w:t xml:space="preserve"> </w:t>
      </w:r>
      <m:oMath>
        <m:r>
          <m:t>T</m:t>
        </m:r>
      </m:oMath>
      <w:r>
        <w:t xml:space="preserve"> </w:t>
      </w:r>
      <w:r>
        <w:t xml:space="preserve">the total number of time steps for the game session.</w:t>
      </w:r>
    </w:p>
    <w:p>
      <w:pPr>
        <w:pStyle w:val="TextBody"/>
      </w:pPr>
      <w:r>
        <w:t xml:space="preserve">Both scores are intitialised as</w:t>
      </w:r>
      <w:r>
        <w:t xml:space="preserve"> </w:t>
      </w:r>
      <m:oMath>
        <m:sSub>
          <m:e>
            <m:r>
              <m:t>A</m:t>
            </m:r>
          </m:e>
          <m:sub>
            <m:r>
              <m:t>t</m:t>
            </m:r>
          </m:sub>
        </m:sSub>
        <m:r>
          <m:rPr>
            <m:sty m:val="p"/>
          </m:rPr>
          <m:t>=</m:t>
        </m:r>
        <m:sSub>
          <m:e>
            <m:r>
              <m:t>S</m:t>
            </m:r>
          </m:e>
          <m:sub>
            <m:r>
              <m:t>t</m:t>
            </m:r>
          </m:sub>
        </m:sSub>
        <m:r>
          <m:rPr>
            <m:sty m:val="p"/>
          </m:rPr>
          <m:t>=</m:t>
        </m:r>
        <m:r>
          <m:t>100</m:t>
        </m:r>
      </m:oMath>
      <w:r>
        <w:t xml:space="preserve"> </w:t>
      </w:r>
      <w:r>
        <w:t xml:space="preserve">when the game is first initialised, to ensure score development over a session can be interpreted as a change from that baseline.</w:t>
      </w:r>
    </w:p>
    <w:p>
      <w:pPr>
        <w:pStyle w:val="TextBody"/>
      </w:pPr>
      <w:r>
        <w:t xml:space="preserve">Players can choose to either balance both scores, or score highly on one or the other.</w:t>
      </w:r>
      <w:r>
        <w:t xml:space="preserve"> </w:t>
      </w:r>
      <w:r>
        <w:t xml:space="preserve">They are updated and displayed on each time step, and the final scores are displayed on a score board after the final time step (</w:t>
      </w:r>
      <m:oMath>
        <m:r>
          <m:t>t</m:t>
        </m:r>
        <m:r>
          <m:rPr>
            <m:sty m:val="p"/>
          </m:rPr>
          <m:t>=</m:t>
        </m:r>
        <m:r>
          <m:t>25</m:t>
        </m:r>
      </m:oMath>
      <w:r>
        <w:t xml:space="preserve">, so after 20 time steps played)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39"/>
    <w:bookmarkStart w:id="40"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summarised in</w:t>
      </w:r>
      <w:r>
        <w:t xml:space="preserve"> </w:t>
      </w:r>
      <w:r>
        <w:rPr>
          <w:bCs/>
          <w:b/>
        </w:rPr>
        <w:t xml:space="preserve">Fig X</w:t>
      </w:r>
      <w:r>
        <w:t xml:space="preserve"> </w:t>
      </w:r>
      <w:r>
        <w:t xml:space="preserve">and a full list of parameter values stored and their description is listed in</w:t>
      </w:r>
      <w:r>
        <w:t xml:space="preserve"> </w:t>
      </w:r>
      <w:r>
        <w:rPr>
          <w:bCs/>
          <w:b/>
        </w:rPr>
        <w:t xml:space="preserve">Table X</w:t>
      </w:r>
      <w:r>
        <w:t xml:space="preserve">. The current version of A&amp;F stores only a subset of GMSE parameters (</w:t>
      </w:r>
      <w:r>
        <w:rPr>
          <w:bCs/>
          <w:b/>
        </w:rPr>
        <w:t xml:space="preserve">Table X</w:t>
      </w:r>
      <w:r>
        <w:t xml:space="preserve">); this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p>
      <w:pPr>
        <w:pStyle w:val="TextBody"/>
      </w:pPr>
      <w:r>
        <w:t xml:space="preserve">In summary, six main tables are used to store data (see</w:t>
      </w:r>
      <w:r>
        <w:t xml:space="preserve"> </w:t>
      </w:r>
      <w:r>
        <w:rPr>
          <w:bCs/>
          <w:b/>
        </w:rPr>
        <w:t xml:space="preserve">XXX</w:t>
      </w:r>
      <w:r>
        <w:t xml:space="preserve"> </w:t>
      </w:r>
      <w:r>
        <w:t xml:space="preserve">for a full description).</w:t>
      </w:r>
      <w:r>
        <w:t xml:space="preserve"> </w:t>
      </w:r>
      <w:r>
        <w:t xml:space="preserve">Tables are linked by the unique session ID present in each table.</w:t>
      </w:r>
    </w:p>
    <w:p>
      <w:pPr>
        <w:numPr>
          <w:ilvl w:val="0"/>
          <w:numId w:val="1002"/>
        </w:numPr>
      </w:pPr>
      <w:r>
        <w:rPr>
          <w:rStyle w:val="VerbatimChar"/>
        </w:rPr>
        <w:t xml:space="preserve">run</w:t>
      </w:r>
    </w:p>
    <w:p>
      <w:pPr>
        <w:numPr>
          <w:ilvl w:val="0"/>
          <w:numId w:val="1000"/>
        </w:numPr>
      </w:pPr>
      <w:r>
        <w:t xml:space="preserve">Holding player name, start- and end times for the session and a flag for whether or not the animal population reached extinction or not (single record per session).</w:t>
      </w:r>
    </w:p>
    <w:p>
      <w:pPr>
        <w:numPr>
          <w:ilvl w:val="0"/>
          <w:numId w:val="1002"/>
        </w:numPr>
      </w:pPr>
      <w:r>
        <w:rPr>
          <w:rStyle w:val="VerbatimChar"/>
        </w:rPr>
        <w:t xml:space="preserve">run_par</w:t>
      </w:r>
    </w:p>
    <w:p>
      <w:pPr>
        <w:numPr>
          <w:ilvl w:val="0"/>
          <w:numId w:val="1000"/>
        </w:numPr>
      </w:pPr>
      <w:r>
        <w:t xml:space="preserve">Holding all game parameters for the GMSE simulation for a session.</w:t>
      </w:r>
      <w:r>
        <w:t xml:space="preserve"> </w:t>
      </w:r>
      <w:r>
        <w:t xml:space="preserve">As per section</w:t>
      </w:r>
      <w:r>
        <w:t xml:space="preserve"> </w:t>
      </w:r>
      <w:r>
        <w:rPr>
          <w:bCs/>
          <w:b/>
        </w:rPr>
        <w:t xml:space="preserve">XXX</w:t>
      </w:r>
      <w:r>
        <w:t xml:space="preserve">, in the example application presented here, the majority of these will be constants, with only</w:t>
      </w:r>
      <w:r>
        <w:t xml:space="preserve"> </w:t>
      </w:r>
      <w:r>
        <w:rPr>
          <w:rStyle w:val="VerbatimChar"/>
        </w:rPr>
        <w:t xml:space="preserve">ownership_var</w:t>
      </w:r>
      <w:r>
        <w:t xml:space="preserve"> </w:t>
      </w:r>
      <w:r>
        <w:t xml:space="preserve">and</w:t>
      </w:r>
      <w:r>
        <w:t xml:space="preserve"> </w:t>
      </w:r>
      <w:r>
        <w:rPr>
          <w:rStyle w:val="VerbatimChar"/>
        </w:rPr>
        <w:t xml:space="preserve">remove_pr</w:t>
      </w:r>
      <w:r>
        <w:t xml:space="preserve"> </w:t>
      </w:r>
      <w:r>
        <w:t xml:space="preserve">varying per session.</w:t>
      </w:r>
    </w:p>
    <w:p>
      <w:pPr>
        <w:numPr>
          <w:ilvl w:val="0"/>
          <w:numId w:val="1002"/>
        </w:numPr>
      </w:pPr>
      <w:r>
        <w:rPr>
          <w:rStyle w:val="VerbatimChar"/>
        </w:rPr>
        <w:t xml:space="preserve">scores</w:t>
      </w:r>
    </w:p>
    <w:p>
      <w:pPr>
        <w:numPr>
          <w:ilvl w:val="0"/>
          <w:numId w:val="1000"/>
        </w:numPr>
      </w:pPr>
      <w:r>
        <w:t xml:space="preserve">Holding the number of time steps achieved per session and the animal and yield score.</w:t>
      </w:r>
    </w:p>
    <w:p>
      <w:pPr>
        <w:numPr>
          <w:ilvl w:val="0"/>
          <w:numId w:val="1002"/>
        </w:numPr>
      </w:pPr>
      <w:r>
        <w:rPr>
          <w:rStyle w:val="VerbatimChar"/>
        </w:rPr>
        <w:t xml:space="preserve">gdata</w:t>
      </w:r>
    </w:p>
    <w:p>
      <w:pPr>
        <w:numPr>
          <w:ilvl w:val="0"/>
          <w:numId w:val="1000"/>
        </w:numPr>
      </w:pPr>
      <w:r>
        <w:t xml:space="preserve">A record per time step for each session, recording the true and observed population state, the number of actions of each type taken, and the costs set by the manager (player), as well as the total yield in the environment.</w:t>
      </w:r>
    </w:p>
    <w:p>
      <w:pPr>
        <w:numPr>
          <w:ilvl w:val="0"/>
          <w:numId w:val="1002"/>
        </w:numPr>
      </w:pPr>
      <w:r>
        <w:rPr>
          <w:rStyle w:val="VerbatimChar"/>
        </w:rPr>
        <w:t xml:space="preserve">yield</w:t>
      </w:r>
    </w:p>
    <w:p>
      <w:pPr>
        <w:numPr>
          <w:ilvl w:val="0"/>
          <w:numId w:val="1000"/>
        </w:numPr>
      </w:pPr>
      <w:r>
        <w:t xml:space="preserve">The yield achieved by each farmer in each time step, per session.</w:t>
      </w:r>
    </w:p>
    <w:p>
      <w:pPr>
        <w:pStyle w:val="FirstParagraph"/>
      </w:pPr>
      <w:r>
        <w:t xml:space="preserve">Records in tables</w:t>
      </w:r>
      <w:r>
        <w:t xml:space="preserve"> </w:t>
      </w:r>
      <w:r>
        <w:rPr>
          <w:rStyle w:val="VerbatimChar"/>
        </w:rPr>
        <w:t xml:space="preserve">run</w:t>
      </w:r>
      <w:r>
        <w:t xml:space="preserve">,</w:t>
      </w:r>
      <w:r>
        <w:t xml:space="preserve"> </w:t>
      </w:r>
      <w:r>
        <w:rPr>
          <w:rStyle w:val="VerbatimChar"/>
        </w:rPr>
        <w:t xml:space="preserve">run_par</w:t>
      </w:r>
      <w:r>
        <w:t xml:space="preserve"> </w:t>
      </w:r>
      <w:r>
        <w:t xml:space="preserve">and</w:t>
      </w:r>
      <w:r>
        <w:t xml:space="preserve"> </w:t>
      </w:r>
      <w:r>
        <w:rPr>
          <w:rStyle w:val="VerbatimChar"/>
        </w:rPr>
        <w:t xml:space="preserve">scores</w:t>
      </w:r>
      <w:r>
        <w:t xml:space="preserve"> </w:t>
      </w:r>
      <w:r>
        <w:t xml:space="preserve">are only updated at the start and end of each session, whereas</w:t>
      </w:r>
      <w:r>
        <w:t xml:space="preserve"> </w:t>
      </w:r>
      <w:r>
        <w:rPr>
          <w:rStyle w:val="VerbatimChar"/>
        </w:rPr>
        <w:t xml:space="preserve">gdata</w:t>
      </w:r>
      <w:r>
        <w:t xml:space="preserve"> </w:t>
      </w:r>
      <w:r>
        <w:t xml:space="preserve">and</w:t>
      </w:r>
      <w:r>
        <w:t xml:space="preserve"> </w:t>
      </w:r>
      <w:r>
        <w:rPr>
          <w:rStyle w:val="VerbatimChar"/>
        </w:rPr>
        <w:t xml:space="preserve">yield</w:t>
      </w:r>
      <w:r>
        <w:t xml:space="preserve"> </w:t>
      </w:r>
      <w:r>
        <w:t xml:space="preserve">are the</w:t>
      </w:r>
      <w:r>
        <w:t xml:space="preserve"> </w:t>
      </w:r>
      <w:r>
        <w:t xml:space="preserve">“</w:t>
      </w:r>
      <w:r>
        <w:t xml:space="preserve">live</w:t>
      </w:r>
      <w:r>
        <w:t xml:space="preserve">”</w:t>
      </w:r>
      <w:r>
        <w:t xml:space="preserve"> </w:t>
      </w:r>
      <w:r>
        <w:t xml:space="preserve">tables that are appended to at each time step during a game session.</w:t>
      </w:r>
      <w:r>
        <w:t xml:space="preserve"> </w:t>
      </w:r>
      <w:r>
        <w:t xml:space="preserve">End times are recorded for each session where the player either reaches</w:t>
      </w:r>
      <w:r>
        <w:t xml:space="preserve"> </w:t>
      </w:r>
      <m:oMath>
        <m:r>
          <m:t>t</m:t>
        </m:r>
        <m:r>
          <m:rPr>
            <m:sty m:val="p"/>
          </m:rPr>
          <m:t>=</m:t>
        </m:r>
        <m:r>
          <m:t>25</m:t>
        </m:r>
      </m:oMath>
      <w:r>
        <w:t xml:space="preserve">, manually resets the game during a session, or as the animal population reaches extinction; i.e. when this field remains blank (</w:t>
      </w:r>
      <w:r>
        <w:rPr>
          <w:rStyle w:val="VerbatimChar"/>
        </w:rPr>
        <w:t xml:space="preserve">NULL</w:t>
      </w:r>
      <w:r>
        <w:t xml:space="preserve">), it means that a session was not terminated</w:t>
      </w:r>
      <w:r>
        <w:t xml:space="preserve"> </w:t>
      </w:r>
      <w:r>
        <w:t xml:space="preserve">“</w:t>
      </w:r>
      <w:r>
        <w:t xml:space="preserve">normally,</w:t>
      </w:r>
      <w:r>
        <w:t xml:space="preserve">”</w:t>
      </w:r>
      <w:r>
        <w:t xml:space="preserve"> </w:t>
      </w:r>
      <w:r>
        <w:t xml:space="preserve">i.e. by the browser being closed manually or timing out due to inactivity.</w:t>
      </w:r>
    </w:p>
    <w:bookmarkEnd w:id="40"/>
    <w:bookmarkEnd w:id="41"/>
    <w:bookmarkEnd w:id="42"/>
    <w:bookmarkStart w:id="52" w:name="example-application"/>
    <w:p>
      <w:pPr>
        <w:pStyle w:val="Heading1"/>
      </w:pPr>
      <w:r>
        <w:t xml:space="preserve">Example application</w:t>
      </w:r>
    </w:p>
    <w:bookmarkStart w:id="43"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between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simulation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population, observation or user (farmer) models.</w:t>
      </w:r>
      <w:r>
        <w:t xml:space="preserve"> </w:t>
      </w:r>
      <w:r>
        <w:t xml:space="preserve">For example, a user of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w:t>
      </w:r>
      <w:r>
        <w:t xml:space="preserve"> </w:t>
      </w:r>
      <w:r>
        <w:t xml:space="preserve">Alternatively, by collating large amounts of decision-making data under varying parameter settings as well as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 score).</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directly based on empirical decision-making data has the potential to address these shortcomings.</w:t>
      </w:r>
    </w:p>
    <w:bookmarkEnd w:id="43"/>
    <w:bookmarkStart w:id="46" w:name="example-scenario-method"/>
    <w:p>
      <w:pPr>
        <w:pStyle w:val="Heading2"/>
      </w:pPr>
      <w:r>
        <w:t xml:space="preserve">Example scenario &amp; method</w:t>
      </w:r>
    </w:p>
    <w:bookmarkStart w:id="44" w:name="rationale-methods"/>
    <w:p>
      <w:pPr>
        <w:pStyle w:val="Heading3"/>
      </w:pPr>
      <w:r>
        <w:t xml:space="preserve">Rationale &amp; methods</w:t>
      </w:r>
    </w:p>
    <w:p>
      <w:pPr>
        <w:pStyle w:val="FirstParagraph"/>
      </w:pPr>
      <w:r>
        <w:t xml:space="preserve">We here illustrate one aspect of this potential by collecting decision-making data from a small sample of test players, during a short period.</w:t>
      </w:r>
      <w:r>
        <w:t xml:space="preserve"> </w:t>
      </w:r>
      <w:r>
        <w:t xml:space="preserve">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(stakeholders,</w:t>
      </w:r>
      <w:r>
        <w:t xml:space="preserve"> </w:t>
      </w:r>
      <m:oMath>
        <m:r>
          <m:t>s</m:t>
        </m:r>
      </m:oMath>
      <w:r>
        <w:t xml:space="preserve">).</w:t>
      </w:r>
      <w:r>
        <w:t xml:space="preserve"> </w:t>
      </w:r>
      <w:r>
        <w:t xml:space="preserve">While inequity in land ownership is commonplace and of interest to conservation strategies (</w:t>
      </w:r>
      <w:r>
        <w:rPr>
          <w:bCs/>
          <w:b/>
        </w:rPr>
        <w:t xml:space="preserve">REF</w:t>
      </w:r>
      <w:r>
        <w:t xml:space="preserve">), the current manager decision-making algorithm implemented in GMSE cannot explicitly take the extent of such variation in account.</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w:t>
      </w:r>
      <w:r>
        <w:t xml:space="preserve"> </w:t>
      </w:r>
      <w:r>
        <w:rPr>
          <w:bCs/>
          <w:b/>
        </w:rPr>
        <w:t xml:space="preserve">Fig X</w:t>
      </w:r>
      <w:r>
        <w:t xml:space="preserve">) and one of nine possible values of</w:t>
      </w:r>
      <w:r>
        <w:t xml:space="preserve"> </w:t>
      </w:r>
      <m:oMath>
        <m:r>
          <m:t>s</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Although the landscape ownership distribution is clearly shown to the player throughout the game (</w:t>
      </w:r>
      <w:r>
        <w:rPr>
          <w:bCs/>
          <w:b/>
        </w:rPr>
        <w:t xml:space="preserve">see XX above</w:t>
      </w:r>
      <w:r>
        <w:t xml:space="preserve">),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TextBody"/>
      </w:pPr>
      <w:r>
        <w:t xml:space="preserve">We circulated a link to the game with scenarios configured as above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An accompanying covering letter explained this aim, the background to the work, and a request to respond with any feedback.</w:t>
      </w:r>
      <w:r>
        <w:t xml:space="preserve"> </w:t>
      </w:r>
      <w:r>
        <w:t xml:space="preserve">Note that the data collected here should not be interpreted as comprehensive research on a specific question, and is intended as illustrative only.</w:t>
      </w:r>
    </w:p>
    <w:bookmarkEnd w:id="44"/>
    <w:bookmarkStart w:id="45"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which has to be agreed to by ticking a confirmation tick box, before a new session can be started.</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5"/>
    <w:bookmarkEnd w:id="46"/>
    <w:bookmarkStart w:id="51" w:name="illustrative-results"/>
    <w:p>
      <w:pPr>
        <w:pStyle w:val="Heading2"/>
      </w:pPr>
      <w:r>
        <w:t xml:space="preserve">Illustrative results</w:t>
      </w:r>
    </w:p>
    <w:p>
      <w:pPr>
        <w:pStyle w:val="FirstParagraph"/>
      </w:pPr>
      <w:r>
        <w:t xml:space="preserve">Between 21 July 2021 and 19 August 2021, we collated data on 76 play session by 28 unique players</w:t>
      </w:r>
      <w:r>
        <w:rPr>
          <w:rStyle w:val="FootnoteReference"/>
        </w:rPr>
        <w:footnoteReference w:id="47"/>
      </w:r>
      <w:r>
        <w:t xml:space="preserve">.</w:t>
      </w:r>
      <w:r>
        <w:t xml:space="preserve"> </w:t>
      </w:r>
      <w:r>
        <w:t xml:space="preserve">Sessions lasted 4.5 on average (0.2 - 179.4 minutes).</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stakeholders</w:t>
      </w:r>
      <w:r>
        <w:t xml:space="preserve"> </w:t>
      </w:r>
      <m:oMath>
        <m:r>
          <m:t>s</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3a).</w:t>
      </w:r>
      <w:r>
        <w:t xml:space="preserve"> </w:t>
      </w:r>
      <w:r>
        <w:t xml:space="preserve">Differences in extinction probability with variability in farmer (stakeholder) number was less pronounced (Figure 3b).</w:t>
      </w:r>
    </w:p>
    <w:p>
      <w:pPr>
        <w:pStyle w:val="TextBody"/>
      </w:pPr>
      <w:r>
        <w:t xml:space="preserve">These extinction probabilities were reflected in the animal population trajectories in each parameter scenario.</w:t>
      </w:r>
      <w:r>
        <w:t xml:space="preserve"> </w:t>
      </w:r>
      <w:r>
        <w:t xml:space="preserve">Figure 4 shows trajectories per level of landownership variability, with cases where the population reached extinction highlighted in red.</w:t>
      </w:r>
      <w:r>
        <w:t xml:space="preserve"> </w:t>
      </w:r>
      <w:r>
        <w:t xml:space="preserve">Both higher levels of variablility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5.</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5c vs. 5a-b).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5d-f).</w:t>
      </w:r>
    </w:p>
    <w:p>
      <w:pPr>
        <w:pStyle w:val="CaptionedFigure"/>
      </w:pPr>
      <w:r>
        <w:drawing>
          <wp:inline>
            <wp:extent cx="5943600" cy="2971800"/>
            <wp:effectExtent b="0" l="0" r="0" t="0"/>
            <wp:docPr descr="Figure 3.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4-1.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4.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4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5.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50"/>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5.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1"/>
    <w:bookmarkEnd w:id="52"/>
    <w:bookmarkStart w:id="58"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stressing that we are here specifically referrring to model-games as data-collection tools, as opposed to exclusively as communication- or educational tools.</w:t>
      </w:r>
    </w:p>
    <w:bookmarkStart w:id="53"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provides a suitable modelling framework in which observation uncertainty can be manipulated, with A&amp;F providing the platform to run controlled experiments with real-world stakeholders.</w:t>
      </w:r>
      <w:r>
        <w:t xml:space="preserve"> </w:t>
      </w:r>
      <w:r>
        <w:t xml:space="preserve">This approach could extend to many if not all of the 74 parameters currently controllable by users in GMSE, ranging from variability in demography or behaviour of the natural resource, to user (farmer) behaviour or variability, and wider environmental change or stochasticity.</w:t>
      </w:r>
      <w:r>
        <w:t xml:space="preserve"> </w:t>
      </w:r>
      <w:r>
        <w:t xml:space="preserve">The game interface and player interaction would remain the same, with only the underlying architecture and database back end requiring minor tweaks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represent human decision-making under a wide range of conditions.</w:t>
      </w:r>
      <w:r>
        <w:t xml:space="preserve"> </w:t>
      </w:r>
      <w:r>
        <w:t xml:space="preserve">Such algorithms would potentially reflect a range of subtleties of the decision-making process, e.g. balancing multiple objectives in the presences of e.g. social, financial, and organisational constraints.</w:t>
      </w:r>
      <w:r>
        <w:t xml:space="preserve"> </w:t>
      </w:r>
      <w:r>
        <w:t xml:space="preserve">Algorithms implemented in existing modelling approaches (without reference to empirical data) including GMSE, are very limited in how they can represent such</w:t>
      </w:r>
      <w:r>
        <w:t xml:space="preserve"> </w:t>
      </w:r>
      <w:r>
        <w:t xml:space="preserve">“</w:t>
      </w:r>
      <w:r>
        <w:t xml:space="preserve">non-rational</w:t>
      </w:r>
      <w:r>
        <w:t xml:space="preserve">”</w:t>
      </w:r>
      <w:r>
        <w:t xml:space="preserve"> </w:t>
      </w:r>
      <w:r>
        <w:t xml:space="preserve">decision-making.</w:t>
      </w:r>
    </w:p>
    <w:bookmarkEnd w:id="53"/>
    <w:bookmarkStart w:id="56" w:name="some-limitations-and-potential-solutions"/>
    <w:p>
      <w:pPr>
        <w:pStyle w:val="Heading2"/>
      </w:pPr>
      <w:r>
        <w:t xml:space="preserve">Some limitations and potential solutions</w:t>
      </w:r>
    </w:p>
    <w:bookmarkStart w:id="54" w:name="the-game-is-unrealistic"/>
    <w:p>
      <w:pPr>
        <w:pStyle w:val="Heading3"/>
      </w:pPr>
      <w:r>
        <w:t xml:space="preserve">“</w:t>
      </w:r>
      <w:r>
        <w:t xml:space="preserve">The game is unrealistic</w:t>
      </w:r>
      <w:r>
        <w:t xml:space="preserve">”</w:t>
      </w:r>
    </w:p>
    <w:p>
      <w:pPr>
        <w:pStyle w:val="FirstParagraph"/>
      </w:pPr>
      <w:r>
        <w:t xml:space="preserve">There are clearly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was raised by several trial players, and can be summarised as the game or game play lacking</w:t>
      </w:r>
      <w:r>
        <w:t xml:space="preserve"> </w:t>
      </w:r>
      <w:r>
        <w:t xml:space="preserve">“</w:t>
      </w:r>
      <w:r>
        <w:t xml:space="preserve">realism,</w:t>
      </w:r>
      <w:r>
        <w:t xml:space="preserve">”</w:t>
      </w:r>
      <w:r>
        <w:t xml:space="preserve"> </w:t>
      </w:r>
      <w:r>
        <w:t xml:space="preserve">or crucially, lacking aspects or features or real life, or the player’s experience of the conservation problem (</w:t>
      </w:r>
      <w:r>
        <w:rPr>
          <w:bCs/>
          <w:b/>
        </w:rPr>
        <w:t xml:space="preserve">INSERT QUOTES?</w:t>
      </w:r>
      <w:r>
        <w:t xml:space="preserve">).</w:t>
      </w:r>
      <w:r>
        <w:t xml:space="preserve"> </w:t>
      </w:r>
      <w:r>
        <w:t xml:space="preserve">This may be seen as particularly problematic if such data collected is subsequently used to adjust model parameterisation; i.e. if the game world is not seen as sufficiently realistic, it may be argued that player behaviour cannot be taken as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(at best) biased.</w:t>
      </w:r>
      <w:r>
        <w:t xml:space="preserve"> </w:t>
      </w:r>
      <w:r>
        <w:t xml:space="preserve">While a very important point, it is interesting to note that strictly speaking, this point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true of any model as they are of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user (i.e.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users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4"/>
    <w:bookmarkStart w:id="55"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the sampled decision-making data to be biased, e.g. in terms of players or their motivations.</w:t>
      </w:r>
      <w:r>
        <w:t xml:space="preserve"> </w:t>
      </w:r>
      <w:r>
        <w:t xml:space="preserve">For example, either intentionally or unintentionally, it may be that players are sampled from a limited subset; e.g. all players may have a single professional background such as conservation science, or the nature of the game (framing) may selectively attract a subset of the public.</w:t>
      </w:r>
      <w:r>
        <w:t xml:space="preserve"> </w:t>
      </w:r>
      <w:r>
        <w:t xml:space="preserve">As a consequence, decision-making may not be representative of a wider population of potential players (e.g. more biased towards conservation rather than social objectives).</w:t>
      </w:r>
      <w:r>
        <w:t xml:space="preserve"> </w:t>
      </w:r>
      <w:r>
        <w:t xml:space="preserve">While this is an important potential issue, we argue that such issues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w:t>
      </w:r>
      <w:r>
        <w:rPr>
          <w:bCs/>
          <w:b/>
        </w:rPr>
        <w:t xml:space="preserve">REF Izzy’s game</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e.g. playing to</w:t>
      </w:r>
      <w:r>
        <w:t xml:space="preserve"> </w:t>
      </w:r>
      <w:r>
        <w:t xml:space="preserve">“</w:t>
      </w:r>
      <w:r>
        <w:t xml:space="preserve">win,</w:t>
      </w:r>
      <w:r>
        <w:t xml:space="preserve">”</w:t>
      </w:r>
      <w:r>
        <w:t xml:space="preserve"> </w:t>
      </w:r>
      <w:r>
        <w:t xml:space="preserve">simply maximise a single score, or deliberately attempt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 depending on player motivations.</w:t>
      </w:r>
      <w:r>
        <w:t xml:space="preserve"> </w:t>
      </w:r>
      <w:r>
        <w:t xml:space="preserve">There are a number of ways in which this issue can be addressed.</w:t>
      </w:r>
      <w:r>
        <w:t xml:space="preserve"> </w:t>
      </w:r>
      <w:r>
        <w:t xml:space="preserve">First, in fully implementing this model-game approach, it will be vital to collect player data through pre- or post-game questionnaires, including on e.g. professional background, social- and ecological atttitudes</w:t>
      </w:r>
      <w:r>
        <w:t xml:space="preserve"> </w:t>
      </w:r>
      <w:r>
        <w:t xml:space="preserve">(as in e.g.</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play to maximise any specific objective (</w:t>
      </w:r>
      <w:r>
        <w:rPr>
          <w:bCs/>
          <w:b/>
        </w:rPr>
        <w:t xml:space="preserve">INCLUDE PHRASE ON GAME GOAL IN INTRO SCREENS</w:t>
      </w:r>
      <w:r>
        <w:t xml:space="preserve">).</w:t>
      </w:r>
      <w:r>
        <w:t xml:space="preserve"> </w:t>
      </w:r>
      <w:r>
        <w:t xml:space="preserve">Careful framing of the game (either in open play or in more limited experimental settings) in terms of game objectives, and ensuring that this matches the objective of the particular application, is vital to avoid goal bias.</w:t>
      </w:r>
    </w:p>
    <w:bookmarkEnd w:id="55"/>
    <w:bookmarkEnd w:id="56"/>
    <w:bookmarkStart w:id="57" w:name="concluding-remarks"/>
    <w:p>
      <w:pPr>
        <w:pStyle w:val="Heading2"/>
      </w:pPr>
      <w:r>
        <w:t xml:space="preserve">Concluding remarks</w:t>
      </w:r>
    </w:p>
    <w:p>
      <w:pPr>
        <w:pStyle w:val="FirstParagraph"/>
      </w:pPr>
      <w:r>
        <w:t xml:space="preserve">Provided that the limitations outlined above are taken into account, and the given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we here highlight how this could be extended to provide effective, flexible and powerful tools for data collection.</w:t>
      </w:r>
    </w:p>
    <w:bookmarkEnd w:id="57"/>
    <w:bookmarkEnd w:id="58"/>
    <w:bookmarkStart w:id="60"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five of the trial players for providing specific feedback on which much of the Discussion for this paper was based, and which will form a starting point for future improvements of the model-game approach.</w:t>
      </w:r>
      <w:r>
        <w:t xml:space="preserve"> </w:t>
      </w:r>
    </w:p>
    <w:bookmarkStart w:id="59" w:name="section"/>
    <w:p>
      <w:pPr>
        <w:pStyle w:val="Heading2"/>
      </w:pPr>
    </w:p>
    <w:bookmarkEnd w:id="59"/>
    <w:bookmarkEnd w:id="60"/>
    <w:bookmarkStart w:id="140" w:name="references"/>
    <w:p>
      <w:pPr>
        <w:pStyle w:val="Heading1"/>
      </w:pPr>
      <w:r>
        <w:t xml:space="preserve">References</w:t>
      </w:r>
    </w:p>
    <w:bookmarkStart w:id="139" w:name="refs"/>
    <w:bookmarkStart w:id="62"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1">
        <w:r>
          <w:rPr>
            <w:rStyle w:val="InternetLink"/>
          </w:rPr>
          <w:t xml:space="preserve">https://doi.org/10.1111/ddi.12054</w:t>
        </w:r>
      </w:hyperlink>
      <w:r>
        <w:t xml:space="preserve">.</w:t>
      </w:r>
    </w:p>
    <w:bookmarkEnd w:id="62"/>
    <w:bookmarkStart w:id="64"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3">
        <w:r>
          <w:rPr>
            <w:rStyle w:val="InternetLink"/>
          </w:rPr>
          <w:t xml:space="preserve">https://doi.org/10.1016/B978-0-12-438150-6.50018-2</w:t>
        </w:r>
      </w:hyperlink>
      <w:r>
        <w:t xml:space="preserve">.</w:t>
      </w:r>
    </w:p>
    <w:bookmarkEnd w:id="64"/>
    <w:bookmarkStart w:id="66"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65">
        <w:r>
          <w:rPr>
            <w:rStyle w:val="InternetLink"/>
          </w:rPr>
          <w:t xml:space="preserve">https://doi.org/10.1126/sciadv.1400253</w:t>
        </w:r>
      </w:hyperlink>
      <w:r>
        <w:t xml:space="preserve">.</w:t>
      </w:r>
    </w:p>
    <w:bookmarkEnd w:id="66"/>
    <w:bookmarkStart w:id="68"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67">
        <w:r>
          <w:rPr>
            <w:rStyle w:val="InternetLink"/>
          </w:rPr>
          <w:t xml:space="preserve">https://doi.org/10.1073/pnas.1704949114</w:t>
        </w:r>
      </w:hyperlink>
      <w:r>
        <w:t xml:space="preserve">.</w:t>
      </w:r>
    </w:p>
    <w:bookmarkEnd w:id="68"/>
    <w:bookmarkStart w:id="70"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69">
        <w:r>
          <w:rPr>
            <w:rStyle w:val="InternetLink"/>
          </w:rPr>
          <w:t xml:space="preserve">https://doi.org/10.1111/tops.12267</w:t>
        </w:r>
      </w:hyperlink>
      <w:r>
        <w:t xml:space="preserve">.</w:t>
      </w:r>
    </w:p>
    <w:bookmarkEnd w:id="70"/>
    <w:bookmarkStart w:id="72" w:name="ref-cusack2020"/>
    <w:p>
      <w:pPr>
        <w:pStyle w:val="Bibliography"/>
      </w:pPr>
      <w:r>
        <w:t xml:space="preserve">Cusack, Jeremy, A. Duthie, Jeroen Minderman, Isabel Jones, Rocío Pozo, O.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71">
        <w:r>
          <w:rPr>
            <w:rStyle w:val="InternetLink"/>
          </w:rPr>
          <w:t xml:space="preserve">https://doi.org/10.5751/ES-11552-250213</w:t>
        </w:r>
      </w:hyperlink>
      <w:r>
        <w:t xml:space="preserve">.</w:t>
      </w:r>
    </w:p>
    <w:bookmarkEnd w:id="72"/>
    <w:bookmarkStart w:id="74"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t xml:space="preserve">Edited by Samantha Price.</w:t>
      </w:r>
      <w:r>
        <w:t xml:space="preserve"> </w:t>
      </w:r>
      <w:r>
        <w:rPr>
          <w:iCs/>
          <w:i/>
        </w:rPr>
        <w:t xml:space="preserve">Methods in Ecology and Evolution</w:t>
      </w:r>
      <w:r>
        <w:t xml:space="preserve">, October.</w:t>
      </w:r>
      <w:r>
        <w:t xml:space="preserve"> </w:t>
      </w:r>
      <w:hyperlink r:id="rId73">
        <w:r>
          <w:rPr>
            <w:rStyle w:val="InternetLink"/>
          </w:rPr>
          <w:t xml:space="preserve">https://doi.org/10.1111/2041-210X.13091</w:t>
        </w:r>
      </w:hyperlink>
      <w:r>
        <w:t xml:space="preserve">.</w:t>
      </w:r>
    </w:p>
    <w:bookmarkEnd w:id="74"/>
    <w:bookmarkStart w:id="76"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75">
        <w:r>
          <w:rPr>
            <w:rStyle w:val="InternetLink"/>
          </w:rPr>
          <w:t xml:space="preserve">https://doi.org/10.1111/cobi.13633</w:t>
        </w:r>
      </w:hyperlink>
      <w:r>
        <w:t xml:space="preserve">.</w:t>
      </w:r>
    </w:p>
    <w:bookmarkEnd w:id="76"/>
    <w:bookmarkStart w:id="78"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77">
        <w:r>
          <w:rPr>
            <w:rStyle w:val="InternetLink"/>
          </w:rPr>
          <w:t xml:space="preserve">https://doi.org/10.3389/fpsyg.2019.02846</w:t>
        </w:r>
      </w:hyperlink>
      <w:r>
        <w:t xml:space="preserve">.</w:t>
      </w:r>
    </w:p>
    <w:bookmarkEnd w:id="78"/>
    <w:bookmarkStart w:id="80"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79">
        <w:r>
          <w:rPr>
            <w:rStyle w:val="InternetLink"/>
          </w:rPr>
          <w:t xml:space="preserve">https://doi.org/10.1126/science.1185802</w:t>
        </w:r>
      </w:hyperlink>
      <w:r>
        <w:t xml:space="preserve">.</w:t>
      </w:r>
    </w:p>
    <w:bookmarkEnd w:id="80"/>
    <w:bookmarkStart w:id="82"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81">
        <w:r>
          <w:rPr>
            <w:rStyle w:val="InternetLink"/>
          </w:rPr>
          <w:t xml:space="preserve">https://doi.org/10.14512/gaia.25.4.13</w:t>
        </w:r>
      </w:hyperlink>
      <w:r>
        <w:t xml:space="preserve">.</w:t>
      </w:r>
    </w:p>
    <w:bookmarkEnd w:id="82"/>
    <w:bookmarkStart w:id="84"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83">
        <w:r>
          <w:rPr>
            <w:rStyle w:val="InternetLink"/>
          </w:rPr>
          <w:t xml:space="preserve">https://doi.org/10.1016/j.ecolmodel.2006.04.023</w:t>
        </w:r>
      </w:hyperlink>
      <w:r>
        <w:t xml:space="preserve">.</w:t>
      </w:r>
    </w:p>
    <w:bookmarkEnd w:id="84"/>
    <w:bookmarkStart w:id="86"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85">
        <w:r>
          <w:rPr>
            <w:rStyle w:val="InternetLink"/>
          </w:rPr>
          <w:t xml:space="preserve">https://doi.org/10.1038/s41467-020-17785-2</w:t>
        </w:r>
      </w:hyperlink>
      <w:r>
        <w:t xml:space="preserve">.</w:t>
      </w:r>
    </w:p>
    <w:bookmarkEnd w:id="86"/>
    <w:bookmarkStart w:id="88"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87">
        <w:r>
          <w:rPr>
            <w:rStyle w:val="InternetLink"/>
          </w:rPr>
          <w:t xml:space="preserve">https://doi.org/10.1016/j.envsoft.2016.10.008</w:t>
        </w:r>
      </w:hyperlink>
      <w:r>
        <w:t xml:space="preserve">.</w:t>
      </w:r>
    </w:p>
    <w:bookmarkEnd w:id="88"/>
    <w:bookmarkStart w:id="90"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89">
        <w:r>
          <w:rPr>
            <w:rStyle w:val="InternetLink"/>
          </w:rPr>
          <w:t xml:space="preserve">https://www.ipcc.ch/report/ar6/wg1/</w:t>
        </w:r>
      </w:hyperlink>
      <w:r>
        <w:t xml:space="preserve">.</w:t>
      </w:r>
    </w:p>
    <w:bookmarkEnd w:id="90"/>
    <w:bookmarkStart w:id="92"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91">
        <w:r>
          <w:rPr>
            <w:rStyle w:val="InternetLink"/>
          </w:rPr>
          <w:t xml:space="preserve">https://doi.org/10.1057/ejdr.2011.47</w:t>
        </w:r>
      </w:hyperlink>
      <w:r>
        <w:t xml:space="preserve">.</w:t>
      </w:r>
    </w:p>
    <w:bookmarkEnd w:id="92"/>
    <w:bookmarkStart w:id="94"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93">
        <w:r>
          <w:rPr>
            <w:rStyle w:val="InternetLink"/>
          </w:rPr>
          <w:t xml:space="preserve">https://doi.org/10.1073/pnas.1115898108</w:t>
        </w:r>
      </w:hyperlink>
      <w:r>
        <w:t xml:space="preserve">.</w:t>
      </w:r>
    </w:p>
    <w:bookmarkEnd w:id="94"/>
    <w:bookmarkStart w:id="96"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95">
        <w:r>
          <w:rPr>
            <w:rStyle w:val="InternetLink"/>
          </w:rPr>
          <w:t xml:space="preserve">https://doi.org/10.1007/s11077-016-9250-4</w:t>
        </w:r>
      </w:hyperlink>
      <w:r>
        <w:t xml:space="preserve">.</w:t>
      </w:r>
    </w:p>
    <w:bookmarkEnd w:id="96"/>
    <w:bookmarkStart w:id="98"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97">
        <w:r>
          <w:rPr>
            <w:rStyle w:val="InternetLink"/>
          </w:rPr>
          <w:t xml:space="preserve">https://doi.org/10.1257/jep.21.2.153</w:t>
        </w:r>
      </w:hyperlink>
      <w:r>
        <w:t xml:space="preserve">.</w:t>
      </w:r>
    </w:p>
    <w:bookmarkEnd w:id="98"/>
    <w:bookmarkStart w:id="100"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99">
        <w:r>
          <w:rPr>
            <w:rStyle w:val="InternetLink"/>
          </w:rPr>
          <w:t xml:space="preserve">https://doi.org/10.1038/536143a</w:t>
        </w:r>
      </w:hyperlink>
      <w:r>
        <w:t xml:space="preserve">.</w:t>
      </w:r>
    </w:p>
    <w:bookmarkEnd w:id="100"/>
    <w:bookmarkStart w:id="102"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01">
        <w:r>
          <w:rPr>
            <w:rStyle w:val="InternetLink"/>
          </w:rPr>
          <w:t xml:space="preserve">https://doi.org/10.5751/ES-08416-210338</w:t>
        </w:r>
      </w:hyperlink>
      <w:r>
        <w:t xml:space="preserve">.</w:t>
      </w:r>
    </w:p>
    <w:bookmarkEnd w:id="102"/>
    <w:bookmarkStart w:id="104"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03">
        <w:r>
          <w:rPr>
            <w:rStyle w:val="InternetLink"/>
          </w:rPr>
          <w:t xml:space="preserve">https://doi.org/10.1098/rstb.2011.0175</w:t>
        </w:r>
      </w:hyperlink>
      <w:r>
        <w:t xml:space="preserve">.</w:t>
      </w:r>
    </w:p>
    <w:bookmarkEnd w:id="104"/>
    <w:bookmarkStart w:id="106"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05">
        <w:r>
          <w:rPr>
            <w:rStyle w:val="InternetLink"/>
          </w:rPr>
          <w:t xml:space="preserve">https://doi.org/10.1016/j.ecolmodel.2020.109396</w:t>
        </w:r>
      </w:hyperlink>
      <w:r>
        <w:t xml:space="preserve">.</w:t>
      </w:r>
    </w:p>
    <w:bookmarkEnd w:id="106"/>
    <w:bookmarkStart w:id="108"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07">
        <w:r>
          <w:rPr>
            <w:rStyle w:val="InternetLink"/>
          </w:rPr>
          <w:t xml:space="preserve">https://doi.org/10.1111/1365-2664.12051</w:t>
        </w:r>
      </w:hyperlink>
      <w:r>
        <w:t xml:space="preserve">.</w:t>
      </w:r>
    </w:p>
    <w:bookmarkEnd w:id="108"/>
    <w:bookmarkStart w:id="110"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09">
        <w:r>
          <w:rPr>
            <w:rStyle w:val="InternetLink"/>
          </w:rPr>
          <w:t xml:space="preserve">https://doi.org/10.1038/s41562-020-0885-y</w:t>
        </w:r>
      </w:hyperlink>
      <w:r>
        <w:t xml:space="preserve">.</w:t>
      </w:r>
    </w:p>
    <w:bookmarkEnd w:id="110"/>
    <w:bookmarkStart w:id="112" w:name="ref-rakotonarivo2021a"/>
    <w:p>
      <w:pPr>
        <w:pStyle w:val="Bibliography"/>
      </w:pPr>
      <w:r>
        <w:t xml:space="preserve">Rakotonarivo, Onjamirindra S.,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11">
        <w:r>
          <w:rPr>
            <w:rStyle w:val="InternetLink"/>
          </w:rPr>
          <w:t xml:space="preserve">https://doi.org/10.1002/pan3.10155</w:t>
        </w:r>
      </w:hyperlink>
      <w:r>
        <w:t xml:space="preserve">.</w:t>
      </w:r>
    </w:p>
    <w:bookmarkEnd w:id="112"/>
    <w:bookmarkStart w:id="114" w:name="ref-rakotonarivo2021"/>
    <w:p>
      <w:pPr>
        <w:pStyle w:val="Bibliography"/>
      </w:pPr>
      <w:r>
        <w:t xml:space="preserve">Rakotonarivo,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13">
        <w:r>
          <w:rPr>
            <w:rStyle w:val="InternetLink"/>
          </w:rPr>
          <w:t xml:space="preserve">https://doi.org/10.5751/ES-12306-260208</w:t>
        </w:r>
      </w:hyperlink>
      <w:r>
        <w:t xml:space="preserve">.</w:t>
      </w:r>
    </w:p>
    <w:bookmarkEnd w:id="114"/>
    <w:bookmarkStart w:id="116"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15">
        <w:r>
          <w:rPr>
            <w:rStyle w:val="InternetLink"/>
          </w:rPr>
          <w:t xml:space="preserve">https://doi.org/10.1016/j.tree.2018.03.005</w:t>
        </w:r>
      </w:hyperlink>
      <w:r>
        <w:t xml:space="preserve">.</w:t>
      </w:r>
    </w:p>
    <w:bookmarkEnd w:id="116"/>
    <w:bookmarkStart w:id="118"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17">
        <w:r>
          <w:rPr>
            <w:rStyle w:val="InternetLink"/>
          </w:rPr>
          <w:t xml:space="preserve">https://doi.org/10.1111/conl.12113</w:t>
        </w:r>
      </w:hyperlink>
      <w:r>
        <w:t xml:space="preserve">.</w:t>
      </w:r>
    </w:p>
    <w:bookmarkEnd w:id="118"/>
    <w:bookmarkStart w:id="120"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19">
        <w:r>
          <w:rPr>
            <w:rStyle w:val="InternetLink"/>
          </w:rPr>
          <w:t xml:space="preserve">https://doi.org/10.1111/j.1939-7445.2011.00108.x</w:t>
        </w:r>
      </w:hyperlink>
      <w:r>
        <w:t xml:space="preserve">.</w:t>
      </w:r>
    </w:p>
    <w:bookmarkEnd w:id="120"/>
    <w:bookmarkStart w:id="122"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21">
        <w:r>
          <w:rPr>
            <w:rStyle w:val="InternetLink"/>
          </w:rPr>
          <w:t xml:space="preserve">https://doi.org/10.1016/j.ecolmodel.2019.108784</w:t>
        </w:r>
      </w:hyperlink>
      <w:r>
        <w:t xml:space="preserve">.</w:t>
      </w:r>
    </w:p>
    <w:bookmarkEnd w:id="122"/>
    <w:bookmarkStart w:id="124"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23">
        <w:r>
          <w:rPr>
            <w:rStyle w:val="InternetLink"/>
          </w:rPr>
          <w:t xml:space="preserve">https://doi.org/10.1109/TG.2018.2867743</w:t>
        </w:r>
      </w:hyperlink>
      <w:r>
        <w:t xml:space="preserve">.</w:t>
      </w:r>
    </w:p>
    <w:bookmarkEnd w:id="124"/>
    <w:bookmarkStart w:id="126"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25">
        <w:r>
          <w:rPr>
            <w:rStyle w:val="InternetLink"/>
          </w:rPr>
          <w:t xml:space="preserve">https://doi.org/10.1038/nbt.4225</w:t>
        </w:r>
      </w:hyperlink>
      <w:r>
        <w:t xml:space="preserve">.</w:t>
      </w:r>
    </w:p>
    <w:bookmarkEnd w:id="126"/>
    <w:bookmarkStart w:id="128"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27">
        <w:r>
          <w:rPr>
            <w:rStyle w:val="InternetLink"/>
          </w:rPr>
          <w:t xml:space="preserve">https://doi.org/10.7717/peerj.4509</w:t>
        </w:r>
      </w:hyperlink>
      <w:r>
        <w:t xml:space="preserve">.</w:t>
      </w:r>
    </w:p>
    <w:bookmarkEnd w:id="128"/>
    <w:bookmarkStart w:id="130"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29">
        <w:r>
          <w:rPr>
            <w:rStyle w:val="InternetLink"/>
          </w:rPr>
          <w:t xml:space="preserve">https://doi.org/10.3389/fmars.2021.645408</w:t>
        </w:r>
      </w:hyperlink>
      <w:r>
        <w:t xml:space="preserve">.</w:t>
      </w:r>
    </w:p>
    <w:bookmarkEnd w:id="130"/>
    <w:bookmarkStart w:id="132"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31">
        <w:r>
          <w:rPr>
            <w:rStyle w:val="InternetLink"/>
          </w:rPr>
          <w:t xml:space="preserve">https://doi.org/10.5751/ES-08139-210139</w:t>
        </w:r>
      </w:hyperlink>
      <w:r>
        <w:t xml:space="preserve">.</w:t>
      </w:r>
    </w:p>
    <w:bookmarkEnd w:id="132"/>
    <w:bookmarkStart w:id="134"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33">
        <w:r>
          <w:rPr>
            <w:rStyle w:val="InternetLink"/>
          </w:rPr>
          <w:t xml:space="preserve">https://doi.org/10.1002/pan3.10207</w:t>
        </w:r>
      </w:hyperlink>
      <w:r>
        <w:t xml:space="preserve">.</w:t>
      </w:r>
    </w:p>
    <w:bookmarkEnd w:id="134"/>
    <w:bookmarkStart w:id="136"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35">
        <w:r>
          <w:rPr>
            <w:rStyle w:val="InternetLink"/>
          </w:rPr>
          <w:t xml:space="preserve">https://doi.org/10.1021/acs.est.6b05296</w:t>
        </w:r>
      </w:hyperlink>
      <w:r>
        <w:t xml:space="preserve">.</w:t>
      </w:r>
    </w:p>
    <w:bookmarkEnd w:id="136"/>
    <w:bookmarkStart w:id="138"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37">
        <w:r>
          <w:rPr>
            <w:rStyle w:val="InternetLink"/>
          </w:rPr>
          <w:t xml:space="preserve">https://doi.org/10.1016/j.envsoft.2017.09.012</w:t>
        </w:r>
      </w:hyperlink>
      <w:r>
        <w:t xml:space="preserve">.</w:t>
      </w:r>
    </w:p>
    <w:bookmarkEnd w:id="138"/>
    <w:bookmarkEnd w:id="139"/>
    <w:bookmarkEnd w:id="140"/>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Note that there are of course limitations to this, and that data on decisions made would only be relevant to the context of the game (i.e. internally valid in the game context).</w:t>
      </w:r>
      <w:r>
        <w:t xml:space="preserve"> </w:t>
      </w:r>
      <w:r>
        <w:t xml:space="preserve">Wider external validity depends on a number of factors; we discuss limitations in more detail below.</w:t>
      </w:r>
    </w:p>
  </w:footnote>
  <w:footnote w:id="36">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7">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r>
        <w:t xml:space="preserve"> </w:t>
      </w:r>
      <w:r>
        <w:t xml:space="preserve">See</w:t>
      </w:r>
      <w:r>
        <w:t xml:space="preserve"> </w:t>
      </w:r>
      <w:r>
        <w:rPr>
          <w:bCs/>
          <w:b/>
        </w:rPr>
        <w:t xml:space="preserve">XXX</w:t>
      </w:r>
      <w:r>
        <w:t xml:space="preserve">.</w:t>
      </w:r>
    </w:p>
  </w:footnote>
  <w:footnote w:id="47">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4" Target="media/rId24.jpg" /><Relationship Type="http://schemas.openxmlformats.org/officeDocument/2006/relationships/image" Id="rId35" Target="media/rId35.jp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28" Target="%5B%60https://github.com/ConFooBio/gmse/blob/0e8aab2fb325421915a7c3615820812e45f42a74/R/gmse_apply_control.R#L368%60%5D(https://github.com/ConFooBio/gmse/blob/0e8aab2fb325421915a7c3615820812e45f42a74/R/gmse_apply_control.R#L368)" TargetMode="External" /><Relationship Type="http://schemas.openxmlformats.org/officeDocument/2006/relationships/hyperlink" Id="rId31" Target="https://CRAN.R-project.org/package=shiny" TargetMode="External" /><Relationship Type="http://schemas.openxmlformats.org/officeDocument/2006/relationships/hyperlink" Id="rId33" Target="https://CRAN.R-project.org/package=shinyBS" TargetMode="External" /><Relationship Type="http://schemas.openxmlformats.org/officeDocument/2006/relationships/hyperlink" Id="rId32" Target="https://CRAN.R-project.org/package=shinyjs" TargetMode="External" /><Relationship Type="http://schemas.openxmlformats.org/officeDocument/2006/relationships/hyperlink" Id="rId34" Target="https://CRAN.R-project.org/package=waiter" TargetMode="External" /><Relationship Type="http://schemas.openxmlformats.org/officeDocument/2006/relationships/hyperlink" Id="rId111" Target="https://doi.org/10.1002/pan3.10155" TargetMode="External" /><Relationship Type="http://schemas.openxmlformats.org/officeDocument/2006/relationships/hyperlink" Id="rId133" Target="https://doi.org/10.1002/pan3.10207" TargetMode="External" /><Relationship Type="http://schemas.openxmlformats.org/officeDocument/2006/relationships/hyperlink" Id="rId95" Target="https://doi.org/10.1007/s11077-016-9250-4" TargetMode="External" /><Relationship Type="http://schemas.openxmlformats.org/officeDocument/2006/relationships/hyperlink" Id="rId63" Target="https://doi.org/10.1016/B978-0-12-438150-6.50018-2" TargetMode="External" /><Relationship Type="http://schemas.openxmlformats.org/officeDocument/2006/relationships/hyperlink" Id="rId83" Target="https://doi.org/10.1016/j.ecolmodel.2006.04.023" TargetMode="External" /><Relationship Type="http://schemas.openxmlformats.org/officeDocument/2006/relationships/hyperlink" Id="rId121" Target="https://doi.org/10.1016/j.ecolmodel.2019.108784" TargetMode="External" /><Relationship Type="http://schemas.openxmlformats.org/officeDocument/2006/relationships/hyperlink" Id="rId105" Target="https://doi.org/10.1016/j.ecolmodel.2020.109396" TargetMode="External" /><Relationship Type="http://schemas.openxmlformats.org/officeDocument/2006/relationships/hyperlink" Id="rId87" Target="https://doi.org/10.1016/j.envsoft.2016.10.008" TargetMode="External" /><Relationship Type="http://schemas.openxmlformats.org/officeDocument/2006/relationships/hyperlink" Id="rId137" Target="https://doi.org/10.1016/j.envsoft.2017.09.012" TargetMode="External" /><Relationship Type="http://schemas.openxmlformats.org/officeDocument/2006/relationships/hyperlink" Id="rId115" Target="https://doi.org/10.1016/j.tree.2018.03.005" TargetMode="External" /><Relationship Type="http://schemas.openxmlformats.org/officeDocument/2006/relationships/hyperlink" Id="rId135" Target="https://doi.org/10.1021/acs.est.6b05296" TargetMode="External" /><Relationship Type="http://schemas.openxmlformats.org/officeDocument/2006/relationships/hyperlink" Id="rId99" Target="https://doi.org/10.1038/536143a" TargetMode="External" /><Relationship Type="http://schemas.openxmlformats.org/officeDocument/2006/relationships/hyperlink" Id="rId125" Target="https://doi.org/10.1038/nbt.4225" TargetMode="External" /><Relationship Type="http://schemas.openxmlformats.org/officeDocument/2006/relationships/hyperlink" Id="rId85" Target="https://doi.org/10.1038/s41467-020-17785-2" TargetMode="External" /><Relationship Type="http://schemas.openxmlformats.org/officeDocument/2006/relationships/hyperlink" Id="rId109" Target="https://doi.org/10.1038/s41562-020-0885-y" TargetMode="External" /><Relationship Type="http://schemas.openxmlformats.org/officeDocument/2006/relationships/hyperlink" Id="rId91" Target="https://doi.org/10.1057/ejdr.2011.47" TargetMode="External" /><Relationship Type="http://schemas.openxmlformats.org/officeDocument/2006/relationships/hyperlink" Id="rId93" Target="https://doi.org/10.1073/pnas.1115898108" TargetMode="External" /><Relationship Type="http://schemas.openxmlformats.org/officeDocument/2006/relationships/hyperlink" Id="rId67" Target="https://doi.org/10.1073/pnas.1704949114" TargetMode="External" /><Relationship Type="http://schemas.openxmlformats.org/officeDocument/2006/relationships/hyperlink" Id="rId103" Target="https://doi.org/10.1098/rstb.2011.0175" TargetMode="External" /><Relationship Type="http://schemas.openxmlformats.org/officeDocument/2006/relationships/hyperlink" Id="rId123" Target="https://doi.org/10.1109/TG.2018.2867743" TargetMode="External" /><Relationship Type="http://schemas.openxmlformats.org/officeDocument/2006/relationships/hyperlink" Id="rId107" Target="https://doi.org/10.1111/1365-2664.12051" TargetMode="External" /><Relationship Type="http://schemas.openxmlformats.org/officeDocument/2006/relationships/hyperlink" Id="rId73" Target="https://doi.org/10.1111/2041-210X.13091" TargetMode="External" /><Relationship Type="http://schemas.openxmlformats.org/officeDocument/2006/relationships/hyperlink" Id="rId75" Target="https://doi.org/10.1111/cobi.13633" TargetMode="External" /><Relationship Type="http://schemas.openxmlformats.org/officeDocument/2006/relationships/hyperlink" Id="rId117" Target="https://doi.org/10.1111/conl.12113" TargetMode="External" /><Relationship Type="http://schemas.openxmlformats.org/officeDocument/2006/relationships/hyperlink" Id="rId61" Target="https://doi.org/10.1111/ddi.12054" TargetMode="External" /><Relationship Type="http://schemas.openxmlformats.org/officeDocument/2006/relationships/hyperlink" Id="rId119" Target="https://doi.org/10.1111/j.1939-7445.2011.00108.x" TargetMode="External" /><Relationship Type="http://schemas.openxmlformats.org/officeDocument/2006/relationships/hyperlink" Id="rId69" Target="https://doi.org/10.1111/tops.12267" TargetMode="External" /><Relationship Type="http://schemas.openxmlformats.org/officeDocument/2006/relationships/hyperlink" Id="rId65" Target="https://doi.org/10.1126/sciadv.1400253" TargetMode="External" /><Relationship Type="http://schemas.openxmlformats.org/officeDocument/2006/relationships/hyperlink" Id="rId79" Target="https://doi.org/10.1126/science.1185802" TargetMode="External" /><Relationship Type="http://schemas.openxmlformats.org/officeDocument/2006/relationships/hyperlink" Id="rId97" Target="https://doi.org/10.1257/jep.21.2.153" TargetMode="External" /><Relationship Type="http://schemas.openxmlformats.org/officeDocument/2006/relationships/hyperlink" Id="rId81" Target="https://doi.org/10.14512/gaia.25.4.13" TargetMode="External" /><Relationship Type="http://schemas.openxmlformats.org/officeDocument/2006/relationships/hyperlink" Id="rId129" Target="https://doi.org/10.3389/fmars.2021.645408" TargetMode="External" /><Relationship Type="http://schemas.openxmlformats.org/officeDocument/2006/relationships/hyperlink" Id="rId77" Target="https://doi.org/10.3389/fpsyg.2019.02846" TargetMode="External" /><Relationship Type="http://schemas.openxmlformats.org/officeDocument/2006/relationships/hyperlink" Id="rId131" Target="https://doi.org/10.5751/ES-08139-210139" TargetMode="External" /><Relationship Type="http://schemas.openxmlformats.org/officeDocument/2006/relationships/hyperlink" Id="rId101" Target="https://doi.org/10.5751/ES-08416-210338" TargetMode="External" /><Relationship Type="http://schemas.openxmlformats.org/officeDocument/2006/relationships/hyperlink" Id="rId71" Target="https://doi.org/10.5751/ES-11552-250213" TargetMode="External" /><Relationship Type="http://schemas.openxmlformats.org/officeDocument/2006/relationships/hyperlink" Id="rId113" Target="https://doi.org/10.5751/ES-12306-260208" TargetMode="External" /><Relationship Type="http://schemas.openxmlformats.org/officeDocument/2006/relationships/hyperlink" Id="rId127" Target="https://doi.org/10.7717/peerj.4509" TargetMode="External" /><Relationship Type="http://schemas.openxmlformats.org/officeDocument/2006/relationships/hyperlink" Id="rId29" Target="https://github.com/ConFooBio/gmse/blob/0e8aab2fb325421915a7c3615820812e45f42a74/R/gmse_apply_control.R#L146" TargetMode="External" /><Relationship Type="http://schemas.openxmlformats.org/officeDocument/2006/relationships/hyperlink" Id="rId27" Target="https://github.com/ConFooBio/gmse/tree/man_control" TargetMode="External" /><Relationship Type="http://schemas.openxmlformats.org/officeDocument/2006/relationships/hyperlink" Id="rId23" Target="https://ochil-ds.co.uk/animalnfarm/" TargetMode="External" /><Relationship Type="http://schemas.openxmlformats.org/officeDocument/2006/relationships/hyperlink" Id="rId89"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28" Target="%5B%60https://github.com/ConFooBio/gmse/blob/0e8aab2fb325421915a7c3615820812e45f42a74/R/gmse_apply_control.R#L368%60%5D(https://github.com/ConFooBio/gmse/blob/0e8aab2fb325421915a7c3615820812e45f42a74/R/gmse_apply_control.R#L368)" TargetMode="External" /><Relationship Type="http://schemas.openxmlformats.org/officeDocument/2006/relationships/hyperlink" Id="rId31" Target="https://CRAN.R-project.org/package=shiny" TargetMode="External" /><Relationship Type="http://schemas.openxmlformats.org/officeDocument/2006/relationships/hyperlink" Id="rId33" Target="https://CRAN.R-project.org/package=shinyBS" TargetMode="External" /><Relationship Type="http://schemas.openxmlformats.org/officeDocument/2006/relationships/hyperlink" Id="rId32" Target="https://CRAN.R-project.org/package=shinyjs" TargetMode="External" /><Relationship Type="http://schemas.openxmlformats.org/officeDocument/2006/relationships/hyperlink" Id="rId34" Target="https://CRAN.R-project.org/package=waiter" TargetMode="External" /><Relationship Type="http://schemas.openxmlformats.org/officeDocument/2006/relationships/hyperlink" Id="rId111" Target="https://doi.org/10.1002/pan3.10155" TargetMode="External" /><Relationship Type="http://schemas.openxmlformats.org/officeDocument/2006/relationships/hyperlink" Id="rId133" Target="https://doi.org/10.1002/pan3.10207" TargetMode="External" /><Relationship Type="http://schemas.openxmlformats.org/officeDocument/2006/relationships/hyperlink" Id="rId95" Target="https://doi.org/10.1007/s11077-016-9250-4" TargetMode="External" /><Relationship Type="http://schemas.openxmlformats.org/officeDocument/2006/relationships/hyperlink" Id="rId63" Target="https://doi.org/10.1016/B978-0-12-438150-6.50018-2" TargetMode="External" /><Relationship Type="http://schemas.openxmlformats.org/officeDocument/2006/relationships/hyperlink" Id="rId83" Target="https://doi.org/10.1016/j.ecolmodel.2006.04.023" TargetMode="External" /><Relationship Type="http://schemas.openxmlformats.org/officeDocument/2006/relationships/hyperlink" Id="rId121" Target="https://doi.org/10.1016/j.ecolmodel.2019.108784" TargetMode="External" /><Relationship Type="http://schemas.openxmlformats.org/officeDocument/2006/relationships/hyperlink" Id="rId105" Target="https://doi.org/10.1016/j.ecolmodel.2020.109396" TargetMode="External" /><Relationship Type="http://schemas.openxmlformats.org/officeDocument/2006/relationships/hyperlink" Id="rId87" Target="https://doi.org/10.1016/j.envsoft.2016.10.008" TargetMode="External" /><Relationship Type="http://schemas.openxmlformats.org/officeDocument/2006/relationships/hyperlink" Id="rId137" Target="https://doi.org/10.1016/j.envsoft.2017.09.012" TargetMode="External" /><Relationship Type="http://schemas.openxmlformats.org/officeDocument/2006/relationships/hyperlink" Id="rId115" Target="https://doi.org/10.1016/j.tree.2018.03.005" TargetMode="External" /><Relationship Type="http://schemas.openxmlformats.org/officeDocument/2006/relationships/hyperlink" Id="rId135" Target="https://doi.org/10.1021/acs.est.6b05296" TargetMode="External" /><Relationship Type="http://schemas.openxmlformats.org/officeDocument/2006/relationships/hyperlink" Id="rId99" Target="https://doi.org/10.1038/536143a" TargetMode="External" /><Relationship Type="http://schemas.openxmlformats.org/officeDocument/2006/relationships/hyperlink" Id="rId125" Target="https://doi.org/10.1038/nbt.4225" TargetMode="External" /><Relationship Type="http://schemas.openxmlformats.org/officeDocument/2006/relationships/hyperlink" Id="rId85" Target="https://doi.org/10.1038/s41467-020-17785-2" TargetMode="External" /><Relationship Type="http://schemas.openxmlformats.org/officeDocument/2006/relationships/hyperlink" Id="rId109" Target="https://doi.org/10.1038/s41562-020-0885-y" TargetMode="External" /><Relationship Type="http://schemas.openxmlformats.org/officeDocument/2006/relationships/hyperlink" Id="rId91" Target="https://doi.org/10.1057/ejdr.2011.47" TargetMode="External" /><Relationship Type="http://schemas.openxmlformats.org/officeDocument/2006/relationships/hyperlink" Id="rId93" Target="https://doi.org/10.1073/pnas.1115898108" TargetMode="External" /><Relationship Type="http://schemas.openxmlformats.org/officeDocument/2006/relationships/hyperlink" Id="rId67" Target="https://doi.org/10.1073/pnas.1704949114" TargetMode="External" /><Relationship Type="http://schemas.openxmlformats.org/officeDocument/2006/relationships/hyperlink" Id="rId103" Target="https://doi.org/10.1098/rstb.2011.0175" TargetMode="External" /><Relationship Type="http://schemas.openxmlformats.org/officeDocument/2006/relationships/hyperlink" Id="rId123" Target="https://doi.org/10.1109/TG.2018.2867743" TargetMode="External" /><Relationship Type="http://schemas.openxmlformats.org/officeDocument/2006/relationships/hyperlink" Id="rId107" Target="https://doi.org/10.1111/1365-2664.12051" TargetMode="External" /><Relationship Type="http://schemas.openxmlformats.org/officeDocument/2006/relationships/hyperlink" Id="rId73" Target="https://doi.org/10.1111/2041-210X.13091" TargetMode="External" /><Relationship Type="http://schemas.openxmlformats.org/officeDocument/2006/relationships/hyperlink" Id="rId75" Target="https://doi.org/10.1111/cobi.13633" TargetMode="External" /><Relationship Type="http://schemas.openxmlformats.org/officeDocument/2006/relationships/hyperlink" Id="rId117" Target="https://doi.org/10.1111/conl.12113" TargetMode="External" /><Relationship Type="http://schemas.openxmlformats.org/officeDocument/2006/relationships/hyperlink" Id="rId61" Target="https://doi.org/10.1111/ddi.12054" TargetMode="External" /><Relationship Type="http://schemas.openxmlformats.org/officeDocument/2006/relationships/hyperlink" Id="rId119" Target="https://doi.org/10.1111/j.1939-7445.2011.00108.x" TargetMode="External" /><Relationship Type="http://schemas.openxmlformats.org/officeDocument/2006/relationships/hyperlink" Id="rId69" Target="https://doi.org/10.1111/tops.12267" TargetMode="External" /><Relationship Type="http://schemas.openxmlformats.org/officeDocument/2006/relationships/hyperlink" Id="rId65" Target="https://doi.org/10.1126/sciadv.1400253" TargetMode="External" /><Relationship Type="http://schemas.openxmlformats.org/officeDocument/2006/relationships/hyperlink" Id="rId79" Target="https://doi.org/10.1126/science.1185802" TargetMode="External" /><Relationship Type="http://schemas.openxmlformats.org/officeDocument/2006/relationships/hyperlink" Id="rId97" Target="https://doi.org/10.1257/jep.21.2.153" TargetMode="External" /><Relationship Type="http://schemas.openxmlformats.org/officeDocument/2006/relationships/hyperlink" Id="rId81" Target="https://doi.org/10.14512/gaia.25.4.13" TargetMode="External" /><Relationship Type="http://schemas.openxmlformats.org/officeDocument/2006/relationships/hyperlink" Id="rId129" Target="https://doi.org/10.3389/fmars.2021.645408" TargetMode="External" /><Relationship Type="http://schemas.openxmlformats.org/officeDocument/2006/relationships/hyperlink" Id="rId77" Target="https://doi.org/10.3389/fpsyg.2019.02846" TargetMode="External" /><Relationship Type="http://schemas.openxmlformats.org/officeDocument/2006/relationships/hyperlink" Id="rId131" Target="https://doi.org/10.5751/ES-08139-210139" TargetMode="External" /><Relationship Type="http://schemas.openxmlformats.org/officeDocument/2006/relationships/hyperlink" Id="rId101" Target="https://doi.org/10.5751/ES-08416-210338" TargetMode="External" /><Relationship Type="http://schemas.openxmlformats.org/officeDocument/2006/relationships/hyperlink" Id="rId71" Target="https://doi.org/10.5751/ES-11552-250213" TargetMode="External" /><Relationship Type="http://schemas.openxmlformats.org/officeDocument/2006/relationships/hyperlink" Id="rId113" Target="https://doi.org/10.5751/ES-12306-260208" TargetMode="External" /><Relationship Type="http://schemas.openxmlformats.org/officeDocument/2006/relationships/hyperlink" Id="rId127" Target="https://doi.org/10.7717/peerj.4509" TargetMode="External" /><Relationship Type="http://schemas.openxmlformats.org/officeDocument/2006/relationships/hyperlink" Id="rId29" Target="https://github.com/ConFooBio/gmse/blob/0e8aab2fb325421915a7c3615820812e45f42a74/R/gmse_apply_control.R#L146" TargetMode="External" /><Relationship Type="http://schemas.openxmlformats.org/officeDocument/2006/relationships/hyperlink" Id="rId27" Target="https://github.com/ConFooBio/gmse/tree/man_control" TargetMode="External" /><Relationship Type="http://schemas.openxmlformats.org/officeDocument/2006/relationships/hyperlink" Id="rId23" Target="https://ochil-ds.co.uk/animalnfarm/" TargetMode="External" /><Relationship Type="http://schemas.openxmlformats.org/officeDocument/2006/relationships/hyperlink" Id="rId89"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2021-08-26T14:43:54Z</dcterms:created>
  <dcterms:modified xsi:type="dcterms:W3CDTF">2021-08-26T14:43:54Z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True</vt:lpwstr>
  </property>
  <property fmtid="{D5CDD505-2E9C-101B-9397-08002B2CF9AE}" pid="4" name="number-sections">
    <vt:lpwstr>True</vt:lpwstr>
  </property>
  <property fmtid="{D5CDD505-2E9C-101B-9397-08002B2CF9AE}" pid="5" name="output">
    <vt:lpwstr/>
  </property>
</Properties>
</file>