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jpg" ContentType="image/jpeg"/>
  <Override PartName="/word/media/rId37.jpg" ContentType="image/jpeg"/>
  <Override PartName="/word/media/rId46.jpg" ContentType="image/jpeg"/>
  <Override PartName="/word/media/rId51.png" ContentType="image/png"/>
  <Override PartName="/word/media/rId52.png" ContentType="image/png"/>
  <Override PartName="/word/media/rId53.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p>
      <w:pPr>
        <w:pStyle w:val="FirstParagraph"/>
      </w:pPr>
      <w:r>
        <w:t xml:space="preserve">Jeroen Minderman, A. Bradley Duthie, Isabel L. Jones, Laura Thomas-Walters, Adrian Bach, Matthew Nuttall &amp; Nils Bunnefeld</w:t>
      </w:r>
    </w:p>
    <w:p>
      <w:pPr>
        <w:pStyle w:val="TextBody"/>
      </w:pPr>
      <w:r>
        <w:rPr>
          <w:iCs/>
          <w:i/>
        </w:rPr>
        <w:t xml:space="preserve">Biological &amp; Environmental Sciences, University of Stirling, Stirling, FK9 4LA, UK</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modelling complexity increases, making them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(Generalised Management Strategy Evaluation,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3" w:name="introduction"/>
    <w:p>
      <w:pPr>
        <w:pStyle w:val="Heading1"/>
      </w:pPr>
      <w:r>
        <w:t xml:space="preserve">Introduction</w:t>
      </w:r>
    </w:p>
    <w:p>
      <w:pPr>
        <w:pStyle w:val="FirstParagraph"/>
      </w:pPr>
      <w:r>
        <w:t xml:space="preserve">In recent years, the use and application of models</w:t>
      </w:r>
      <w:r>
        <w:rPr>
          <w:rStyle w:val="FootnoteReference"/>
        </w:rPr>
        <w:footnoteReference w:id="21"/>
      </w:r>
      <w:r>
        <w:t xml:space="preserve"> </w:t>
      </w:r>
      <w:r>
        <w:t xml:space="preserve">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accurately predicting future changes is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it is on understanding resource dynamics themselves.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Price 2018</w:t>
        </w:r>
      </w:hyperlink>
      <w:r>
        <w:t xml:space="preserve">)</w:t>
      </w:r>
      <w:r>
        <w:t xml:space="preserve"> </w:t>
      </w:r>
      <w:r>
        <w:t xml:space="preserve">to assess the effect of lobbying on species extinction risk.</w:t>
      </w:r>
      <w:r>
        <w:t xml:space="preserve"> </w:t>
      </w:r>
      <w:r>
        <w:t xml:space="preserve">Although such efforts represent significant progress in modelling complex socio-ecological systems, their increased complexity poses two interlinked challenges.</w:t>
      </w:r>
      <w:r>
        <w:t xml:space="preserve"> </w:t>
      </w:r>
      <w:r>
        <w:t xml:space="preserve">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of resource use in socio-ecological systems, as they are often specifically intended for use by managers or stakeholders who may not have the required technical expertise.</w:t>
      </w:r>
      <w:r>
        <w:t xml:space="preserve"> </w:t>
      </w:r>
      <w:r>
        <w:t xml:space="preserve">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frequently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w:t>
      </w:r>
      <w:r>
        <w:t xml:space="preserve"> </w:t>
      </w:r>
      <w:r>
        <w:t xml:space="preserve">Not only may this lead to limited predictive power, but stakeholders may also be unwilling to accept model results that they perceive as lacking an empirical basis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with recent work starting to leverage online and video games</w:t>
      </w:r>
      <w:r>
        <w:t xml:space="preserve"> </w:t>
      </w:r>
      <w:r>
        <w:t xml:space="preserve">(</w:t>
      </w:r>
      <w:hyperlink w:anchor="ref-oultram2013">
        <w:r>
          <w:rPr>
            <w:rStyle w:val="InternetLink"/>
          </w:rPr>
          <w:t xml:space="preserve">Oultram 2013</w:t>
        </w:r>
      </w:hyperlink>
      <w:r>
        <w:t xml:space="preserve">;</w:t>
      </w:r>
      <w:r>
        <w:t xml:space="preserve"> </w:t>
      </w:r>
      <w:hyperlink w:anchor="ref-pérez2014">
        <w:r>
          <w:rPr>
            <w:rStyle w:val="InternetLink"/>
          </w:rPr>
          <w:t xml:space="preserve">Pérez and Guzmán-Duque 2014</w:t>
        </w:r>
      </w:hyperlink>
      <w:r>
        <w:t xml:space="preserve">;</w:t>
      </w:r>
      <w:r>
        <w:t xml:space="preserve"> </w:t>
      </w:r>
      <w:hyperlink w:anchor="ref-fjaellingsdal2019">
        <w:r>
          <w:rPr>
            <w:rStyle w:val="InternetLink"/>
          </w:rPr>
          <w:t xml:space="preserve">Fjaellingsdal and Kloeckner 2019</w:t>
        </w:r>
      </w:hyperlink>
      <w:r>
        <w:t xml:space="preserve">;</w:t>
      </w:r>
      <w:r>
        <w:t xml:space="preserve"> </w:t>
      </w:r>
      <w:hyperlink w:anchor="ref-crowley2021">
        <w:r>
          <w:rPr>
            <w:rStyle w:val="InternetLink"/>
          </w:rPr>
          <w:t xml:space="preserve">Crowley, Silk, and Crowley 2021</w:t>
        </w:r>
      </w:hyperlink>
      <w:r>
        <w:t xml:space="preserve">)</w:t>
      </w:r>
      <w:r>
        <w:t xml:space="preserve">.</w:t>
      </w:r>
      <w:r>
        <w:t xml:space="preserve"> </w:t>
      </w:r>
      <w:r>
        <w:t xml:space="preserve">Given this long history, it is striking that the parallels between games, and in particular videogames,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who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adapted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t>
      </w:r>
      <w:r>
        <w:t xml:space="preserve">about what affects decision-making in socio-ecological systems.</w:t>
      </w:r>
      <w:r>
        <w:t xml:space="preserve"> </w:t>
      </w:r>
      <w:r>
        <w:t xml:space="preserve">Another potential application of presenting model as games, which warrants further exploration, is using in-game decisions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2"/>
      </w:r>
      <w:r>
        <w:t xml:space="preserve">.</w:t>
      </w:r>
      <w:r>
        <w:t xml:space="preserve"> </w:t>
      </w:r>
      <w:r>
        <w:t xml:space="preserve">Although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(from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w:t>
      </w:r>
      <w:r>
        <w:t xml:space="preserve">to classifying fluorescence microscopy images</w:t>
      </w:r>
      <w:r>
        <w:t xml:space="preserve"> </w:t>
      </w:r>
      <w:r>
        <w:t xml:space="preserve">(</w:t>
      </w:r>
      <w:hyperlink w:anchor="ref-sullivan2018">
        <w:r>
          <w:rPr>
            <w:rStyle w:val="InternetLink"/>
          </w:rPr>
          <w:t xml:space="preserve">Sullivan et al. 2018</w:t>
        </w:r>
      </w:hyperlink>
      <w:r>
        <w:t xml:space="preserve">)</w:t>
      </w:r>
      <w:r>
        <w:t xml:space="preserve">), it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complex underlying models with many components and assumptions, games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foundation, we discuss both the limitations of this approach as well as its wider potential.</w:t>
      </w:r>
    </w:p>
    <w:bookmarkEnd w:id="23"/>
    <w:bookmarkStart w:id="44" w:name="outline-of-approach"/>
    <w:p>
      <w:pPr>
        <w:pStyle w:val="Heading1"/>
      </w:pPr>
      <w:r>
        <w:t xml:space="preserve">Outline of approach</w:t>
      </w:r>
    </w:p>
    <w:p>
      <w:pPr>
        <w:pStyle w:val="FirstParagraph"/>
      </w:pPr>
      <w:hyperlink r:id="rId24">
        <w:r>
          <w:rPr>
            <w:rStyle w:val="InternetLink"/>
          </w:rPr>
          <w:t xml:space="preserve">A&amp;F is available to play online</w:t>
        </w:r>
      </w:hyperlink>
      <w:r>
        <w:t xml:space="preserve">.</w:t>
      </w:r>
    </w:p>
    <w:p>
      <w:pPr>
        <w:pStyle w:val="TextBody"/>
      </w:pPr>
      <w:r>
        <w:t xml:space="preserve">A&amp;F consists of two main components; (1) the underlying model(s) describing the wild grazing animal (</w:t>
      </w:r>
      <w:r>
        <w:t xml:space="preserve">“</w:t>
      </w:r>
      <w:r>
        <w:t xml:space="preserve">resource</w:t>
      </w:r>
      <w:r>
        <w:t xml:space="preserve">”</w:t>
      </w:r>
      <w:r>
        <w:t xml:space="preserve">) population dynamics, estimates of this population through an observation process, and farmer actions, which are all implemented using the GMSE framework as described below; and (2) the game interface for the underlying model, which allows the player to set management actions (specifically, costs for farmer actions) that would otherwise be determined by the management model in the default GMSE set up.</w:t>
      </w:r>
    </w:p>
    <w:bookmarkStart w:id="29" w:name="underlying-model-gmse"/>
    <w:p>
      <w:pPr>
        <w:pStyle w:val="Heading2"/>
      </w:pPr>
      <w:r>
        <w:t xml:space="preserve">Underlying model: GMSE</w:t>
      </w:r>
    </w:p>
    <w:p>
      <w:pPr>
        <w:pStyle w:val="FirstParagraph"/>
      </w:pPr>
      <w:r>
        <w:t xml:space="preserve">We used GMSE to model the socio-ecological system underlying A&amp;F.</w:t>
      </w:r>
      <w:r>
        <w:t xml:space="preserve"> </w:t>
      </w:r>
      <w:r>
        <w:t xml:space="preserve">The GMSE R package (</w:t>
      </w:r>
      <w:hyperlink r:id="rId25">
        <w:r>
          <w:rPr>
            <w:rStyle w:val="InternetLink"/>
          </w:rPr>
          <w:t xml:space="preserve">https://cran.r-project.org/web/packages/GMSE/index.html</w:t>
        </w:r>
      </w:hyperlink>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Price</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8"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F</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Price 2018</w:t>
        </w:r>
      </w:hyperlink>
      <w:r>
        <w:t xml:space="preserve">)</w:t>
      </w:r>
      <w:r>
        <w:t xml:space="preserve">. Each farmer owns a given proportion 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on their land (here: hunting animals, scaring animals off their land, or tending crops).</w:t>
      </w:r>
      <w:r>
        <w:t xml:space="preserve"> </w:t>
      </w:r>
      <w:r>
        <w:t xml:space="preserve">Both former actions are common in the management and control of grazing animals on croplands (e.g. grazing migratory wildfowl,</w:t>
      </w:r>
      <w:r>
        <w:t xml:space="preserve"> </w:t>
      </w:r>
      <w:r>
        <w:t xml:space="preserve">(</w:t>
      </w:r>
      <w:hyperlink w:anchor="ref-nilsson2016">
        <w:r>
          <w:rPr>
            <w:rStyle w:val="InternetLink"/>
          </w:rPr>
          <w:t xml:space="preserve">Nilsson et al. 2016</w:t>
        </w:r>
      </w:hyperlink>
      <w:r>
        <w:t xml:space="preserve">,</w:t>
      </w:r>
      <w:r>
        <w:t xml:space="preserve"> </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6"/>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at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grazing animals in a cell, and/or increased through tending crops.</w:t>
      </w:r>
      <w:r>
        <w:t xml:space="preserve"> </w:t>
      </w:r>
      <w:r>
        <w:t xml:space="preserve">The rates of increase or decrease in yield through grazing and tending crops respectively are controllable in GMSE but kept as constant rates in the current A&amp;F implementation, see</w:t>
      </w:r>
      <w:r>
        <w:t xml:space="preserve"> </w:t>
      </w:r>
      <w:hyperlink w:anchor="ref-duthie2018">
        <w:r>
          <w:rPr>
            <w:rStyle w:val="InternetLink"/>
          </w:rPr>
          <w:t xml:space="preserve">Price</w:t>
        </w:r>
      </w:hyperlink>
      <w:r>
        <w:t xml:space="preserve"> </w:t>
      </w:r>
      <w:r>
        <w:t xml:space="preserve">(</w:t>
      </w:r>
      <w:hyperlink w:anchor="ref-duthie2018">
        <w:r>
          <w:rPr>
            <w:rStyle w:val="InternetLink"/>
          </w:rPr>
          <w:t xml:space="preserve">2018</w:t>
        </w:r>
      </w:hyperlink>
      <w:r>
        <w:t xml:space="preserve">)</w:t>
      </w:r>
      <w:r>
        <w:t xml:space="preserve"> </w:t>
      </w:r>
      <w:r>
        <w:t xml:space="preserve">and parameter references for</w:t>
      </w:r>
      <w:r>
        <w:t xml:space="preserve"> </w:t>
      </w:r>
      <w:r>
        <w:rPr>
          <w:rStyle w:val="VerbatimChar"/>
        </w:rPr>
        <w:t xml:space="preserve">res_consume</w:t>
      </w:r>
      <w:r>
        <w:t xml:space="preserve"> </w:t>
      </w:r>
      <w:r>
        <w:t xml:space="preserve">and</w:t>
      </w:r>
      <w:r>
        <w:t xml:space="preserve"> </w:t>
      </w:r>
      <w:r>
        <w:rPr>
          <w:rStyle w:val="VerbatimChar"/>
        </w:rPr>
        <w:t xml:space="preserve">tend_crop_yld</w:t>
      </w:r>
      <w:r>
        <w:t xml:space="preserve"> </w:t>
      </w:r>
      <w:r>
        <w:t xml:space="preserve">in the</w:t>
      </w:r>
      <w:r>
        <w:t xml:space="preserve"> </w:t>
      </w:r>
      <w:r>
        <w:rPr>
          <w:rStyle w:val="VerbatimChar"/>
        </w:rPr>
        <w:t xml:space="preserve">gmse()</w:t>
      </w:r>
      <w:r>
        <w:t xml:space="preserve"> </w:t>
      </w:r>
      <w:r>
        <w:t xml:space="preserve">function here:</w:t>
      </w:r>
      <w:r>
        <w:t xml:space="preserve"> </w:t>
      </w:r>
      <w:hyperlink r:id="rId27">
        <w:r>
          <w:rPr>
            <w:rStyle w:val="InternetLink"/>
          </w:rPr>
          <w:t xml:space="preserve">https://cran.r-project.org/web/packages/GMSE/GMSE.pdf</w:t>
        </w:r>
      </w:hyperlink>
      <w:r>
        <w:t xml:space="preserve">.</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while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each user) in each time step.</w:t>
      </w:r>
    </w:p>
    <w:p>
      <w:pPr>
        <w:pStyle w:val="TextBody"/>
      </w:pPr>
      <w:r>
        <w:t xml:space="preserve">In the default resource (animal) model in GMSE, the animal population is modelled with a form of logistic growth, with a small amount of random mortality added per time step and death caused by hunting; for more detail see below and</w:t>
      </w:r>
      <w:r>
        <w:t xml:space="preserve"> </w:t>
      </w:r>
      <w:hyperlink w:anchor="ref-duthie2018">
        <w:r>
          <w:rPr>
            <w:rStyle w:val="InternetLink"/>
          </w:rPr>
          <w:t xml:space="preserve">Price</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
        <w:r>
          <w:rPr>
            <w:rStyle w:val="InternetLink"/>
            <w:bCs/>
            <w:b/>
          </w:rPr>
          <w:t xml:space="preserve">bunnefeld?</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8"/>
    <w:bookmarkEnd w:id="29"/>
    <w:bookmarkStart w:id="43" w:name="animal-farm"/>
    <w:p>
      <w:pPr>
        <w:pStyle w:val="Heading2"/>
      </w:pPr>
      <w:r>
        <w:t xml:space="preserve">Animal &amp; Farm</w:t>
      </w:r>
    </w:p>
    <w:bookmarkStart w:id="32"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1a).</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30">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instead aim only to illustrate the use of the A&amp;F platform in general terms, the specific parameter values given below and in Table S2 should be interpreted as examples: we emphasise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Price</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 to the player -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 see 3.1.1 above for notes on the conceptualisation of</w:t>
      </w:r>
      <w:r>
        <w:t xml:space="preserve"> </w:t>
      </w:r>
      <w:r>
        <w:t xml:space="preserve">“</w:t>
      </w:r>
      <w:r>
        <w:t xml:space="preserve">budget</w:t>
      </w:r>
      <w:r>
        <w:t xml:space="preserve">”</w:t>
      </w:r>
      <w:r>
        <w:t xml:space="preserve">).</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31">
        <w:r>
          <w:rPr>
            <w:rStyle w:val="VerbatimChar"/>
          </w:rPr>
          <w:t xml:space="preserve">gmse_apply_UROM()</w:t>
        </w:r>
      </w:hyperlink>
      <w:r>
        <w:t xml:space="preserve">) (Figure 1b).</w:t>
      </w:r>
    </w:p>
    <w:bookmarkEnd w:id="32"/>
    <w:bookmarkStart w:id="40"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3">
        <w:r>
          <w:rPr>
            <w:rStyle w:val="VerbatimChar"/>
          </w:rPr>
          <w:t xml:space="preserve">Shiny</w:t>
        </w:r>
      </w:hyperlink>
      <w:r>
        <w:t xml:space="preserve"> </w:t>
      </w:r>
      <w:r>
        <w:t xml:space="preserve">(1.6.0), and packages</w:t>
      </w:r>
      <w:r>
        <w:t xml:space="preserve"> </w:t>
      </w:r>
      <w:hyperlink r:id="rId34">
        <w:r>
          <w:rPr>
            <w:rStyle w:val="VerbatimChar"/>
          </w:rPr>
          <w:t xml:space="preserve">shinyjs</w:t>
        </w:r>
      </w:hyperlink>
      <w:r>
        <w:t xml:space="preserve"> </w:t>
      </w:r>
      <w:r>
        <w:t xml:space="preserve">(2.0.0),</w:t>
      </w:r>
      <w:r>
        <w:t xml:space="preserve"> </w:t>
      </w:r>
      <w:hyperlink r:id="rId35">
        <w:r>
          <w:rPr>
            <w:rStyle w:val="VerbatimChar"/>
          </w:rPr>
          <w:t xml:space="preserve">shinyBS</w:t>
        </w:r>
      </w:hyperlink>
      <w:r>
        <w:t xml:space="preserve"> </w:t>
      </w:r>
      <w:r>
        <w:t xml:space="preserve">(0.61), and</w:t>
      </w:r>
      <w:r>
        <w:t xml:space="preserve"> </w:t>
      </w:r>
      <w:hyperlink r:id="rId36">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7"/>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ownership indicated by the grey shades, (c) actions taken by farmers in the previous game round, and (d) player inputs including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8"/>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9"/>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in any given time step, the game session is also terminated.</w:t>
      </w:r>
    </w:p>
    <w:bookmarkEnd w:id="40"/>
    <w:bookmarkStart w:id="41"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at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41"/>
    <w:bookmarkStart w:id="42"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outlined in S1.</w:t>
      </w:r>
      <w:r>
        <w:t xml:space="preserve"> </w:t>
      </w:r>
      <w:r>
        <w:t xml:space="preserve">A full list of parameter values stored, and their description, is given in Table S2.</w:t>
      </w:r>
      <w:r>
        <w:t xml:space="preserve"> </w:t>
      </w:r>
      <w:r>
        <w:t xml:space="preserve">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42"/>
    <w:bookmarkEnd w:id="43"/>
    <w:bookmarkEnd w:id="44"/>
    <w:bookmarkStart w:id="55" w:name="example-application"/>
    <w:p>
      <w:pPr>
        <w:pStyle w:val="Heading1"/>
      </w:pPr>
      <w:r>
        <w:t xml:space="preserve">Example application</w:t>
      </w:r>
    </w:p>
    <w:bookmarkStart w:id="45"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of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simulated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w:t>
      </w:r>
      <w:r>
        <w:t xml:space="preserve"> </w:t>
      </w:r>
      <w:r>
        <w:t xml:space="preserve">Alternatively, by collating large quantities of decision-making data under varying parameter settings, in addition to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based directly on empirical decision-making data has the potential to address these shortcomings.</w:t>
      </w:r>
    </w:p>
    <w:bookmarkEnd w:id="45"/>
    <w:bookmarkStart w:id="49" w:name="example-scenario-method"/>
    <w:p>
      <w:pPr>
        <w:pStyle w:val="Heading2"/>
      </w:pPr>
      <w:r>
        <w:t xml:space="preserve">Example scenario &amp; method</w:t>
      </w:r>
    </w:p>
    <w:bookmarkStart w:id="47"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w:t>
      </w:r>
      <w:r>
        <w:t xml:space="preserve"> </w:t>
      </w:r>
      <w:r>
        <w:t xml:space="preserve">It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F</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Rakotonarivo, Bell, et al. 2021</w:t>
        </w:r>
      </w:hyperlink>
      <w:r>
        <w:t xml:space="preserve">)</w:t>
      </w:r>
      <w:r>
        <w:t xml:space="preserve">, the current manager decision-making algorithm implemented in GMSE cannot explicitly account for the extent of such variation.</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F</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All other parameters are kept constant within and between all game sessions.</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CaptionedFigure"/>
      </w:pPr>
      <w:r>
        <w:drawing>
          <wp:inline>
            <wp:extent cx="5943600" cy="208026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fig3.jpg" id="0" name="Picture"/>
                    <pic:cNvPicPr>
                      <a:picLocks noChangeArrowheads="1" noChangeAspect="1"/>
                    </pic:cNvPicPr>
                  </pic:nvPicPr>
                  <pic:blipFill>
                    <a:blip r:embed="rId46"/>
                    <a:stretch>
                      <a:fillRect/>
                    </a:stretch>
                  </pic:blipFill>
                  <pic:spPr bwMode="auto">
                    <a:xfrm>
                      <a:off x="0" y="0"/>
                      <a:ext cx="5943600" cy="208026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7"/>
    <w:bookmarkStart w:id="48"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with a confirmation tick box.</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8"/>
    <w:bookmarkEnd w:id="49"/>
    <w:bookmarkStart w:id="54"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50"/>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farmers</w:t>
      </w:r>
      <w:r>
        <w:t xml:space="preserve"> </w:t>
      </w:r>
      <m:oMath>
        <m:r>
          <m:t>F</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5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4"/>
    <w:bookmarkEnd w:id="55"/>
    <w:bookmarkStart w:id="61"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noting that we are here specifically referring to model-games as data-collection tools, as opposed to exclusively as communication- or educational tools.</w:t>
      </w:r>
    </w:p>
    <w:bookmarkStart w:id="56"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uncertainty in the estimation of population numbers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is a suitable modelling framework in which observation uncertainty can be manipulated, and A&amp;F provides a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adjustment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including balancing multiple objectives in the presence of competing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p>
    <w:bookmarkEnd w:id="56"/>
    <w:bookmarkStart w:id="59" w:name="some-limitations-and-potential-solutions"/>
    <w:p>
      <w:pPr>
        <w:pStyle w:val="Heading2"/>
      </w:pPr>
      <w:r>
        <w:t xml:space="preserve">Some limitations and potential solutions</w:t>
      </w:r>
    </w:p>
    <w:bookmarkStart w:id="57"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raised by several trial players can be summarised as the game or game play lacking</w:t>
      </w:r>
      <w:r>
        <w:t xml:space="preserve"> </w:t>
      </w:r>
      <w:r>
        <w:t xml:space="preserve">“</w:t>
      </w:r>
      <w:r>
        <w:t xml:space="preserve">realism,</w:t>
      </w:r>
      <w:r>
        <w:t xml:space="preserve">”</w:t>
      </w:r>
      <w:r>
        <w:t xml:space="preserve"> </w:t>
      </w:r>
      <w:r>
        <w:t xml:space="preserve">e.g., lacking aspects or features or real life, or the player’s experience of the conservation problem.</w:t>
      </w:r>
      <w:r>
        <w:t xml:space="preserve"> </w:t>
      </w:r>
      <w:r>
        <w:t xml:space="preserve">This could be particularly problematic if any data collected was subsequently used to adjust model parameterisation: if the game world is not seen as sufficiently realistic, it may be argued that player behaviour is not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w:t>
      </w:r>
      <w:r>
        <w:t xml:space="preserve"> </w:t>
      </w:r>
      <w:r>
        <w:t xml:space="preserve">While a very important point, it is interesting to note that it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7"/>
    <w:bookmarkStart w:id="58"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bias in the audience sample.</w:t>
      </w:r>
      <w:r>
        <w:t xml:space="preserve"> </w:t>
      </w:r>
      <w:r>
        <w:t xml:space="preserve">For example, whether intentionally or unintentionally, it may be that players are sampled from a limited subset.</w:t>
      </w:r>
      <w:r>
        <w:t xml:space="preserve"> </w:t>
      </w:r>
      <w:r>
        <w:t xml:space="preserve">All players may have a single professional background such as conservation science, or the nature of the game (framing) may selectively attract a subset of the public</w:t>
      </w:r>
      <w:r>
        <w:t xml:space="preserve"> </w:t>
      </w:r>
      <w:r>
        <w:t xml:space="preserve">(e.g.,</w:t>
      </w:r>
      <w:r>
        <w:t xml:space="preserve"> </w:t>
      </w:r>
      <w:hyperlink w:anchor="ref-cheung2017">
        <w:r>
          <w:rPr>
            <w:rStyle w:val="InternetLink"/>
          </w:rPr>
          <w:t xml:space="preserve">Cheung et al. 2017</w:t>
        </w:r>
      </w:hyperlink>
      <w:r>
        <w:t xml:space="preserve">)</w:t>
      </w:r>
      <w:r>
        <w:t xml:space="preserve">.</w:t>
      </w:r>
      <w:r>
        <w:t xml:space="preserve"> </w:t>
      </w:r>
      <w:r>
        <w:t xml:space="preserve">As a consequence, the in-game decision-making may not be representative of a wider population of potential players, perhaps by the audience in question being more biased towards conservation rather than social objectives.</w:t>
      </w:r>
      <w:r>
        <w:t xml:space="preserve"> </w:t>
      </w:r>
      <w:r>
        <w:t xml:space="preserve">While this is an important potential issue, we argue that it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such as playing to</w:t>
      </w:r>
      <w:r>
        <w:t xml:space="preserve"> </w:t>
      </w:r>
      <w:r>
        <w:t xml:space="preserve">“</w:t>
      </w:r>
      <w:r>
        <w:t xml:space="preserve">win,</w:t>
      </w:r>
      <w:r>
        <w:t xml:space="preserve">”</w:t>
      </w:r>
      <w:r>
        <w:t xml:space="preserve"> </w:t>
      </w:r>
      <w:r>
        <w:t xml:space="preserve">versus deliberately attempting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w:t>
      </w:r>
      <w:r>
        <w:t xml:space="preserve"> </w:t>
      </w:r>
      <w:r>
        <w:t xml:space="preserve">Fortunately there are a number of ways in which this issue can be addressed.</w:t>
      </w:r>
      <w:r>
        <w:t xml:space="preserve"> </w:t>
      </w:r>
      <w:r>
        <w:t xml:space="preserve">First, when fully implementing this model-game approach, it will be vital to also collect player data through pre- or post-game questionnaires, including on for example professional background and social- and ecological attitudes</w:t>
      </w:r>
      <w:r>
        <w:t xml:space="preserve"> </w:t>
      </w:r>
      <w:r>
        <w:t xml:space="preserve">(as in e.g.,</w:t>
      </w:r>
      <w:r>
        <w:t xml:space="preserve"> </w:t>
      </w:r>
      <w:hyperlink w:anchor="ref-rakotonarivo2021">
        <w:r>
          <w:rPr>
            <w:rStyle w:val="InternetLink"/>
          </w:rPr>
          <w:t xml:space="preserve">Rakotonarivo, Bell, et al. 2021</w:t>
        </w:r>
      </w:hyperlink>
      <w:r>
        <w:t xml:space="preserve">;</w:t>
      </w:r>
      <w:r>
        <w:t xml:space="preserve"> </w:t>
      </w:r>
      <w:hyperlink w:anchor="ref-rakotonarivo2021a">
        <w:r>
          <w:rPr>
            <w:rStyle w:val="InternetLink"/>
          </w:rPr>
          <w:t xml:space="preserve">Rakotonarivo, Jones, et al. 2021</w:t>
        </w:r>
      </w:hyperlink>
      <w:r>
        <w:t xml:space="preserve">)</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objectives (either in open play or in more limited experimental settings)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8"/>
    <w:bookmarkEnd w:id="59"/>
    <w:bookmarkStart w:id="60"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here we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more control over the game</w:t>
      </w:r>
      <w:r>
        <w:t xml:space="preserve"> </w:t>
      </w:r>
      <w:r>
        <w:t xml:space="preserve">“</w:t>
      </w:r>
      <w:r>
        <w:t xml:space="preserve">world</w:t>
      </w:r>
      <w:r>
        <w:t xml:space="preserve">”</w:t>
      </w:r>
      <w:r>
        <w:t xml:space="preserve"> </w:t>
      </w:r>
      <w:r>
        <w:t xml:space="preserve">as is required for a given research question, provided it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w:t>
      </w:r>
      <w:r>
        <w:t xml:space="preserve"> </w:t>
      </w:r>
      <w:r>
        <w:t xml:space="preserve">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situated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despite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60"/>
    <w:bookmarkEnd w:id="61"/>
    <w:bookmarkStart w:id="62"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seven of the trial players for providing specific feedback on which much of the Discussion for this paper was based, and which will form a starting point for future improvements of the model-game approach.</w:t>
      </w:r>
      <w:r>
        <w:t xml:space="preserve"> </w:t>
      </w:r>
      <w:r>
        <w:t xml:space="preserve">JM, NB and LTW were funded by EU Horizon 2020 grant agreement no. 679651 (</w:t>
      </w:r>
      <w:r>
        <w:t xml:space="preserve">“</w:t>
      </w:r>
      <w:r>
        <w:t xml:space="preserve">ConFooBio,</w:t>
      </w:r>
      <w:r>
        <w:t xml:space="preserve">”</w:t>
      </w:r>
      <w:r>
        <w:t xml:space="preserve"> </w:t>
      </w:r>
      <w:r>
        <w:t xml:space="preserve">to NB); ABD was funded by a Leverhulme Trust ECF fellowship grant; MN was funded by the Natural Environment Research Council (IAPETUS Doctoral Training Partnership); IJ was supported by a UKRI Future Leaders Fellowship (MR/T019018/1); AB was funded by IAPETUS NPIF allocation, grant code NE/R012253/1 and supported by NERC.</w:t>
      </w:r>
    </w:p>
    <w:p>
      <w:r>
        <w:br w:type="page"/>
      </w:r>
    </w:p>
    <w:bookmarkEnd w:id="62"/>
    <w:bookmarkStart w:id="166" w:name="references"/>
    <w:p>
      <w:pPr>
        <w:pStyle w:val="Heading1"/>
      </w:pPr>
      <w:r>
        <w:t xml:space="preserve">References</w:t>
      </w:r>
    </w:p>
    <w:bookmarkStart w:id="165" w:name="refs"/>
    <w:bookmarkStart w:id="64"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3">
        <w:r>
          <w:rPr>
            <w:rStyle w:val="InternetLink"/>
          </w:rPr>
          <w:t xml:space="preserve">https://doi.org/10.1111/ddi.12054</w:t>
        </w:r>
      </w:hyperlink>
      <w:r>
        <w:t xml:space="preserve">.</w:t>
      </w:r>
    </w:p>
    <w:bookmarkEnd w:id="64"/>
    <w:bookmarkStart w:id="66"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5">
        <w:r>
          <w:rPr>
            <w:rStyle w:val="InternetLink"/>
          </w:rPr>
          <w:t xml:space="preserve">https://doi.org/10.1111/cobi.13372</w:t>
        </w:r>
      </w:hyperlink>
      <w:r>
        <w:t xml:space="preserve">.</w:t>
      </w:r>
    </w:p>
    <w:bookmarkEnd w:id="66"/>
    <w:bookmarkStart w:id="68"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7">
        <w:r>
          <w:rPr>
            <w:rStyle w:val="InternetLink"/>
          </w:rPr>
          <w:t xml:space="preserve">https://doi.org/10.1016/B978-0-12-438150-6.50018-2</w:t>
        </w:r>
      </w:hyperlink>
      <w:r>
        <w:t xml:space="preserve">.</w:t>
      </w:r>
    </w:p>
    <w:bookmarkEnd w:id="68"/>
    <w:bookmarkStart w:id="70"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9">
        <w:r>
          <w:rPr>
            <w:rStyle w:val="InternetLink"/>
          </w:rPr>
          <w:t xml:space="preserve">http://public.eblib.com/choice/publicfullrecord.aspx?p=4866274</w:t>
        </w:r>
      </w:hyperlink>
      <w:r>
        <w:t xml:space="preserve">.</w:t>
      </w:r>
    </w:p>
    <w:bookmarkEnd w:id="70"/>
    <w:bookmarkStart w:id="72"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71">
        <w:r>
          <w:rPr>
            <w:rStyle w:val="InternetLink"/>
          </w:rPr>
          <w:t xml:space="preserve">https://doi.org/10.1126/sciadv.1400253</w:t>
        </w:r>
      </w:hyperlink>
      <w:r>
        <w:t xml:space="preserve">.</w:t>
      </w:r>
    </w:p>
    <w:bookmarkEnd w:id="72"/>
    <w:bookmarkStart w:id="74"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3">
        <w:r>
          <w:rPr>
            <w:rStyle w:val="InternetLink"/>
          </w:rPr>
          <w:t xml:space="preserve">https://doi.org/10.1073/pnas.1704949114</w:t>
        </w:r>
      </w:hyperlink>
      <w:r>
        <w:t xml:space="preserve">.</w:t>
      </w:r>
    </w:p>
    <w:bookmarkEnd w:id="74"/>
    <w:bookmarkStart w:id="76"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5">
        <w:r>
          <w:rPr>
            <w:rStyle w:val="InternetLink"/>
          </w:rPr>
          <w:t xml:space="preserve">https://doi.org/10.1111/tops.12267</w:t>
        </w:r>
      </w:hyperlink>
      <w:r>
        <w:t xml:space="preserve">.</w:t>
      </w:r>
    </w:p>
    <w:bookmarkEnd w:id="76"/>
    <w:bookmarkStart w:id="78" w:name="ref-cheung2017"/>
    <w:p>
      <w:pPr>
        <w:pStyle w:val="Bibliography"/>
      </w:pPr>
      <w:r>
        <w:t xml:space="preserve">Cheung, Kei Long, Peter M. ten Klooster, Cees Smit, Hein de Vries, and Marcel E. Pieterse. 2017.</w:t>
      </w:r>
      <w:r>
        <w:t xml:space="preserve"> </w:t>
      </w:r>
      <w:r>
        <w:t xml:space="preserve">“The Impact of Non-Response Bias Due to Sampling in Public Health Studies: A Comparison of Voluntary Versus Mandatory Recruitment in a Dutch National Survey on Adolescent Health.”</w:t>
      </w:r>
      <w:r>
        <w:t xml:space="preserve"> </w:t>
      </w:r>
      <w:r>
        <w:rPr>
          <w:iCs/>
          <w:i/>
        </w:rPr>
        <w:t xml:space="preserve">BMC Public Health</w:t>
      </w:r>
      <w:r>
        <w:t xml:space="preserve"> </w:t>
      </w:r>
      <w:r>
        <w:t xml:space="preserve">17 (1): 276.</w:t>
      </w:r>
      <w:r>
        <w:t xml:space="preserve"> </w:t>
      </w:r>
      <w:hyperlink r:id="rId77">
        <w:r>
          <w:rPr>
            <w:rStyle w:val="InternetLink"/>
          </w:rPr>
          <w:t xml:space="preserve">https://doi.org/10.1186/s12889-017-4189-8</w:t>
        </w:r>
      </w:hyperlink>
      <w:r>
        <w:t xml:space="preserve">.</w:t>
      </w:r>
    </w:p>
    <w:bookmarkEnd w:id="78"/>
    <w:bookmarkStart w:id="80"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9">
        <w:r>
          <w:rPr>
            <w:rStyle w:val="InternetLink"/>
          </w:rPr>
          <w:t xml:space="preserve">https://doi.org/10.1007/s11625-021-00989-w</w:t>
        </w:r>
      </w:hyperlink>
      <w:r>
        <w:t xml:space="preserve">.</w:t>
      </w:r>
    </w:p>
    <w:bookmarkEnd w:id="80"/>
    <w:bookmarkStart w:id="82"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81">
        <w:r>
          <w:rPr>
            <w:rStyle w:val="InternetLink"/>
          </w:rPr>
          <w:t xml:space="preserve">https://doi.org/10.1002/pan3.10242</w:t>
        </w:r>
      </w:hyperlink>
      <w:r>
        <w:t xml:space="preserve">.</w:t>
      </w:r>
    </w:p>
    <w:bookmarkEnd w:id="82"/>
    <w:bookmarkStart w:id="84" w:name="ref-cusack2020"/>
    <w:p>
      <w:pPr>
        <w:pStyle w:val="Bibliography"/>
      </w:pPr>
      <w:r>
        <w:t xml:space="preserve">Cusack, Jeremy, A. Duthie, Jeroen Minderman, Isabel Jones, Rocío Pozo, O. Sarobidy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83">
        <w:r>
          <w:rPr>
            <w:rStyle w:val="InternetLink"/>
          </w:rPr>
          <w:t xml:space="preserve">https://doi.org/10.5751/ES-11552-250213</w:t>
        </w:r>
      </w:hyperlink>
      <w:r>
        <w:t xml:space="preserve">.</w:t>
      </w:r>
    </w:p>
    <w:bookmarkEnd w:id="84"/>
    <w:bookmarkStart w:id="86"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5">
        <w:r>
          <w:rPr>
            <w:rStyle w:val="InternetLink"/>
          </w:rPr>
          <w:t xml:space="preserve">https://doi.org/10.1098/rstb.2018.0053</w:t>
        </w:r>
      </w:hyperlink>
      <w:r>
        <w:t xml:space="preserve">.</w:t>
      </w:r>
    </w:p>
    <w:bookmarkEnd w:id="86"/>
    <w:bookmarkStart w:id="88"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7">
        <w:r>
          <w:rPr>
            <w:rStyle w:val="InternetLink"/>
          </w:rPr>
          <w:t xml:space="preserve">https://doi.org/10.1111/cobi.13633</w:t>
        </w:r>
      </w:hyperlink>
      <w:r>
        <w:t xml:space="preserve">.</w:t>
      </w:r>
    </w:p>
    <w:bookmarkEnd w:id="88"/>
    <w:bookmarkStart w:id="90"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89">
        <w:r>
          <w:rPr>
            <w:rStyle w:val="InternetLink"/>
          </w:rPr>
          <w:t xml:space="preserve">https://doi.org/10.3389/fpsyg.2019.02846</w:t>
        </w:r>
      </w:hyperlink>
      <w:r>
        <w:t xml:space="preserve">.</w:t>
      </w:r>
    </w:p>
    <w:bookmarkEnd w:id="90"/>
    <w:bookmarkStart w:id="92"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91">
        <w:r>
          <w:rPr>
            <w:rStyle w:val="InternetLink"/>
          </w:rPr>
          <w:t xml:space="preserve">https://doi.org/10.1126/science.1185802</w:t>
        </w:r>
      </w:hyperlink>
      <w:r>
        <w:t xml:space="preserve">.</w:t>
      </w:r>
    </w:p>
    <w:bookmarkEnd w:id="92"/>
    <w:bookmarkStart w:id="94"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3">
        <w:r>
          <w:rPr>
            <w:rStyle w:val="InternetLink"/>
          </w:rPr>
          <w:t xml:space="preserve">https://doi.org/10.14512/gaia.25.4.13</w:t>
        </w:r>
      </w:hyperlink>
      <w:r>
        <w:t xml:space="preserve">.</w:t>
      </w:r>
    </w:p>
    <w:bookmarkEnd w:id="94"/>
    <w:bookmarkStart w:id="96"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5">
        <w:r>
          <w:rPr>
            <w:rStyle w:val="InternetLink"/>
          </w:rPr>
          <w:t xml:space="preserve">https://doi.org/10.1016/j.ecolmodel.2006.04.023</w:t>
        </w:r>
      </w:hyperlink>
      <w:r>
        <w:t xml:space="preserve">.</w:t>
      </w:r>
    </w:p>
    <w:bookmarkEnd w:id="96"/>
    <w:bookmarkStart w:id="98"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7">
        <w:r>
          <w:rPr>
            <w:rStyle w:val="InternetLink"/>
          </w:rPr>
          <w:t xml:space="preserve">https://doi.org/10.1038/s41467-020-17785-2</w:t>
        </w:r>
      </w:hyperlink>
      <w:r>
        <w:t xml:space="preserve">.</w:t>
      </w:r>
    </w:p>
    <w:bookmarkEnd w:id="98"/>
    <w:bookmarkStart w:id="100"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99">
        <w:r>
          <w:rPr>
            <w:rStyle w:val="InternetLink"/>
          </w:rPr>
          <w:t xml:space="preserve">https://doi.org/10.1016/j.envsoft.2016.10.008</w:t>
        </w:r>
      </w:hyperlink>
      <w:r>
        <w:t xml:space="preserve">.</w:t>
      </w:r>
    </w:p>
    <w:bookmarkEnd w:id="100"/>
    <w:bookmarkStart w:id="102"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101">
        <w:r>
          <w:rPr>
            <w:rStyle w:val="InternetLink"/>
          </w:rPr>
          <w:t xml:space="preserve">https://doi.org/10.1111/2041-210X.12000</w:t>
        </w:r>
      </w:hyperlink>
      <w:r>
        <w:t xml:space="preserve">.</w:t>
      </w:r>
    </w:p>
    <w:bookmarkEnd w:id="102"/>
    <w:bookmarkStart w:id="104"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3">
        <w:r>
          <w:rPr>
            <w:rStyle w:val="InternetLink"/>
          </w:rPr>
          <w:t xml:space="preserve">https://www.ipcc.ch/report/ar6/wg1/</w:t>
        </w:r>
      </w:hyperlink>
      <w:r>
        <w:t xml:space="preserve">.</w:t>
      </w:r>
    </w:p>
    <w:bookmarkEnd w:id="104"/>
    <w:bookmarkStart w:id="106"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5">
        <w:r>
          <w:rPr>
            <w:rStyle w:val="InternetLink"/>
          </w:rPr>
          <w:t xml:space="preserve">https://doi.org/10.1057/ejdr.2011.47</w:t>
        </w:r>
      </w:hyperlink>
      <w:r>
        <w:t xml:space="preserve">.</w:t>
      </w:r>
    </w:p>
    <w:bookmarkEnd w:id="106"/>
    <w:bookmarkStart w:id="108"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7">
        <w:r>
          <w:rPr>
            <w:rStyle w:val="InternetLink"/>
          </w:rPr>
          <w:t xml:space="preserve">https://doi.org/10.1073/pnas.1115898108</w:t>
        </w:r>
      </w:hyperlink>
      <w:r>
        <w:t xml:space="preserve">.</w:t>
      </w:r>
    </w:p>
    <w:bookmarkEnd w:id="108"/>
    <w:bookmarkStart w:id="110"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09">
        <w:r>
          <w:rPr>
            <w:rStyle w:val="InternetLink"/>
          </w:rPr>
          <w:t xml:space="preserve">https://doi.org/10.1007/s11077-016-9250-4</w:t>
        </w:r>
      </w:hyperlink>
      <w:r>
        <w:t xml:space="preserve">.</w:t>
      </w:r>
    </w:p>
    <w:bookmarkEnd w:id="110"/>
    <w:bookmarkStart w:id="112"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11">
        <w:r>
          <w:rPr>
            <w:rStyle w:val="InternetLink"/>
          </w:rPr>
          <w:t xml:space="preserve">https://doi.org/10.1257/jep.21.2.153</w:t>
        </w:r>
      </w:hyperlink>
      <w:r>
        <w:t xml:space="preserve">.</w:t>
      </w:r>
    </w:p>
    <w:bookmarkEnd w:id="112"/>
    <w:bookmarkStart w:id="114"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3">
        <w:r>
          <w:rPr>
            <w:rStyle w:val="InternetLink"/>
          </w:rPr>
          <w:t xml:space="preserve">https://doi.org/10.1038/536143a</w:t>
        </w:r>
      </w:hyperlink>
      <w:r>
        <w:t xml:space="preserve">.</w:t>
      </w:r>
    </w:p>
    <w:bookmarkEnd w:id="114"/>
    <w:bookmarkStart w:id="116"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5">
        <w:r>
          <w:rPr>
            <w:rStyle w:val="InternetLink"/>
          </w:rPr>
          <w:t xml:space="preserve">https://doi.org/10.5751/ES-08416-210338</w:t>
        </w:r>
      </w:hyperlink>
      <w:r>
        <w:t xml:space="preserve">.</w:t>
      </w:r>
    </w:p>
    <w:bookmarkEnd w:id="116"/>
    <w:bookmarkStart w:id="118"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7">
        <w:r>
          <w:rPr>
            <w:rStyle w:val="InternetLink"/>
          </w:rPr>
          <w:t xml:space="preserve">https://doi.org/10.1098/rstb.2011.0175</w:t>
        </w:r>
      </w:hyperlink>
      <w:r>
        <w:t xml:space="preserve">.</w:t>
      </w:r>
    </w:p>
    <w:bookmarkEnd w:id="118"/>
    <w:bookmarkStart w:id="120"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19">
        <w:r>
          <w:rPr>
            <w:rStyle w:val="InternetLink"/>
          </w:rPr>
          <w:t xml:space="preserve">https://doi.org/10.1016/j.ecolmodel.2020.109396</w:t>
        </w:r>
      </w:hyperlink>
      <w:r>
        <w:t xml:space="preserve">.</w:t>
      </w:r>
    </w:p>
    <w:bookmarkEnd w:id="120"/>
    <w:bookmarkStart w:id="122" w:name="ref-nilsson2016"/>
    <w:p>
      <w:pPr>
        <w:pStyle w:val="Bibliography"/>
      </w:pPr>
      <w:r>
        <w:t xml:space="preserve">Nilsson, L.,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21">
        <w:r>
          <w:rPr>
            <w:rStyle w:val="InternetLink"/>
          </w:rPr>
          <w:t xml:space="preserve">https://doi.org/10.1016/j.agee.2015.12.021</w:t>
        </w:r>
      </w:hyperlink>
      <w:r>
        <w:t xml:space="preserve">.</w:t>
      </w:r>
    </w:p>
    <w:bookmarkEnd w:id="122"/>
    <w:bookmarkStart w:id="124"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3">
        <w:r>
          <w:rPr>
            <w:rStyle w:val="InternetLink"/>
          </w:rPr>
          <w:t xml:space="preserve">https://doi.org/10.1111/1365-2664.12051</w:t>
        </w:r>
      </w:hyperlink>
      <w:r>
        <w:t xml:space="preserve">.</w:t>
      </w:r>
    </w:p>
    <w:bookmarkEnd w:id="124"/>
    <w:bookmarkStart w:id="126"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5">
        <w:r>
          <w:rPr>
            <w:rStyle w:val="InternetLink"/>
          </w:rPr>
          <w:t xml:space="preserve">https://doi.org/10.1038/s41562-020-0885-y</w:t>
        </w:r>
      </w:hyperlink>
      <w:r>
        <w:t xml:space="preserve">.</w:t>
      </w:r>
    </w:p>
    <w:bookmarkEnd w:id="126"/>
    <w:bookmarkStart w:id="128" w:name="ref-oultram2013"/>
    <w:p>
      <w:pPr>
        <w:pStyle w:val="Bibliography"/>
      </w:pPr>
      <w:r>
        <w:t xml:space="preserve">Oultram, Stuart. 2013.</w:t>
      </w:r>
      <w:r>
        <w:t xml:space="preserve"> </w:t>
      </w:r>
      <w:r>
        <w:t xml:space="preserve">“Virtual Plagues and Real-World Pandemics: Reflecting on the Potential for Online Computer Role-Playing Games to Inform Real World Epidemic Research.”</w:t>
      </w:r>
      <w:r>
        <w:t xml:space="preserve"> </w:t>
      </w:r>
      <w:r>
        <w:rPr>
          <w:iCs/>
          <w:i/>
        </w:rPr>
        <w:t xml:space="preserve">Medical Humanities</w:t>
      </w:r>
      <w:r>
        <w:t xml:space="preserve"> </w:t>
      </w:r>
      <w:r>
        <w:t xml:space="preserve">39 (2): 115–18.</w:t>
      </w:r>
      <w:r>
        <w:t xml:space="preserve"> </w:t>
      </w:r>
      <w:hyperlink r:id="rId127">
        <w:r>
          <w:rPr>
            <w:rStyle w:val="InternetLink"/>
          </w:rPr>
          <w:t xml:space="preserve">https://doi.org/10.1136/medhum-2012-010299</w:t>
        </w:r>
      </w:hyperlink>
      <w:r>
        <w:t xml:space="preserve">.</w:t>
      </w:r>
    </w:p>
    <w:bookmarkEnd w:id="128"/>
    <w:bookmarkStart w:id="130" w:name="ref-pérez2014"/>
    <w:p>
      <w:pPr>
        <w:pStyle w:val="Bibliography"/>
      </w:pPr>
      <w:r>
        <w:t xml:space="preserve">Pérez, María-Esther Del-Moral, and Alba-Patricia Guzmán-Duque. 2014.</w:t>
      </w:r>
      <w:r>
        <w:t xml:space="preserve"> </w:t>
      </w:r>
      <w:r>
        <w:t xml:space="preserve">“CityVille: Collaborative Game Play, Communication and Skill Development in Social Networks.”</w:t>
      </w:r>
      <w:r>
        <w:t xml:space="preserve"> </w:t>
      </w:r>
      <w:r>
        <w:rPr>
          <w:iCs/>
          <w:i/>
        </w:rPr>
        <w:t xml:space="preserve">Journal of New Approaches in Educational Research</w:t>
      </w:r>
      <w:r>
        <w:t xml:space="preserve"> </w:t>
      </w:r>
      <w:r>
        <w:t xml:space="preserve">3 (1): 11–19.</w:t>
      </w:r>
      <w:r>
        <w:t xml:space="preserve"> </w:t>
      </w:r>
      <w:hyperlink r:id="rId129">
        <w:r>
          <w:rPr>
            <w:rStyle w:val="InternetLink"/>
          </w:rPr>
          <w:t xml:space="preserve">https://doi.org/10.7821/naer.3.1.11-19</w:t>
        </w:r>
      </w:hyperlink>
      <w:r>
        <w:t xml:space="preserve">.</w:t>
      </w:r>
    </w:p>
    <w:bookmarkEnd w:id="130"/>
    <w:bookmarkStart w:id="132" w:name="ref-duthie2018"/>
    <w:p>
      <w:pPr>
        <w:pStyle w:val="Bibliography"/>
      </w:pPr>
      <w:r>
        <w:t xml:space="preserve">Price, Samantha, ed. 2018.</w:t>
      </w:r>
      <w:r>
        <w:t xml:space="preserve"> </w:t>
      </w:r>
      <w:r>
        <w:t xml:space="preserve">“GMSE: An R Package for Generalised Management Strategy Evaluation.”</w:t>
      </w:r>
      <w:r>
        <w:t xml:space="preserve"> </w:t>
      </w:r>
      <w:r>
        <w:rPr>
          <w:iCs/>
          <w:i/>
        </w:rPr>
        <w:t xml:space="preserve">Methods in Ecology and Evolution</w:t>
      </w:r>
      <w:r>
        <w:t xml:space="preserve">, October.</w:t>
      </w:r>
      <w:r>
        <w:t xml:space="preserve"> </w:t>
      </w:r>
      <w:hyperlink r:id="rId131">
        <w:r>
          <w:rPr>
            <w:rStyle w:val="InternetLink"/>
          </w:rPr>
          <w:t xml:space="preserve">https://doi.org/10.1111/2041-210X.13091</w:t>
        </w:r>
      </w:hyperlink>
      <w:r>
        <w:t xml:space="preserve">.</w:t>
      </w:r>
    </w:p>
    <w:bookmarkEnd w:id="132"/>
    <w:bookmarkStart w:id="134" w:name="ref-rakotonarivo2021"/>
    <w:p>
      <w:pPr>
        <w:pStyle w:val="Bibliography"/>
      </w:pPr>
      <w:r>
        <w:t xml:space="preserve">Rakotonarivo, 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33">
        <w:r>
          <w:rPr>
            <w:rStyle w:val="InternetLink"/>
          </w:rPr>
          <w:t xml:space="preserve">https://doi.org/10.5751/ES-12306-260208</w:t>
        </w:r>
      </w:hyperlink>
      <w:r>
        <w:t xml:space="preserve">.</w:t>
      </w:r>
    </w:p>
    <w:bookmarkEnd w:id="134"/>
    <w:bookmarkStart w:id="136" w:name="ref-rakotonarivo2021a"/>
    <w:p>
      <w:pPr>
        <w:pStyle w:val="Bibliography"/>
      </w:pPr>
      <w:r>
        <w:t xml:space="preserve">Rakotonarivo, O. Sarobidy,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35">
        <w:r>
          <w:rPr>
            <w:rStyle w:val="InternetLink"/>
          </w:rPr>
          <w:t xml:space="preserve">https://doi.org/10.1002/pan3.10155</w:t>
        </w:r>
      </w:hyperlink>
      <w:r>
        <w:t xml:space="preserve">.</w:t>
      </w:r>
    </w:p>
    <w:bookmarkEnd w:id="136"/>
    <w:bookmarkStart w:id="138"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37">
        <w:r>
          <w:rPr>
            <w:rStyle w:val="InternetLink"/>
          </w:rPr>
          <w:t xml:space="preserve">https://doi.org/10.1016/j.tree.2018.03.005</w:t>
        </w:r>
      </w:hyperlink>
      <w:r>
        <w:t xml:space="preserve">.</w:t>
      </w:r>
    </w:p>
    <w:bookmarkEnd w:id="138"/>
    <w:bookmarkStart w:id="140"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9">
        <w:r>
          <w:rPr>
            <w:rStyle w:val="InternetLink"/>
          </w:rPr>
          <w:t xml:space="preserve">https://doi.org/10.1111/brv.12326</w:t>
        </w:r>
      </w:hyperlink>
      <w:r>
        <w:t xml:space="preserve">.</w:t>
      </w:r>
    </w:p>
    <w:bookmarkEnd w:id="140"/>
    <w:bookmarkStart w:id="142"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41">
        <w:r>
          <w:rPr>
            <w:rStyle w:val="InternetLink"/>
          </w:rPr>
          <w:t xml:space="preserve">https://doi.org/10.1111/conl.12113</w:t>
        </w:r>
      </w:hyperlink>
      <w:r>
        <w:t xml:space="preserve">.</w:t>
      </w:r>
    </w:p>
    <w:bookmarkEnd w:id="142"/>
    <w:bookmarkStart w:id="144"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43">
        <w:r>
          <w:rPr>
            <w:rStyle w:val="InternetLink"/>
          </w:rPr>
          <w:t xml:space="preserve">https://doi.org/10.1111/j.1939-7445.2011.00108.x</w:t>
        </w:r>
      </w:hyperlink>
      <w:r>
        <w:t xml:space="preserve">.</w:t>
      </w:r>
    </w:p>
    <w:bookmarkEnd w:id="144"/>
    <w:bookmarkStart w:id="146"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45">
        <w:r>
          <w:rPr>
            <w:rStyle w:val="InternetLink"/>
          </w:rPr>
          <w:t xml:space="preserve">https://doi.org/10.1016/j.ecolmodel.2019.108784</w:t>
        </w:r>
      </w:hyperlink>
      <w:r>
        <w:t xml:space="preserve">.</w:t>
      </w:r>
    </w:p>
    <w:bookmarkEnd w:id="146"/>
    <w:bookmarkStart w:id="148"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47">
        <w:r>
          <w:rPr>
            <w:rStyle w:val="InternetLink"/>
          </w:rPr>
          <w:t xml:space="preserve">https://doi.org/10.18174/sesmo.2020a16340</w:t>
        </w:r>
      </w:hyperlink>
      <w:r>
        <w:t xml:space="preserve">.</w:t>
      </w:r>
    </w:p>
    <w:bookmarkEnd w:id="148"/>
    <w:bookmarkStart w:id="150"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9">
        <w:r>
          <w:rPr>
            <w:rStyle w:val="InternetLink"/>
          </w:rPr>
          <w:t xml:space="preserve">https://doi.org/10.1109/TG.2018.2867743</w:t>
        </w:r>
      </w:hyperlink>
      <w:r>
        <w:t xml:space="preserve">.</w:t>
      </w:r>
    </w:p>
    <w:bookmarkEnd w:id="150"/>
    <w:bookmarkStart w:id="152"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51">
        <w:r>
          <w:rPr>
            <w:rStyle w:val="InternetLink"/>
          </w:rPr>
          <w:t xml:space="preserve">https://doi.org/10.1038/nbt.4225</w:t>
        </w:r>
      </w:hyperlink>
      <w:r>
        <w:t xml:space="preserve">.</w:t>
      </w:r>
    </w:p>
    <w:bookmarkEnd w:id="152"/>
    <w:bookmarkStart w:id="154"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53">
        <w:r>
          <w:rPr>
            <w:rStyle w:val="InternetLink"/>
          </w:rPr>
          <w:t xml:space="preserve">https://doi.org/10.7717/peerj.4509</w:t>
        </w:r>
      </w:hyperlink>
      <w:r>
        <w:t xml:space="preserve">.</w:t>
      </w:r>
    </w:p>
    <w:bookmarkEnd w:id="154"/>
    <w:bookmarkStart w:id="156"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55">
        <w:r>
          <w:rPr>
            <w:rStyle w:val="InternetLink"/>
          </w:rPr>
          <w:t xml:space="preserve">https://doi.org/10.3389/fmars.2021.645408</w:t>
        </w:r>
      </w:hyperlink>
      <w:r>
        <w:t xml:space="preserve">.</w:t>
      </w:r>
    </w:p>
    <w:bookmarkEnd w:id="156"/>
    <w:bookmarkStart w:id="158"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57">
        <w:r>
          <w:rPr>
            <w:rStyle w:val="InternetLink"/>
          </w:rPr>
          <w:t xml:space="preserve">https://doi.org/10.5751/ES-08139-210139</w:t>
        </w:r>
      </w:hyperlink>
      <w:r>
        <w:t xml:space="preserve">.</w:t>
      </w:r>
    </w:p>
    <w:bookmarkEnd w:id="158"/>
    <w:bookmarkStart w:id="160"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9">
        <w:r>
          <w:rPr>
            <w:rStyle w:val="InternetLink"/>
          </w:rPr>
          <w:t xml:space="preserve">https://doi.org/10.1002/pan3.10207</w:t>
        </w:r>
      </w:hyperlink>
      <w:r>
        <w:t xml:space="preserve">.</w:t>
      </w:r>
    </w:p>
    <w:bookmarkEnd w:id="160"/>
    <w:bookmarkStart w:id="162"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61">
        <w:r>
          <w:rPr>
            <w:rStyle w:val="InternetLink"/>
          </w:rPr>
          <w:t xml:space="preserve">https://doi.org/10.1021/acs.est.6b05296</w:t>
        </w:r>
      </w:hyperlink>
      <w:r>
        <w:t xml:space="preserve">.</w:t>
      </w:r>
    </w:p>
    <w:bookmarkEnd w:id="162"/>
    <w:bookmarkStart w:id="164"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63">
        <w:r>
          <w:rPr>
            <w:rStyle w:val="InternetLink"/>
          </w:rPr>
          <w:t xml:space="preserve">https://doi.org/10.1016/j.envsoft.2017.09.012</w:t>
        </w:r>
      </w:hyperlink>
      <w:r>
        <w:t xml:space="preserve">.</w:t>
      </w:r>
    </w:p>
    <w:bookmarkEnd w:id="164"/>
    <w:bookmarkEnd w:id="165"/>
    <w:bookmarkEnd w:id="166"/>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We here use the term</w:t>
      </w:r>
      <w:r>
        <w:t xml:space="preserve"> </w:t>
      </w:r>
      <w:r>
        <w:t xml:space="preserve">“</w:t>
      </w:r>
      <w:r>
        <w:t xml:space="preserve">model</w:t>
      </w:r>
      <w:r>
        <w:t xml:space="preserve">”</w:t>
      </w:r>
      <w:r>
        <w:t xml:space="preserve"> </w:t>
      </w:r>
      <w:r>
        <w:t xml:space="preserve">to refer to any predictive quantitative model, although our focus is on predictive simulation models used for decision support.</w:t>
      </w:r>
      <w:r>
        <w:t xml:space="preserve"> </w:t>
      </w:r>
      <w:r>
        <w:t xml:space="preserve">However, the arguments presented here equally apply to statistical models, particularly when used for prediction of trends.</w:t>
      </w:r>
    </w:p>
  </w:footnote>
  <w:footnote w:id="22">
    <w:p>
      <w:pPr>
        <w:pStyle w:val="Footnote"/>
      </w:pPr>
      <w:r>
        <w:rPr>
          <w:rStyle w:val="FootnoteReference"/>
        </w:rPr>
        <w:footnoteRef/>
      </w:r>
      <w:r>
        <w:t xml:space="preserve"> </w:t>
      </w:r>
      <w:r>
        <w:t xml:space="preserve">Note that there are limitations to this, and that data on decisions made would only be relevant to the context of the game; we discuss limitations in more detail below.</w:t>
      </w:r>
    </w:p>
  </w:footnote>
  <w:footnote w:id="38">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9">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50">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jpg" /><Relationship Type="http://schemas.openxmlformats.org/officeDocument/2006/relationships/image" Id="rId37" Target="media/rId37.jpg" /><Relationship Type="http://schemas.openxmlformats.org/officeDocument/2006/relationships/image" Id="rId46" Target="media/rId46.jp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09"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1" Target="https://doi.org/10.1016/j.agee.2015.12.021" TargetMode="External" /><Relationship Type="http://schemas.openxmlformats.org/officeDocument/2006/relationships/hyperlink" Id="rId95"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19" Target="https://doi.org/10.1016/j.ecolmodel.2020.109396" TargetMode="External" /><Relationship Type="http://schemas.openxmlformats.org/officeDocument/2006/relationships/hyperlink" Id="rId99"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3"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7" Target="https://doi.org/10.1038/s41467-020-17785-2" TargetMode="External" /><Relationship Type="http://schemas.openxmlformats.org/officeDocument/2006/relationships/hyperlink" Id="rId125" Target="https://doi.org/10.1038/s41562-020-0885-y" TargetMode="External" /><Relationship Type="http://schemas.openxmlformats.org/officeDocument/2006/relationships/hyperlink" Id="rId105" Target="https://doi.org/10.1057/ejdr.2011.47" TargetMode="External" /><Relationship Type="http://schemas.openxmlformats.org/officeDocument/2006/relationships/hyperlink" Id="rId107"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7"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3" Target="https://doi.org/10.1111/1365-2664.12051" TargetMode="External" /><Relationship Type="http://schemas.openxmlformats.org/officeDocument/2006/relationships/hyperlink" Id="rId101" Target="https://doi.org/10.1111/2041-210X.12000" TargetMode="External" /><Relationship Type="http://schemas.openxmlformats.org/officeDocument/2006/relationships/hyperlink" Id="rId131"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7"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1" Target="https://doi.org/10.1126/science.1185802" TargetMode="External" /><Relationship Type="http://schemas.openxmlformats.org/officeDocument/2006/relationships/hyperlink" Id="rId127"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1" Target="https://doi.org/10.1257/jep.21.2.153" TargetMode="External" /><Relationship Type="http://schemas.openxmlformats.org/officeDocument/2006/relationships/hyperlink" Id="rId93"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89"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5"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29"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3"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9" Target="http://public.eblib.com/choice/publicfullrecord.aspx?p=4866274" TargetMode="External" /><Relationship Type="http://schemas.openxmlformats.org/officeDocument/2006/relationships/hyperlink" Id="rId33" Target="https://CRAN.R-project.org/package=shiny" TargetMode="External" /><Relationship Type="http://schemas.openxmlformats.org/officeDocument/2006/relationships/hyperlink" Id="rId35" Target="https://CRAN.R-project.org/package=shinyBS" TargetMode="External" /><Relationship Type="http://schemas.openxmlformats.org/officeDocument/2006/relationships/hyperlink" Id="rId34" Target="https://CRAN.R-project.org/package=shinyjs" TargetMode="External" /><Relationship Type="http://schemas.openxmlformats.org/officeDocument/2006/relationships/hyperlink" Id="rId36" Target="https://CRAN.R-project.org/package=waiter" TargetMode="External" /><Relationship Type="http://schemas.openxmlformats.org/officeDocument/2006/relationships/hyperlink" Id="rId27" Target="https://cran.r-project.org/web/packages/GMSE/GMSE.pdf" TargetMode="External" /><Relationship Type="http://schemas.openxmlformats.org/officeDocument/2006/relationships/hyperlink" Id="rId25" Target="https://cran.r-project.org/web/packages/GMSE/index.html" TargetMode="External" /><Relationship Type="http://schemas.openxmlformats.org/officeDocument/2006/relationships/hyperlink" Id="rId135" Target="https://doi.org/10.1002/pan3.10155" TargetMode="External" /><Relationship Type="http://schemas.openxmlformats.org/officeDocument/2006/relationships/hyperlink" Id="rId159" Target="https://doi.org/10.1002/pan3.10207" TargetMode="External" /><Relationship Type="http://schemas.openxmlformats.org/officeDocument/2006/relationships/hyperlink" Id="rId81" Target="https://doi.org/10.1002/pan3.10242" TargetMode="External" /><Relationship Type="http://schemas.openxmlformats.org/officeDocument/2006/relationships/hyperlink" Id="rId109" Target="https://doi.org/10.1007/s11077-016-9250-4" TargetMode="External" /><Relationship Type="http://schemas.openxmlformats.org/officeDocument/2006/relationships/hyperlink" Id="rId79" Target="https://doi.org/10.1007/s11625-021-00989-w" TargetMode="External" /><Relationship Type="http://schemas.openxmlformats.org/officeDocument/2006/relationships/hyperlink" Id="rId67" Target="https://doi.org/10.1016/B978-0-12-438150-6.50018-2" TargetMode="External" /><Relationship Type="http://schemas.openxmlformats.org/officeDocument/2006/relationships/hyperlink" Id="rId121" Target="https://doi.org/10.1016/j.agee.2015.12.021" TargetMode="External" /><Relationship Type="http://schemas.openxmlformats.org/officeDocument/2006/relationships/hyperlink" Id="rId95" Target="https://doi.org/10.1016/j.ecolmodel.2006.04.023" TargetMode="External" /><Relationship Type="http://schemas.openxmlformats.org/officeDocument/2006/relationships/hyperlink" Id="rId145" Target="https://doi.org/10.1016/j.ecolmodel.2019.108784" TargetMode="External" /><Relationship Type="http://schemas.openxmlformats.org/officeDocument/2006/relationships/hyperlink" Id="rId119" Target="https://doi.org/10.1016/j.ecolmodel.2020.109396" TargetMode="External" /><Relationship Type="http://schemas.openxmlformats.org/officeDocument/2006/relationships/hyperlink" Id="rId99" Target="https://doi.org/10.1016/j.envsoft.2016.10.008" TargetMode="External" /><Relationship Type="http://schemas.openxmlformats.org/officeDocument/2006/relationships/hyperlink" Id="rId163" Target="https://doi.org/10.1016/j.envsoft.2017.09.012" TargetMode="External" /><Relationship Type="http://schemas.openxmlformats.org/officeDocument/2006/relationships/hyperlink" Id="rId137" Target="https://doi.org/10.1016/j.tree.2018.03.005" TargetMode="External" /><Relationship Type="http://schemas.openxmlformats.org/officeDocument/2006/relationships/hyperlink" Id="rId161" Target="https://doi.org/10.1021/acs.est.6b05296" TargetMode="External" /><Relationship Type="http://schemas.openxmlformats.org/officeDocument/2006/relationships/hyperlink" Id="rId113" Target="https://doi.org/10.1038/536143a" TargetMode="External" /><Relationship Type="http://schemas.openxmlformats.org/officeDocument/2006/relationships/hyperlink" Id="rId151" Target="https://doi.org/10.1038/nbt.4225" TargetMode="External" /><Relationship Type="http://schemas.openxmlformats.org/officeDocument/2006/relationships/hyperlink" Id="rId97" Target="https://doi.org/10.1038/s41467-020-17785-2" TargetMode="External" /><Relationship Type="http://schemas.openxmlformats.org/officeDocument/2006/relationships/hyperlink" Id="rId125" Target="https://doi.org/10.1038/s41562-020-0885-y" TargetMode="External" /><Relationship Type="http://schemas.openxmlformats.org/officeDocument/2006/relationships/hyperlink" Id="rId105" Target="https://doi.org/10.1057/ejdr.2011.47" TargetMode="External" /><Relationship Type="http://schemas.openxmlformats.org/officeDocument/2006/relationships/hyperlink" Id="rId107" Target="https://doi.org/10.1073/pnas.1115898108" TargetMode="External" /><Relationship Type="http://schemas.openxmlformats.org/officeDocument/2006/relationships/hyperlink" Id="rId73" Target="https://doi.org/10.1073/pnas.1704949114" TargetMode="External" /><Relationship Type="http://schemas.openxmlformats.org/officeDocument/2006/relationships/hyperlink" Id="rId117" Target="https://doi.org/10.1098/rstb.2011.0175" TargetMode="External" /><Relationship Type="http://schemas.openxmlformats.org/officeDocument/2006/relationships/hyperlink" Id="rId85" Target="https://doi.org/10.1098/rstb.2018.0053" TargetMode="External" /><Relationship Type="http://schemas.openxmlformats.org/officeDocument/2006/relationships/hyperlink" Id="rId149" Target="https://doi.org/10.1109/TG.2018.2867743" TargetMode="External" /><Relationship Type="http://schemas.openxmlformats.org/officeDocument/2006/relationships/hyperlink" Id="rId123" Target="https://doi.org/10.1111/1365-2664.12051" TargetMode="External" /><Relationship Type="http://schemas.openxmlformats.org/officeDocument/2006/relationships/hyperlink" Id="rId101" Target="https://doi.org/10.1111/2041-210X.12000" TargetMode="External" /><Relationship Type="http://schemas.openxmlformats.org/officeDocument/2006/relationships/hyperlink" Id="rId131" Target="https://doi.org/10.1111/2041-210X.13091" TargetMode="External" /><Relationship Type="http://schemas.openxmlformats.org/officeDocument/2006/relationships/hyperlink" Id="rId139" Target="https://doi.org/10.1111/brv.12326" TargetMode="External" /><Relationship Type="http://schemas.openxmlformats.org/officeDocument/2006/relationships/hyperlink" Id="rId65" Target="https://doi.org/10.1111/cobi.13372" TargetMode="External" /><Relationship Type="http://schemas.openxmlformats.org/officeDocument/2006/relationships/hyperlink" Id="rId87" Target="https://doi.org/10.1111/cobi.13633" TargetMode="External" /><Relationship Type="http://schemas.openxmlformats.org/officeDocument/2006/relationships/hyperlink" Id="rId141" Target="https://doi.org/10.1111/conl.12113" TargetMode="External" /><Relationship Type="http://schemas.openxmlformats.org/officeDocument/2006/relationships/hyperlink" Id="rId63" Target="https://doi.org/10.1111/ddi.12054" TargetMode="External" /><Relationship Type="http://schemas.openxmlformats.org/officeDocument/2006/relationships/hyperlink" Id="rId143" Target="https://doi.org/10.1111/j.1939-7445.2011.00108.x" TargetMode="External" /><Relationship Type="http://schemas.openxmlformats.org/officeDocument/2006/relationships/hyperlink" Id="rId75" Target="https://doi.org/10.1111/tops.12267" TargetMode="External" /><Relationship Type="http://schemas.openxmlformats.org/officeDocument/2006/relationships/hyperlink" Id="rId71" Target="https://doi.org/10.1126/sciadv.1400253" TargetMode="External" /><Relationship Type="http://schemas.openxmlformats.org/officeDocument/2006/relationships/hyperlink" Id="rId91" Target="https://doi.org/10.1126/science.1185802" TargetMode="External" /><Relationship Type="http://schemas.openxmlformats.org/officeDocument/2006/relationships/hyperlink" Id="rId127" Target="https://doi.org/10.1136/medhum-2012-010299" TargetMode="External" /><Relationship Type="http://schemas.openxmlformats.org/officeDocument/2006/relationships/hyperlink" Id="rId77" Target="https://doi.org/10.1186/s12889-017-4189-8" TargetMode="External" /><Relationship Type="http://schemas.openxmlformats.org/officeDocument/2006/relationships/hyperlink" Id="rId111" Target="https://doi.org/10.1257/jep.21.2.153" TargetMode="External" /><Relationship Type="http://schemas.openxmlformats.org/officeDocument/2006/relationships/hyperlink" Id="rId93" Target="https://doi.org/10.14512/gaia.25.4.13" TargetMode="External" /><Relationship Type="http://schemas.openxmlformats.org/officeDocument/2006/relationships/hyperlink" Id="rId147" Target="https://doi.org/10.18174/sesmo.2020a16340" TargetMode="External" /><Relationship Type="http://schemas.openxmlformats.org/officeDocument/2006/relationships/hyperlink" Id="rId155" Target="https://doi.org/10.3389/fmars.2021.645408" TargetMode="External" /><Relationship Type="http://schemas.openxmlformats.org/officeDocument/2006/relationships/hyperlink" Id="rId89" Target="https://doi.org/10.3389/fpsyg.2019.02846" TargetMode="External" /><Relationship Type="http://schemas.openxmlformats.org/officeDocument/2006/relationships/hyperlink" Id="rId157" Target="https://doi.org/10.5751/ES-08139-210139" TargetMode="External" /><Relationship Type="http://schemas.openxmlformats.org/officeDocument/2006/relationships/hyperlink" Id="rId115" Target="https://doi.org/10.5751/ES-08416-210338" TargetMode="External" /><Relationship Type="http://schemas.openxmlformats.org/officeDocument/2006/relationships/hyperlink" Id="rId83" Target="https://doi.org/10.5751/ES-11552-250213" TargetMode="External" /><Relationship Type="http://schemas.openxmlformats.org/officeDocument/2006/relationships/hyperlink" Id="rId133" Target="https://doi.org/10.5751/ES-12306-260208" TargetMode="External" /><Relationship Type="http://schemas.openxmlformats.org/officeDocument/2006/relationships/hyperlink" Id="rId153" Target="https://doi.org/10.7717/peerj.4509" TargetMode="External" /><Relationship Type="http://schemas.openxmlformats.org/officeDocument/2006/relationships/hyperlink" Id="rId129" Target="https://doi.org/10.7821/naer.3.1.11-19" TargetMode="External" /><Relationship Type="http://schemas.openxmlformats.org/officeDocument/2006/relationships/hyperlink" Id="rId31" Target="https://github.com/ConFooBio/gmse/blob/0e8aab2fb325421915a7c3615820812e45f42a74/R/gmse_apply_control.R#L146" TargetMode="External" /><Relationship Type="http://schemas.openxmlformats.org/officeDocument/2006/relationships/hyperlink" Id="rId30" Target="https://github.com/ConFooBio/gmse/tree/man_control" TargetMode="External" /><Relationship Type="http://schemas.openxmlformats.org/officeDocument/2006/relationships/hyperlink" Id="rId24" Target="https://ochil-ds.co.uk/animalnfarm/" TargetMode="External" /><Relationship Type="http://schemas.openxmlformats.org/officeDocument/2006/relationships/hyperlink" Id="rId103"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2021-09-22T16:30:00Z</dcterms:created>
  <dcterms:modified xsi:type="dcterms:W3CDTF">2021-09-22T16:30:00Z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