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p>
      <w:pPr>
        <w:pStyle w:val="FirstParagraph"/>
      </w:pPr>
      <w:r>
        <w:rPr>
          <w:iCs/>
          <w:i/>
        </w:rPr>
        <w:t xml:space="preserve">Jeroen Minderman</w:t>
      </w:r>
      <w:r>
        <w:rPr>
          <w:vertAlign w:val="superscript"/>
          <w:iCs/>
          <w:i/>
        </w:rPr>
        <w:t xml:space="preserve">1</w:t>
      </w:r>
      <w:r>
        <w:rPr>
          <w:iCs/>
          <w:i/>
        </w:rPr>
        <w:t xml:space="preserve">, A. Bradley Duthie</w:t>
      </w:r>
      <w:r>
        <w:rPr>
          <w:vertAlign w:val="superscript"/>
          <w:iCs/>
          <w:i/>
        </w:rPr>
        <w:t xml:space="preserve">1</w:t>
      </w:r>
      <w:r>
        <w:rPr>
          <w:iCs/>
          <w:i/>
        </w:rPr>
        <w:t xml:space="preserve">, Nils Bunnefeld</w:t>
      </w:r>
      <w:r>
        <w:rPr>
          <w:vertAlign w:val="superscript"/>
          <w:iCs/>
          <w:i/>
        </w:rPr>
        <w:t xml:space="preserve">1</w:t>
      </w:r>
    </w:p>
    <w:p>
      <w:pPr>
        <w:pStyle w:val="TextBody"/>
      </w:pPr>
      <w:r>
        <w:rPr>
          <w:vertAlign w:val="superscript"/>
        </w:rPr>
        <w:t xml:space="preserve">1</w:t>
      </w:r>
      <w:r>
        <w:t xml:space="preserve">ConFooBio, Biological &amp; Environmental Sciences, University of Stirling, Stirling, FK10 3BA</w:t>
      </w:r>
    </w:p>
    <w:bookmarkStart w:id="20" w:name="summary"/>
    <w:p>
      <w:pPr>
        <w:pStyle w:val="Heading1"/>
      </w:pPr>
      <w:r>
        <w:t xml:space="preserve">Summary</w:t>
      </w:r>
    </w:p>
    <w:bookmarkEnd w:id="20"/>
    <w:bookmarkStart w:id="22"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(IPCC 2021)</w:t>
      </w:r>
      <w:r>
        <w:t xml:space="preserve"> </w:t>
      </w:r>
      <w:r>
        <w:t xml:space="preserve">to supporting the understanding of fundamental processes in natural resource management</w:t>
      </w:r>
      <w:r>
        <w:t xml:space="preserve"> </w:t>
      </w:r>
      <w:r>
        <w:t xml:space="preserve">(e.g. Fryxell et al. 2010; Cusack et al. 2020)</w:t>
      </w:r>
      <w:r>
        <w:t xml:space="preserve">. Given the continued rapid global loss of biodiversity</w:t>
      </w:r>
      <w:r>
        <w:t xml:space="preserve"> </w:t>
      </w:r>
      <w:r>
        <w:t xml:space="preserve">(Ceballos et al. 2015; Ceballos, Ehrlich, and Dirzo 2017)</w:t>
      </w:r>
      <w:r>
        <w:t xml:space="preserve">, understanding the mechanisms and consequences of such loss is vital. Although a number of drivers of biodiversity loss have been identified</w:t>
      </w:r>
      <w:r>
        <w:t xml:space="preserve"> </w:t>
      </w:r>
      <w:r>
        <w:t xml:space="preserve">(e.g. Maxwell et al. 2016)</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 Wilting et al. 2017)</w:t>
      </w:r>
      <w:r>
        <w:t xml:space="preserve">. 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(Milner-Gulland 2012; Schlüter et al. 2012)</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r>
        <w:t xml:space="preserve">Orach, Duit, and Schlüter (2020)</w:t>
      </w:r>
      <w:r>
        <w:t xml:space="preserve"> </w:t>
      </w:r>
      <w:r>
        <w:t xml:space="preserve">used an agent-based model to show how coalitions of interest groups can stabilise natural resource dynamics, whereas</w:t>
      </w:r>
      <w:r>
        <w:t xml:space="preserve"> </w:t>
      </w:r>
      <w:r>
        <w:t xml:space="preserve">Cusack et al. (2020)</w:t>
      </w:r>
      <w:r>
        <w:t xml:space="preserve"> </w:t>
      </w:r>
      <w:r>
        <w:t xml:space="preserve">used a novel agent-based modelling framework</w:t>
      </w:r>
      <w:r>
        <w:t xml:space="preserve"> </w:t>
      </w:r>
      <w:r>
        <w:t xml:space="preserve">(Duthie et al. 2018)</w:t>
      </w:r>
      <w:r>
        <w:t xml:space="preserve"> </w:t>
      </w:r>
      <w:r>
        <w:t xml:space="preserve">to assess the effect of lobbying on species extinction risk.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w:t>
      </w:r>
      <w:r>
        <w:t xml:space="preserve"> </w:t>
      </w:r>
      <w:r>
        <w:t xml:space="preserve">(Grimm et al. 2006)</w:t>
      </w:r>
      <w:r>
        <w:t xml:space="preserve">. This is particularly important for models for resource use in socio-ecological systems, as they are often specifically intended for use by managers or stakeholders who may lack technical expertise. Much has been said about improving the uptake of models in such settings</w:t>
      </w:r>
      <w:r>
        <w:t xml:space="preserve"> </w:t>
      </w:r>
      <w:r>
        <w:t xml:space="preserve">(e.g. Addison et al. 2013; Schuwirth et al. 2019; Will et al. 2021)</w:t>
      </w:r>
      <w:r>
        <w:t xml:space="preserve">, and detailed documentation of the purpose, organisation and predictions has been highlighted as particularly important</w:t>
      </w:r>
      <w:r>
        <w:t xml:space="preserve"> </w:t>
      </w:r>
      <w:r>
        <w:t xml:space="preserve">(Grimm et al. 2020)</w:t>
      </w:r>
      <w:r>
        <w:t xml:space="preserve">. Even so, often the evidence for practical uptake of many models is limited</w:t>
      </w:r>
      <w:r>
        <w:t xml:space="preserve"> </w:t>
      </w:r>
      <w:r>
        <w:t xml:space="preserve">(Addison et al. 2013; Zasada et al. 2017)</w:t>
      </w:r>
      <w:r>
        <w:t xml:space="preserve">.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(Groeneveld et al. 2017)</w:t>
      </w:r>
      <w:r>
        <w:t xml:space="preserve">. 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 Kolkman et al. 2016)</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in research</w:t>
      </w:r>
      <w:r>
        <w:t xml:space="preserve"> </w:t>
      </w:r>
      <w:r>
        <w:t xml:space="preserve">(Sandbrook, Adams, and Monteferri 2015; Chabris 2017; Redpath et al. 2018)</w:t>
      </w:r>
      <w:r>
        <w:t xml:space="preserve">, including as tools to aid the communication of complex ideas and processes to non-specialists</w:t>
      </w:r>
      <w:r>
        <w:t xml:space="preserve"> </w:t>
      </w:r>
      <w:r>
        <w:t xml:space="preserve">(Garcia, Dray, and Waeber 2016; Tan et al. 2018; Fjaellingsdal and Kloeckner 2019)</w:t>
      </w:r>
      <w:r>
        <w:t xml:space="preserve">.</w:t>
      </w:r>
      <w:r>
        <w:t xml:space="preserve"> </w:t>
      </w:r>
      <w:r>
        <w:t xml:space="preserve">Given this long history, it is striking that the parallels between games (particularly videogames)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 Meinzen-Dick et al. 2016; Villamor and Badmos 2016; S. Rakotonarivo et al. 2021; O. S. Rakotonarivo et al. 2021)</w:t>
      </w:r>
      <w:r>
        <w:t xml:space="preserve"> </w:t>
      </w:r>
      <w:r>
        <w:t xml:space="preserve">on what affects decision-making in socio-ecological systems. 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 Many existing models represent human decision-making by relatively crude algorithms (e.g. fully rational utility maximisation) despite widespread recognition that this does not reflect real-world decision-making</w:t>
      </w:r>
      <w:r>
        <w:t xml:space="preserve"> </w:t>
      </w:r>
      <w:r>
        <w:t xml:space="preserve">(Groeneveld et al. 2017)</w:t>
      </w:r>
      <w:r>
        <w:t xml:space="preserve">.</w:t>
      </w:r>
      <w:r>
        <w:t xml:space="preserve"> </w:t>
      </w:r>
      <w:r>
        <w:t xml:space="preserve">By presenting real-world stakeholders with in-game decisions that would otherwise be taken by a predefined algorithm, large data sets of actions and outcomes may be collected.</w:t>
      </w:r>
      <w:r>
        <w:t xml:space="preserve"> </w:t>
      </w:r>
      <w:r>
        <w:t xml:space="preserve">Given a large enough sample of players and in-game conditions, such data might then be used to train decision-making algorithms that better reflect human decision-making in natural resource management</w:t>
      </w:r>
      <w:r>
        <w:rPr>
          <w:rStyle w:val="FootnoteReference"/>
        </w:rPr>
        <w:footnoteReference w:id="21"/>
      </w:r>
      <w:r>
        <w:t xml:space="preserve">.</w:t>
      </w:r>
      <w:r>
        <w:t xml:space="preserve"> </w:t>
      </w:r>
      <w:r>
        <w:t xml:space="preserve">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(Sipper and Moore 2020)</w:t>
      </w:r>
      <w:r>
        <w:t xml:space="preserve"> </w:t>
      </w:r>
      <w:r>
        <w:t xml:space="preserve">approach has already been widely used in a number of other fields (e.g. crowdsourcing accurate protein-structure models</w:t>
      </w:r>
      <w:r>
        <w:t xml:space="preserve"> </w:t>
      </w:r>
      <w:r>
        <w:t xml:space="preserve">(Khatib et al. 2011)</w:t>
      </w:r>
      <w:r>
        <w:t xml:space="preserve">, and classification of fluorescence microscopy images</w:t>
      </w:r>
      <w:r>
        <w:t xml:space="preserve"> </w:t>
      </w:r>
      <w:r>
        <w:t xml:space="preserve">(Sullivan et al. 2018)</w:t>
      </w:r>
      <w:r>
        <w:t xml:space="preserve">), but remains rare in conservation science</w:t>
      </w:r>
      <w:r>
        <w:t xml:space="preserve"> </w:t>
      </w:r>
      <w:r>
        <w:t xml:space="preserve">(but see van den Bergh et al. 2021)</w:t>
      </w:r>
      <w:r>
        <w:t xml:space="preserve">. Thus, model-games can be considered</w:t>
      </w:r>
      <w:r>
        <w:t xml:space="preserve"> </w:t>
      </w:r>
      <w:r>
        <w:t xml:space="preserve">“</w:t>
      </w:r>
      <w:r>
        <w:t xml:space="preserve">virtual laboratories</w:t>
      </w:r>
      <w:r>
        <w:t xml:space="preserve">”</w:t>
      </w:r>
      <w:r>
        <w:t xml:space="preserve"> </w:t>
      </w:r>
      <w:r>
        <w:t xml:space="preserve">(Duthie et al. 2021)</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2"/>
    <w:bookmarkStart w:id="40" w:name="outline-of-approach"/>
    <w:p>
      <w:pPr>
        <w:pStyle w:val="Heading1"/>
      </w:pPr>
      <w:r>
        <w:t xml:space="preserve">Outline of approach</w:t>
      </w:r>
    </w:p>
    <w:p>
      <w:pPr>
        <w:pStyle w:val="FirstParagraph"/>
      </w:pPr>
      <w:hyperlink r:id="rId23">
        <w:r>
          <w:rPr>
            <w:rStyle w:val="InternetLink"/>
          </w:rPr>
          <w:t xml:space="preserve">A&amp;F is available to play online</w:t>
        </w:r>
      </w:hyperlink>
      <w:r>
        <w:t xml:space="preserve">.</w:t>
      </w:r>
    </w:p>
    <w:p>
      <w:pPr>
        <w:pStyle w:val="TextBody"/>
      </w:pPr>
      <w:r>
        <w:t xml:space="preserve">Overall, it consists of two main components; (1) the underlying model(s) describing the wild grazing animal (</w:t>
      </w:r>
      <w:r>
        <w:t xml:space="preserve">“</w:t>
      </w:r>
      <w:r>
        <w:t xml:space="preserve">resource</w:t>
      </w:r>
      <w:r>
        <w:t xml:space="preserve">”</w:t>
      </w:r>
      <w:r>
        <w:t xml:space="preserve">) population dynamics, the observation of this population, and farmer (</w:t>
      </w:r>
      <w:r>
        <w:t xml:space="preserve">“</w:t>
      </w:r>
      <w:r>
        <w:t xml:space="preserve">user</w:t>
      </w:r>
      <w:r>
        <w:t xml:space="preserve">”</w:t>
      </w:r>
      <w:r>
        <w:t xml:space="preserve"> </w:t>
      </w:r>
      <w:r>
        <w:t xml:space="preserve">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w:t>
      </w:r>
      <w:r>
        <w:t xml:space="preserve"> </w:t>
      </w:r>
      <w:r>
        <w:t xml:space="preserve">“</w:t>
      </w:r>
      <w:r>
        <w:t xml:space="preserve">vanilla</w:t>
      </w:r>
      <w:r>
        <w:t xml:space="preserve">”</w:t>
      </w:r>
      <w:r>
        <w:t xml:space="preserve"> </w:t>
      </w:r>
      <w:r>
        <w:t xml:space="preserve">GMSE set up.</w:t>
      </w:r>
    </w:p>
    <w:bookmarkStart w:id="26" w:name="underlying-model-gmse"/>
    <w:p>
      <w:pPr>
        <w:pStyle w:val="Heading2"/>
      </w:pPr>
      <w:r>
        <w:t xml:space="preserve">Underlying model: GMSE</w:t>
      </w:r>
    </w:p>
    <w:bookmarkStart w:id="24" w:name="X661808d150ab65b64bbf7eca0b36a8bee1a312a"/>
    <w:p>
      <w:pPr>
        <w:pStyle w:val="Heading3"/>
      </w:pPr>
      <w:r>
        <w:t xml:space="preserve">Basic introduction of GMSE principles and structures</w:t>
      </w:r>
    </w:p>
    <w:bookmarkEnd w:id="24"/>
    <w:bookmarkStart w:id="25" w:name="brief-discussion-of-limitations-of-gmse"/>
    <w:p>
      <w:pPr>
        <w:pStyle w:val="Heading3"/>
      </w:pPr>
      <w:r>
        <w:t xml:space="preserve">Brief discussion of limitations of GMSE</w:t>
      </w:r>
    </w:p>
    <w:bookmarkEnd w:id="25"/>
    <w:bookmarkEnd w:id="26"/>
    <w:bookmarkStart w:id="39" w:name="animalfarm"/>
    <w:p>
      <w:pPr>
        <w:pStyle w:val="Heading2"/>
      </w:pPr>
      <w:r>
        <w:t xml:space="preserve">Animal&amp;Farm</w:t>
      </w:r>
    </w:p>
    <w:bookmarkStart w:id="30" w:name="structure-as-relating-to-gmse"/>
    <w:p>
      <w:pPr>
        <w:pStyle w:val="Heading3"/>
      </w:pPr>
      <w:r>
        <w:t xml:space="preserve">Structure as relating to GMSE</w:t>
      </w:r>
    </w:p>
    <w:p>
      <w:pPr>
        <w:pStyle w:val="FirstParagraph"/>
      </w:pPr>
      <w:r>
        <w:t xml:space="preserve">In the default implementation of GMSE 0.6.2.0, a single time</w:t>
      </w:r>
      <w:r>
        <w:t xml:space="preserve"> </w:t>
      </w:r>
      <m:oMath>
        <m:r>
          <m:t>t</m:t>
        </m:r>
      </m:oMath>
      <w:r>
        <w:t xml:space="preserve"> </w:t>
      </w:r>
      <w:r>
        <w:t xml:space="preserve">step consists of a series of calls to the resource model, observation model, management model and user model, in that specific order; in other words, a time step ends after user actions have been chosen (by the GA) and implemented [</w:t>
      </w:r>
      <w:r>
        <w:rPr>
          <w:bCs/>
          <w:b/>
        </w:rPr>
        <w:t xml:space="preserve">FIG Xa</w:t>
      </w:r>
      <w:r>
        <w:t xml:space="preserve">].</w:t>
      </w:r>
      <w:r>
        <w:t xml:space="preserve"> </w:t>
      </w:r>
      <w:r>
        <w:t xml:space="preserve">To allow players to assess the environment and interactively choose management actions, A&amp;F uses a modified version of GMSE.</w:t>
      </w:r>
    </w:p>
    <w:p>
      <w:pPr>
        <w:pStyle w:val="TextBody"/>
      </w:pPr>
      <w:r>
        <w:t xml:space="preserve">A&amp;F uses a development version of GMSE (v. 0.6.2.0, implemented in R version 4.1.0 (2021-05-18), code available</w:t>
      </w:r>
      <w:r>
        <w:t xml:space="preserve"> </w:t>
      </w:r>
      <w:hyperlink r:id="rId27">
        <w:r>
          <w:rPr>
            <w:rStyle w:val="InternetLink"/>
          </w:rPr>
          <w:t xml:space="preserve">here</w:t>
        </w:r>
      </w:hyperlink>
      <w:r>
        <w:t xml:space="preserve"> </w:t>
      </w:r>
      <w:r>
        <w:t xml:space="preserve">in which the management model is replaced by user (player) inputs, and the order of operations is altered to accommodate this.</w:t>
      </w:r>
      <w:r>
        <w:t xml:space="preserve"> </w:t>
      </w:r>
      <w:r>
        <w:t xml:space="preserve">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Cs/>
          <w:b/>
        </w:rPr>
        <w:t xml:space="preserve">see below</w:t>
      </w:r>
      <w:r>
        <w:t xml:space="preserve">).</w:t>
      </w:r>
      <w:r>
        <w:t xml:space="preserve"> </w:t>
      </w:r>
      <w:r>
        <w:t xml:space="preserve">These time steps are followed by a</w:t>
      </w:r>
      <w:r>
        <w:t xml:space="preserve"> </w:t>
      </w:r>
      <w:r>
        <w:t xml:space="preserve">“</w:t>
      </w:r>
      <w:r>
        <w:t xml:space="preserve">partial</w:t>
      </w:r>
      <w:r>
        <w:t xml:space="preserve">”</w:t>
      </w:r>
      <w:r>
        <w:t xml:space="preserve"> </w:t>
      </w:r>
      <w:r>
        <w:t xml:space="preserve">time step where only the resource and observation models are run, skipping the management and user models.</w:t>
      </w:r>
      <w:r>
        <w:t xml:space="preserve"> </w:t>
      </w:r>
      <w:r>
        <w:t xml:space="preserve">As a result, at the end of these initial time steps (</w:t>
      </w:r>
      <w:hyperlink r:id="rId28">
        <w:r>
          <w:rPr>
            <w:rStyle w:val="VerbatimChar"/>
          </w:rPr>
          <w:t xml:space="preserve">init_man_control()</w:t>
        </w:r>
      </w:hyperlink>
      <w:r>
        <w:t xml:space="preserve">), the simulated system has five population and observation time steps and is ready for the next choice of management action at</w:t>
      </w:r>
      <w:r>
        <w:t xml:space="preserve"> </w:t>
      </w:r>
      <m:oMath>
        <m:r>
          <m:t>t</m:t>
        </m:r>
        <m:r>
          <m:rPr>
            <m:sty m:val="p"/>
          </m:rPr>
          <m:t>=</m:t>
        </m:r>
        <m:r>
          <m:t>5</m:t>
        </m:r>
      </m:oMath>
      <w:r>
        <w:t xml:space="preserve">, pending the first player input.</w:t>
      </w:r>
      <w:r>
        <w:t xml:space="preserve"> </w:t>
      </w:r>
      <w:r>
        <w:t xml:space="preserve">This is done both to set up all the required GMSE data structures using existing code, as well as to provide the player with a short time series on which to base management decisions going forward.</w:t>
      </w:r>
    </w:p>
    <w:p>
      <w:pPr>
        <w:pStyle w:val="TextBody"/>
      </w:pPr>
      <w:r>
        <w:t xml:space="preserve">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hyperlink r:id="rId29">
        <w:r>
          <w:rPr>
            <w:rStyle w:val="VerbatimChar"/>
          </w:rPr>
          <w:t xml:space="preserve">gmse_apply_UROM()</w:t>
        </w:r>
      </w:hyperlink>
      <w:r>
        <w:t xml:space="preserve">) [</w:t>
      </w:r>
      <w:r>
        <w:rPr>
          <w:bCs/>
          <w:b/>
        </w:rPr>
        <w:t xml:space="preserve">FIG Xb</w:t>
      </w:r>
      <w:r>
        <w:t xml:space="preserve">].</w:t>
      </w:r>
      <w:r>
        <w:t xml:space="preserve"> </w:t>
      </w:r>
      <w:r>
        <w:t xml:space="preserve">The current implementation of A&amp;F continues for a maximum of 20 time steps, following the initial five, at which point the game session is ended and the player is presented with a scoreboard.</w:t>
      </w:r>
      <w:r>
        <w:t xml:space="preserve"> </w:t>
      </w:r>
      <w:r>
        <w:t xml:space="preserve">If the resource population reaches extinction, the game session is also terminated.</w:t>
      </w:r>
    </w:p>
    <w:bookmarkEnd w:id="30"/>
    <w:bookmarkStart w:id="36" w:name="user-interface"/>
    <w:p>
      <w:pPr>
        <w:pStyle w:val="Heading3"/>
      </w:pPr>
      <w:r>
        <w:t xml:space="preserve">User interface</w:t>
      </w:r>
    </w:p>
    <w:p>
      <w:pPr>
        <w:pStyle w:val="FirstParagraph"/>
      </w:pPr>
      <w:r>
        <w:t xml:space="preserve">The user interface for A&amp;F is a web application is coded in R, using</w:t>
      </w:r>
      <w:r>
        <w:t xml:space="preserve"> </w:t>
      </w:r>
      <w:hyperlink r:id="rId31">
        <w:r>
          <w:rPr>
            <w:rStyle w:val="VerbatimChar"/>
          </w:rPr>
          <w:t xml:space="preserve">Shiny</w:t>
        </w:r>
      </w:hyperlink>
      <w:r>
        <w:t xml:space="preserve"> </w:t>
      </w:r>
      <w:r>
        <w:t xml:space="preserve">(1.6.0), and packages</w:t>
      </w:r>
      <w:r>
        <w:t xml:space="preserve"> </w:t>
      </w:r>
      <w:hyperlink r:id="rId32">
        <w:r>
          <w:rPr>
            <w:rStyle w:val="VerbatimChar"/>
          </w:rPr>
          <w:t xml:space="preserve">shinyjs</w:t>
        </w:r>
      </w:hyperlink>
      <w:r>
        <w:t xml:space="preserve"> </w:t>
      </w:r>
      <w:r>
        <w:t xml:space="preserve">(2.0.0),</w:t>
      </w:r>
      <w:r>
        <w:t xml:space="preserve"> </w:t>
      </w:r>
      <w:hyperlink r:id="rId33">
        <w:r>
          <w:rPr>
            <w:rStyle w:val="VerbatimChar"/>
          </w:rPr>
          <w:t xml:space="preserve">shinyBS</w:t>
        </w:r>
      </w:hyperlink>
      <w:r>
        <w:t xml:space="preserve"> </w:t>
      </w:r>
      <w:r>
        <w:t xml:space="preserve">(0.61), and</w:t>
      </w:r>
      <w:r>
        <w:t xml:space="preserve"> </w:t>
      </w:r>
      <w:hyperlink r:id="rId34">
        <w:r>
          <w:rPr>
            <w:rStyle w:val="VerbatimChar"/>
          </w:rPr>
          <w:t xml:space="preserve">waiter</w:t>
        </w:r>
      </w:hyperlink>
      <w:r>
        <w:t xml:space="preserve"> </w:t>
      </w:r>
      <w:r>
        <w:t xml:space="preserve">(0.2.2).</w:t>
      </w:r>
    </w:p>
    <w:bookmarkStart w:id="35" w:name="scoreboard"/>
    <w:p>
      <w:pPr>
        <w:pStyle w:val="Heading4"/>
      </w:pPr>
      <w:r>
        <w:t xml:space="preserve">Scoreboard</w:t>
      </w:r>
    </w:p>
    <w:bookmarkEnd w:id="35"/>
    <w:bookmarkEnd w:id="36"/>
    <w:bookmarkStart w:id="37" w:name="database-back-end"/>
    <w:p>
      <w:pPr>
        <w:pStyle w:val="Heading3"/>
      </w:pPr>
      <w:r>
        <w:t xml:space="preserve">Database</w:t>
      </w:r>
      <w:r>
        <w:t xml:space="preserve"> </w:t>
      </w:r>
      <w:r>
        <w:t xml:space="preserve">“</w:t>
      </w:r>
      <w:r>
        <w:t xml:space="preserve">back end</w:t>
      </w:r>
      <w:r>
        <w:t xml:space="preserve">”</w:t>
      </w:r>
    </w:p>
    <w:bookmarkEnd w:id="37"/>
    <w:bookmarkStart w:id="38"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Expandability of parameter variation</w:t>
      </w:r>
    </w:p>
    <w:p>
      <w:pPr>
        <w:pStyle w:val="TextBody"/>
      </w:pPr>
      <w:r>
        <w:t xml:space="preserve">Setting up</w:t>
      </w:r>
      <w:r>
        <w:t xml:space="preserve"> </w:t>
      </w:r>
      <w:r>
        <w:t xml:space="preserve">“</w:t>
      </w:r>
      <w:r>
        <w:t xml:space="preserve">scenarios</w:t>
      </w:r>
      <w:r>
        <w:t xml:space="preserve">”</w:t>
      </w:r>
      <w:r>
        <w:t xml:space="preserve"> </w:t>
      </w:r>
      <w:r>
        <w:t xml:space="preserve">to test specific hypotheses/predictions</w:t>
      </w:r>
    </w:p>
    <w:bookmarkEnd w:id="38"/>
    <w:bookmarkEnd w:id="39"/>
    <w:bookmarkEnd w:id="40"/>
    <w:bookmarkStart w:id="45" w:name="example-application"/>
    <w:p>
      <w:pPr>
        <w:pStyle w:val="Heading1"/>
      </w:pPr>
      <w:r>
        <w:t xml:space="preserve">Example application</w:t>
      </w:r>
    </w:p>
    <w:bookmarkStart w:id="41" w:name="methodsrationale-for-scenario-set-up"/>
    <w:p>
      <w:pPr>
        <w:pStyle w:val="Heading2"/>
      </w:pPr>
      <w:r>
        <w:t xml:space="preserve">Methods/rationale for scenario set up</w:t>
      </w:r>
    </w:p>
    <w:bookmarkEnd w:id="41"/>
    <w:bookmarkStart w:id="42" w:name="illustrative-results"/>
    <w:p>
      <w:pPr>
        <w:pStyle w:val="Heading2"/>
      </w:pPr>
      <w:r>
        <w:t xml:space="preserve">Illustrative results</w:t>
      </w:r>
    </w:p>
    <w:bookmarkEnd w:id="42"/>
    <w:bookmarkStart w:id="44" w:name="summary-of-player-feedback"/>
    <w:p>
      <w:pPr>
        <w:pStyle w:val="Heading2"/>
      </w:pPr>
      <w:r>
        <w:t xml:space="preserve">Summary of player feedback</w:t>
      </w:r>
    </w:p>
    <w:bookmarkStart w:id="43" w:name="section"/>
    <w:p>
      <w:pPr>
        <w:pStyle w:val="Heading3"/>
      </w:pPr>
    </w:p>
    <w:bookmarkEnd w:id="43"/>
    <w:bookmarkEnd w:id="44"/>
    <w:bookmarkEnd w:id="45"/>
    <w:bookmarkStart w:id="124" w:name="discussion"/>
    <w:p>
      <w:pPr>
        <w:pStyle w:val="Heading1"/>
      </w:pPr>
      <w:r>
        <w:t xml:space="preserve">Discussion</w:t>
      </w:r>
    </w:p>
    <w:bookmarkStart w:id="46" w:name="Xa9535846b2adfd25e25fac9f5c27e9bf4361617"/>
    <w:p>
      <w:pPr>
        <w:pStyle w:val="Heading2"/>
      </w:pPr>
      <w:r>
        <w:t xml:space="preserve">Brief summary of aims, process and outcome of example scenarios</w:t>
      </w:r>
    </w:p>
    <w:bookmarkEnd w:id="46"/>
    <w:bookmarkStart w:id="47" w:name="revisit-player-feedback"/>
    <w:p>
      <w:pPr>
        <w:pStyle w:val="Heading2"/>
      </w:pPr>
      <w:r>
        <w:t xml:space="preserve">Revisit player feedback</w:t>
      </w:r>
    </w:p>
    <w:bookmarkEnd w:id="47"/>
    <w:bookmarkStart w:id="48" w:name="Xf0fe130512899828161ec518a4f286486541478"/>
    <w:p>
      <w:pPr>
        <w:pStyle w:val="Heading2"/>
      </w:pPr>
      <w:r>
        <w:t xml:space="preserve">Discussion of limitations of overall approach, with reference to player feedback</w:t>
      </w:r>
    </w:p>
    <w:bookmarkEnd w:id="48"/>
    <w:bookmarkStart w:id="49" w:name="X3f20906c92819e45bf354eb538df34603a1721f"/>
    <w:p>
      <w:pPr>
        <w:pStyle w:val="Heading2"/>
      </w:pPr>
      <w:r>
        <w:t xml:space="preserve">(Potentially general discussion of issues with games approach?)</w:t>
      </w:r>
    </w:p>
    <w:bookmarkEnd w:id="49"/>
    <w:bookmarkStart w:id="53" w:name="discussion-of-potential"/>
    <w:p>
      <w:pPr>
        <w:pStyle w:val="Heading2"/>
      </w:pPr>
      <w:r>
        <w:t xml:space="preserve">Discussion of potential</w:t>
      </w:r>
    </w:p>
    <w:bookmarkStart w:id="50"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50"/>
    <w:bookmarkStart w:id="51" w:name="Xdd946997f7007cf539ea75c2dc05801b1d23efe"/>
    <w:p>
      <w:pPr>
        <w:pStyle w:val="Heading3"/>
      </w:pPr>
      <w:r>
        <w:t xml:space="preserve">Yes, problematic when expecting direct application to real life, but again this is/should be clear for all models.</w:t>
      </w:r>
    </w:p>
    <w:bookmarkEnd w:id="51"/>
    <w:bookmarkStart w:id="52" w:name="X7e54ea71f1e27e050e97c54af9b9f891788b8b0"/>
    <w:p>
      <w:pPr>
        <w:pStyle w:val="Heading3"/>
      </w:pPr>
      <w:r>
        <w:t xml:space="preserve">Highlight expandability of approach, sandboxing ideas in flexible simulated environment</w:t>
      </w:r>
    </w:p>
    <w:bookmarkEnd w:id="52"/>
    <w:bookmarkEnd w:id="53"/>
    <w:bookmarkStart w:id="123" w:name="section-1"/>
    <w:p>
      <w:pPr>
        <w:pStyle w:val="Heading2"/>
      </w:pPr>
    </w:p>
    <w:bookmarkStart w:id="122" w:name="refs"/>
    <w:bookmarkStart w:id="55"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54">
        <w:r>
          <w:rPr>
            <w:rStyle w:val="InternetLink"/>
          </w:rPr>
          <w:t xml:space="preserve">https://doi.org/10.1111/ddi.12054</w:t>
        </w:r>
      </w:hyperlink>
      <w:r>
        <w:t xml:space="preserve">.</w:t>
      </w:r>
    </w:p>
    <w:bookmarkEnd w:id="55"/>
    <w:bookmarkStart w:id="57"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56">
        <w:r>
          <w:rPr>
            <w:rStyle w:val="InternetLink"/>
          </w:rPr>
          <w:t xml:space="preserve">https://doi.org/10.1126/sciadv.1400253</w:t>
        </w:r>
      </w:hyperlink>
      <w:r>
        <w:t xml:space="preserve">.</w:t>
      </w:r>
    </w:p>
    <w:bookmarkEnd w:id="57"/>
    <w:bookmarkStart w:id="59"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58">
        <w:r>
          <w:rPr>
            <w:rStyle w:val="InternetLink"/>
          </w:rPr>
          <w:t xml:space="preserve">https://doi.org/10.1073/pnas.1704949114</w:t>
        </w:r>
      </w:hyperlink>
      <w:r>
        <w:t xml:space="preserve">.</w:t>
      </w:r>
    </w:p>
    <w:bookmarkEnd w:id="59"/>
    <w:bookmarkStart w:id="61" w:name="ref-chabris2017"/>
    <w:p>
      <w:pPr>
        <w:pStyle w:val="Bibliography"/>
      </w:pPr>
      <w:r>
        <w:t xml:space="preserve">Chabris, Christopher F. 2017.</w:t>
      </w:r>
      <w:r>
        <w:t xml:space="preserve"> </w:t>
      </w:r>
      <w:r>
        <w:t xml:space="preserve">“Six Suggestions for Research on Games in Cognitive Science.”</w:t>
      </w:r>
      <w:r>
        <w:t xml:space="preserve"> </w:t>
      </w:r>
      <w:r>
        <w:rPr>
          <w:iCs/>
          <w:i/>
        </w:rPr>
        <w:t xml:space="preserve">Topics in Cognitive Science</w:t>
      </w:r>
      <w:r>
        <w:t xml:space="preserve"> </w:t>
      </w:r>
      <w:r>
        <w:t xml:space="preserve">9 (2): 497–509.</w:t>
      </w:r>
      <w:r>
        <w:t xml:space="preserve"> </w:t>
      </w:r>
      <w:hyperlink r:id="rId60">
        <w:r>
          <w:rPr>
            <w:rStyle w:val="InternetLink"/>
          </w:rPr>
          <w:t xml:space="preserve">https://doi.org/10.1111/tops.12267</w:t>
        </w:r>
      </w:hyperlink>
      <w:r>
        <w:t xml:space="preserve">.</w:t>
      </w:r>
    </w:p>
    <w:bookmarkEnd w:id="61"/>
    <w:bookmarkStart w:id="63"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62">
        <w:r>
          <w:rPr>
            <w:rStyle w:val="InternetLink"/>
          </w:rPr>
          <w:t xml:space="preserve">https://doi.org/10.5751/ES-11552-250213</w:t>
        </w:r>
      </w:hyperlink>
      <w:r>
        <w:t xml:space="preserve">.</w:t>
      </w:r>
    </w:p>
    <w:bookmarkEnd w:id="63"/>
    <w:bookmarkStart w:id="65"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64">
        <w:r>
          <w:rPr>
            <w:rStyle w:val="InternetLink"/>
          </w:rPr>
          <w:t xml:space="preserve">https://doi.org/10.1111/2041-210X.13091</w:t>
        </w:r>
      </w:hyperlink>
      <w:r>
        <w:t xml:space="preserve">.</w:t>
      </w:r>
    </w:p>
    <w:bookmarkEnd w:id="65"/>
    <w:bookmarkStart w:id="67"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66">
        <w:r>
          <w:rPr>
            <w:rStyle w:val="InternetLink"/>
          </w:rPr>
          <w:t xml:space="preserve">https://doi.org/10.1111/cobi.13633</w:t>
        </w:r>
      </w:hyperlink>
      <w:r>
        <w:t xml:space="preserve">.</w:t>
      </w:r>
    </w:p>
    <w:bookmarkEnd w:id="67"/>
    <w:bookmarkStart w:id="69" w:name="ref-fjaellingsdal2019"/>
    <w:p>
      <w:pPr>
        <w:pStyle w:val="Bibliography"/>
      </w:pPr>
      <w:r>
        <w:t xml:space="preserve">Fjaellingsdal, Kristoffer S., and Christian A. Kloeckner. 2019.</w:t>
      </w:r>
      <w:r>
        <w:t xml:space="preserve"> </w:t>
      </w:r>
      <w:r>
        <w:t xml:space="preserve">“Gaming Green: The Educational Potential of Eco - a Digital Simulated Ecosystem.”</w:t>
      </w:r>
      <w:r>
        <w:t xml:space="preserve"> </w:t>
      </w:r>
      <w:r>
        <w:rPr>
          <w:iCs/>
          <w:i/>
        </w:rPr>
        <w:t xml:space="preserve">Frontiers in Psychology</w:t>
      </w:r>
      <w:r>
        <w:t xml:space="preserve"> </w:t>
      </w:r>
      <w:r>
        <w:t xml:space="preserve">10 (December): 2846.</w:t>
      </w:r>
      <w:r>
        <w:t xml:space="preserve"> </w:t>
      </w:r>
      <w:hyperlink r:id="rId68">
        <w:r>
          <w:rPr>
            <w:rStyle w:val="InternetLink"/>
          </w:rPr>
          <w:t xml:space="preserve">https://doi.org/10.3389/fpsyg.2019.02846</w:t>
        </w:r>
      </w:hyperlink>
      <w:r>
        <w:t xml:space="preserve">.</w:t>
      </w:r>
    </w:p>
    <w:bookmarkEnd w:id="69"/>
    <w:bookmarkStart w:id="71"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70">
        <w:r>
          <w:rPr>
            <w:rStyle w:val="InternetLink"/>
          </w:rPr>
          <w:t xml:space="preserve">https://doi.org/10.1126/science.1185802</w:t>
        </w:r>
      </w:hyperlink>
      <w:r>
        <w:t xml:space="preserve">.</w:t>
      </w:r>
    </w:p>
    <w:bookmarkEnd w:id="71"/>
    <w:bookmarkStart w:id="73" w:name="ref-garcia2016"/>
    <w:p>
      <w:pPr>
        <w:pStyle w:val="Bibliography"/>
      </w:pPr>
      <w:r>
        <w:t xml:space="preserve">Garcia, Claude, Anne Dray, and Patrick Waeber. 2016.</w:t>
      </w:r>
      <w:r>
        <w:t xml:space="preserve"> </w:t>
      </w:r>
      <w:r>
        <w:t xml:space="preserve">“Learning Begins When the Game Is over: Using Games to Embrace Complexity in Natural Resources Management.”</w:t>
      </w:r>
      <w:r>
        <w:t xml:space="preserve"> </w:t>
      </w:r>
      <w:r>
        <w:rPr>
          <w:iCs/>
          <w:i/>
        </w:rPr>
        <w:t xml:space="preserve">GAIA - Ecological Perspectives for Science and Society</w:t>
      </w:r>
      <w:r>
        <w:t xml:space="preserve"> </w:t>
      </w:r>
      <w:r>
        <w:t xml:space="preserve">25 (4): 289–91.</w:t>
      </w:r>
      <w:r>
        <w:t xml:space="preserve"> </w:t>
      </w:r>
      <w:hyperlink r:id="rId72">
        <w:r>
          <w:rPr>
            <w:rStyle w:val="InternetLink"/>
          </w:rPr>
          <w:t xml:space="preserve">https://doi.org/10.14512/gaia.25.4.13</w:t>
        </w:r>
      </w:hyperlink>
      <w:r>
        <w:t xml:space="preserve">.</w:t>
      </w:r>
    </w:p>
    <w:bookmarkEnd w:id="73"/>
    <w:bookmarkStart w:id="75" w:name="ref-grimm2006"/>
    <w:p>
      <w:pPr>
        <w:pStyle w:val="Bibliography"/>
      </w:pPr>
      <w:r>
        <w:t xml:space="preserve">Grimm, Volker, Uta Berger, Finn Bastiansen, Sigrunn Eliassen, Vincent Ginot, Jarl Giske, John Goss-Custard, et al. 2006.</w:t>
      </w:r>
      <w:r>
        <w:t xml:space="preserve"> </w:t>
      </w:r>
      <w:r>
        <w:t xml:space="preserve">“A Standard Protocol for Describing Individual-Based and Agent-Based Models.”</w:t>
      </w:r>
      <w:r>
        <w:t xml:space="preserve"> </w:t>
      </w:r>
      <w:r>
        <w:rPr>
          <w:iCs/>
          <w:i/>
        </w:rPr>
        <w:t xml:space="preserve">Ecological Modelling</w:t>
      </w:r>
      <w:r>
        <w:t xml:space="preserve"> </w:t>
      </w:r>
      <w:r>
        <w:t xml:space="preserve">198 (1): 115–26.</w:t>
      </w:r>
      <w:r>
        <w:t xml:space="preserve"> </w:t>
      </w:r>
      <w:hyperlink r:id="rId74">
        <w:r>
          <w:rPr>
            <w:rStyle w:val="InternetLink"/>
          </w:rPr>
          <w:t xml:space="preserve">https://doi.org/10.1016/j.ecolmodel.2006.04.023</w:t>
        </w:r>
      </w:hyperlink>
      <w:r>
        <w:t xml:space="preserve">.</w:t>
      </w:r>
    </w:p>
    <w:bookmarkEnd w:id="75"/>
    <w:bookmarkStart w:id="77"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76">
        <w:r>
          <w:rPr>
            <w:rStyle w:val="InternetLink"/>
          </w:rPr>
          <w:t xml:space="preserve">https://doi.org/10.1038/s41467-020-17785-2</w:t>
        </w:r>
      </w:hyperlink>
      <w:r>
        <w:t xml:space="preserve">.</w:t>
      </w:r>
    </w:p>
    <w:bookmarkEnd w:id="77"/>
    <w:bookmarkStart w:id="79"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78">
        <w:r>
          <w:rPr>
            <w:rStyle w:val="InternetLink"/>
          </w:rPr>
          <w:t xml:space="preserve">https://doi.org/10.1016/j.envsoft.2016.10.008</w:t>
        </w:r>
      </w:hyperlink>
      <w:r>
        <w:t xml:space="preserve">.</w:t>
      </w:r>
    </w:p>
    <w:bookmarkEnd w:id="79"/>
    <w:bookmarkStart w:id="81"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80">
        <w:r>
          <w:rPr>
            <w:rStyle w:val="InternetLink"/>
          </w:rPr>
          <w:t xml:space="preserve">https://www.ipcc.ch/report/ar6/wg1/</w:t>
        </w:r>
      </w:hyperlink>
      <w:r>
        <w:t xml:space="preserve">.</w:t>
      </w:r>
    </w:p>
    <w:bookmarkEnd w:id="81"/>
    <w:bookmarkStart w:id="83"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82">
        <w:r>
          <w:rPr>
            <w:rStyle w:val="InternetLink"/>
          </w:rPr>
          <w:t xml:space="preserve">https://doi.org/10.1073/pnas.1115898108</w:t>
        </w:r>
      </w:hyperlink>
      <w:r>
        <w:t xml:space="preserve">.</w:t>
      </w:r>
    </w:p>
    <w:bookmarkEnd w:id="83"/>
    <w:bookmarkStart w:id="85"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84">
        <w:r>
          <w:rPr>
            <w:rStyle w:val="InternetLink"/>
          </w:rPr>
          <w:t xml:space="preserve">https://doi.org/10.1007/s11077-016-9250-4</w:t>
        </w:r>
      </w:hyperlink>
      <w:r>
        <w:t xml:space="preserve">.</w:t>
      </w:r>
    </w:p>
    <w:bookmarkEnd w:id="85"/>
    <w:bookmarkStart w:id="87"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86">
        <w:r>
          <w:rPr>
            <w:rStyle w:val="InternetLink"/>
          </w:rPr>
          <w:t xml:space="preserve">https://doi.org/10.1038/536143a</w:t>
        </w:r>
      </w:hyperlink>
      <w:r>
        <w:t xml:space="preserve">.</w:t>
      </w:r>
    </w:p>
    <w:bookmarkEnd w:id="87"/>
    <w:bookmarkStart w:id="89"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88">
        <w:r>
          <w:rPr>
            <w:rStyle w:val="InternetLink"/>
          </w:rPr>
          <w:t xml:space="preserve">https://doi.org/10.5751/ES-08416-210338</w:t>
        </w:r>
      </w:hyperlink>
      <w:r>
        <w:t xml:space="preserve">.</w:t>
      </w:r>
    </w:p>
    <w:bookmarkEnd w:id="89"/>
    <w:bookmarkStart w:id="91"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90">
        <w:r>
          <w:rPr>
            <w:rStyle w:val="InternetLink"/>
          </w:rPr>
          <w:t xml:space="preserve">https://doi.org/10.1098/rstb.2011.0175</w:t>
        </w:r>
      </w:hyperlink>
      <w:r>
        <w:t xml:space="preserve">.</w:t>
      </w:r>
    </w:p>
    <w:bookmarkEnd w:id="91"/>
    <w:bookmarkStart w:id="93"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92">
        <w:r>
          <w:rPr>
            <w:rStyle w:val="InternetLink"/>
          </w:rPr>
          <w:t xml:space="preserve">https://doi.org/10.1038/s41562-020-0885-y</w:t>
        </w:r>
      </w:hyperlink>
      <w:r>
        <w:t xml:space="preserve">.</w:t>
      </w:r>
    </w:p>
    <w:bookmarkEnd w:id="93"/>
    <w:bookmarkStart w:id="95"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94">
        <w:r>
          <w:rPr>
            <w:rStyle w:val="InternetLink"/>
          </w:rPr>
          <w:t xml:space="preserve">https://doi.org/10.1002/pan3.10155</w:t>
        </w:r>
      </w:hyperlink>
      <w:r>
        <w:t xml:space="preserve">.</w:t>
      </w:r>
    </w:p>
    <w:bookmarkEnd w:id="95"/>
    <w:bookmarkStart w:id="97"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96">
        <w:r>
          <w:rPr>
            <w:rStyle w:val="InternetLink"/>
          </w:rPr>
          <w:t xml:space="preserve">https://doi.org/10.5751/ES-12306-260208</w:t>
        </w:r>
      </w:hyperlink>
      <w:r>
        <w:t xml:space="preserve">.</w:t>
      </w:r>
    </w:p>
    <w:bookmarkEnd w:id="97"/>
    <w:bookmarkStart w:id="99" w:name="ref-redpath2018"/>
    <w:p>
      <w:pPr>
        <w:pStyle w:val="Bibliography"/>
      </w:pPr>
      <w:r>
        <w:t xml:space="preserve">Redpath, Steve M., Aidan Keane, Henrik Andrén, Zachary Baynham-Herd, Nils Bunnefeld, A. Bradley Duthie, Jens Frank, et al. 2018.</w:t>
      </w:r>
      <w:r>
        <w:t xml:space="preserve"> </w:t>
      </w:r>
      <w:r>
        <w:t xml:space="preserve">“Games as Tools to Address Conservation Conflicts.”</w:t>
      </w:r>
      <w:r>
        <w:t xml:space="preserve"> </w:t>
      </w:r>
      <w:r>
        <w:rPr>
          <w:iCs/>
          <w:i/>
        </w:rPr>
        <w:t xml:space="preserve">Trends in Ecology &amp; Evolution</w:t>
      </w:r>
      <w:r>
        <w:t xml:space="preserve"> </w:t>
      </w:r>
      <w:r>
        <w:t xml:space="preserve">33 (6): 415–26.</w:t>
      </w:r>
      <w:r>
        <w:t xml:space="preserve"> </w:t>
      </w:r>
      <w:hyperlink r:id="rId98">
        <w:r>
          <w:rPr>
            <w:rStyle w:val="InternetLink"/>
          </w:rPr>
          <w:t xml:space="preserve">https://doi.org/10.1016/j.tree.2018.03.005</w:t>
        </w:r>
      </w:hyperlink>
      <w:r>
        <w:t xml:space="preserve">.</w:t>
      </w:r>
    </w:p>
    <w:bookmarkEnd w:id="99"/>
    <w:bookmarkStart w:id="101" w:name="ref-sandbrook2015"/>
    <w:p>
      <w:pPr>
        <w:pStyle w:val="Bibliography"/>
      </w:pPr>
      <w:r>
        <w:t xml:space="preserve">Sandbrook, Chris, William M. Adams, and Bruno Monteferri. 2015.</w:t>
      </w:r>
      <w:r>
        <w:t xml:space="preserve"> </w:t>
      </w:r>
      <w:r>
        <w:t xml:space="preserve">“Digital Games and Biodiversity Conservation.”</w:t>
      </w:r>
      <w:r>
        <w:t xml:space="preserve"> </w:t>
      </w:r>
      <w:r>
        <w:rPr>
          <w:iCs/>
          <w:i/>
        </w:rPr>
        <w:t xml:space="preserve">Conservation Letters</w:t>
      </w:r>
      <w:r>
        <w:t xml:space="preserve"> </w:t>
      </w:r>
      <w:r>
        <w:t xml:space="preserve">8 (2): 118–24.</w:t>
      </w:r>
      <w:r>
        <w:t xml:space="preserve"> </w:t>
      </w:r>
      <w:hyperlink r:id="rId100">
        <w:r>
          <w:rPr>
            <w:rStyle w:val="InternetLink"/>
          </w:rPr>
          <w:t xml:space="preserve">https://doi.org/10.1111/conl.12113</w:t>
        </w:r>
      </w:hyperlink>
      <w:r>
        <w:t xml:space="preserve">.</w:t>
      </w:r>
    </w:p>
    <w:bookmarkEnd w:id="101"/>
    <w:bookmarkStart w:id="103"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102">
        <w:r>
          <w:rPr>
            <w:rStyle w:val="InternetLink"/>
          </w:rPr>
          <w:t xml:space="preserve">https://doi.org/10.1111/j.1939-7445.2011.00108.x</w:t>
        </w:r>
      </w:hyperlink>
      <w:r>
        <w:t xml:space="preserve">.</w:t>
      </w:r>
    </w:p>
    <w:bookmarkEnd w:id="103"/>
    <w:bookmarkStart w:id="105"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104">
        <w:r>
          <w:rPr>
            <w:rStyle w:val="InternetLink"/>
          </w:rPr>
          <w:t xml:space="preserve">https://doi.org/10.1016/j.ecolmodel.2019.108784</w:t>
        </w:r>
      </w:hyperlink>
      <w:r>
        <w:t xml:space="preserve">.</w:t>
      </w:r>
    </w:p>
    <w:bookmarkEnd w:id="105"/>
    <w:bookmarkStart w:id="107"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106">
        <w:r>
          <w:rPr>
            <w:rStyle w:val="InternetLink"/>
          </w:rPr>
          <w:t xml:space="preserve">https://doi.org/10.1109/TG.2018.2867743</w:t>
        </w:r>
      </w:hyperlink>
      <w:r>
        <w:t xml:space="preserve">.</w:t>
      </w:r>
    </w:p>
    <w:bookmarkEnd w:id="107"/>
    <w:bookmarkStart w:id="109"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108">
        <w:r>
          <w:rPr>
            <w:rStyle w:val="InternetLink"/>
          </w:rPr>
          <w:t xml:space="preserve">https://doi.org/10.1038/nbt.4225</w:t>
        </w:r>
      </w:hyperlink>
      <w:r>
        <w:t xml:space="preserve">.</w:t>
      </w:r>
    </w:p>
    <w:bookmarkEnd w:id="109"/>
    <w:bookmarkStart w:id="111" w:name="ref-tan2018"/>
    <w:p>
      <w:pPr>
        <w:pStyle w:val="Bibliography"/>
      </w:pPr>
      <w:r>
        <w:t xml:space="preserve">Tan, Cedric Kai Wei, Jiin Woei Lee, Adeline Hii, Yen Yi Loo, Ahimsa Campos-Arceiz, and David W. Macdonald. 2018.</w:t>
      </w:r>
      <w:r>
        <w:t xml:space="preserve"> </w:t>
      </w:r>
      <w:r>
        <w:t xml:space="preserve">“The Effect of Using Games in Teaching Conservation.”</w:t>
      </w:r>
      <w:r>
        <w:t xml:space="preserve"> </w:t>
      </w:r>
      <w:r>
        <w:rPr>
          <w:iCs/>
          <w:i/>
        </w:rPr>
        <w:t xml:space="preserve">PeerJ</w:t>
      </w:r>
      <w:r>
        <w:t xml:space="preserve"> </w:t>
      </w:r>
      <w:r>
        <w:t xml:space="preserve">6 (April): e4509.</w:t>
      </w:r>
      <w:r>
        <w:t xml:space="preserve"> </w:t>
      </w:r>
      <w:hyperlink r:id="rId110">
        <w:r>
          <w:rPr>
            <w:rStyle w:val="InternetLink"/>
          </w:rPr>
          <w:t xml:space="preserve">https://doi.org/10.7717/peerj.4509</w:t>
        </w:r>
      </w:hyperlink>
      <w:r>
        <w:t xml:space="preserve">.</w:t>
      </w:r>
    </w:p>
    <w:bookmarkEnd w:id="111"/>
    <w:bookmarkStart w:id="113" w:name="ref-vandenbergh2021"/>
    <w:p>
      <w:pPr>
        <w:pStyle w:val="Bibliography"/>
      </w:pPr>
      <w:r>
        <w:t xml:space="preserve">van den Bergh, Jarrett, Ved Chirayath, Alan Li, Juan L. Torres-Pérez, and Michal Segal-Rozenhaimer. 2021.</w:t>
      </w:r>
      <w:r>
        <w:t xml:space="preserve"> </w:t>
      </w:r>
      <w:r>
        <w:t xml:space="preserve">“NeMO-Net</w:t>
      </w:r>
      <w:r>
        <w:t xml:space="preserve"> </w:t>
      </w:r>
      <w:r>
        <w:t xml:space="preserve"> </w:t>
      </w:r>
      <w:r>
        <w:t xml:space="preserve">Gamifying 3d Labeling of Multi-Modal Reference Datasets to Support Automated Marine Habitat Mapping.”</w:t>
      </w:r>
      <w:r>
        <w:t xml:space="preserve"> </w:t>
      </w:r>
      <w:r>
        <w:rPr>
          <w:iCs/>
          <w:i/>
        </w:rPr>
        <w:t xml:space="preserve">Frontiers in Marine Science</w:t>
      </w:r>
      <w:r>
        <w:t xml:space="preserve"> </w:t>
      </w:r>
      <w:r>
        <w:t xml:space="preserve">0.</w:t>
      </w:r>
      <w:r>
        <w:t xml:space="preserve"> </w:t>
      </w:r>
      <w:hyperlink r:id="rId112">
        <w:r>
          <w:rPr>
            <w:rStyle w:val="InternetLink"/>
          </w:rPr>
          <w:t xml:space="preserve">https://doi.org/10.3389/fmars.2021.645408</w:t>
        </w:r>
      </w:hyperlink>
      <w:r>
        <w:t xml:space="preserve">.</w:t>
      </w:r>
    </w:p>
    <w:bookmarkEnd w:id="113"/>
    <w:bookmarkStart w:id="115"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114">
        <w:r>
          <w:rPr>
            <w:rStyle w:val="InternetLink"/>
          </w:rPr>
          <w:t xml:space="preserve">https://doi.org/10.5751/ES-08139-210139</w:t>
        </w:r>
      </w:hyperlink>
      <w:r>
        <w:t xml:space="preserve">.</w:t>
      </w:r>
    </w:p>
    <w:bookmarkEnd w:id="115"/>
    <w:bookmarkStart w:id="117"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116">
        <w:r>
          <w:rPr>
            <w:rStyle w:val="InternetLink"/>
          </w:rPr>
          <w:t xml:space="preserve">https://doi.org/10.1002/pan3.10207</w:t>
        </w:r>
      </w:hyperlink>
      <w:r>
        <w:t xml:space="preserve">.</w:t>
      </w:r>
    </w:p>
    <w:bookmarkEnd w:id="117"/>
    <w:bookmarkStart w:id="119"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118">
        <w:r>
          <w:rPr>
            <w:rStyle w:val="InternetLink"/>
          </w:rPr>
          <w:t xml:space="preserve">https://doi.org/10.1021/acs.est.6b05296</w:t>
        </w:r>
      </w:hyperlink>
      <w:r>
        <w:t xml:space="preserve">.</w:t>
      </w:r>
    </w:p>
    <w:bookmarkEnd w:id="119"/>
    <w:bookmarkStart w:id="121"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120">
        <w:r>
          <w:rPr>
            <w:rStyle w:val="InternetLink"/>
          </w:rPr>
          <w:t xml:space="preserve">https://doi.org/10.1016/j.envsoft.2017.09.012</w:t>
        </w:r>
      </w:hyperlink>
      <w:r>
        <w:t xml:space="preserve">.</w:t>
      </w:r>
    </w:p>
    <w:bookmarkEnd w:id="121"/>
    <w:bookmarkEnd w:id="122"/>
    <w:bookmarkEnd w:id="123"/>
    <w:bookmarkEnd w:id="124"/>
    <w:sectPr>
      <w:footerReference w:type="default" r:id="rId9"/>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Note that there are of course limitations to this, and that data on decisions made would only be relevant to the context of the game (i.e. internally valid in the game context).</w:t>
      </w:r>
      <w:r>
        <w:t xml:space="preserve"> </w:t>
      </w:r>
      <w:r>
        <w:t xml:space="preserve">Wider external validity depends on a number of factors; we discuss limitations in more detail below.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94" Target="https://doi.org/10.1002/pan3.10155" TargetMode="External" /><Relationship Type="http://schemas.openxmlformats.org/officeDocument/2006/relationships/hyperlink" Id="rId116" Target="https://doi.org/10.1002/pan3.10207" TargetMode="External" /><Relationship Type="http://schemas.openxmlformats.org/officeDocument/2006/relationships/hyperlink" Id="rId84" Target="https://doi.org/10.1007/s11077-016-9250-4" TargetMode="External" /><Relationship Type="http://schemas.openxmlformats.org/officeDocument/2006/relationships/hyperlink" Id="rId74" Target="https://doi.org/10.1016/j.ecolmodel.2006.04.023" TargetMode="External" /><Relationship Type="http://schemas.openxmlformats.org/officeDocument/2006/relationships/hyperlink" Id="rId104" Target="https://doi.org/10.1016/j.ecolmodel.2019.108784" TargetMode="External" /><Relationship Type="http://schemas.openxmlformats.org/officeDocument/2006/relationships/hyperlink" Id="rId78" Target="https://doi.org/10.1016/j.envsoft.2016.10.008" TargetMode="External" /><Relationship Type="http://schemas.openxmlformats.org/officeDocument/2006/relationships/hyperlink" Id="rId120" Target="https://doi.org/10.1016/j.envsoft.2017.09.012" TargetMode="External" /><Relationship Type="http://schemas.openxmlformats.org/officeDocument/2006/relationships/hyperlink" Id="rId98" Target="https://doi.org/10.1016/j.tree.2018.03.005" TargetMode="External" /><Relationship Type="http://schemas.openxmlformats.org/officeDocument/2006/relationships/hyperlink" Id="rId118" Target="https://doi.org/10.1021/acs.est.6b05296" TargetMode="External" /><Relationship Type="http://schemas.openxmlformats.org/officeDocument/2006/relationships/hyperlink" Id="rId86" Target="https://doi.org/10.1038/536143a" TargetMode="External" /><Relationship Type="http://schemas.openxmlformats.org/officeDocument/2006/relationships/hyperlink" Id="rId108" Target="https://doi.org/10.1038/nbt.4225" TargetMode="External" /><Relationship Type="http://schemas.openxmlformats.org/officeDocument/2006/relationships/hyperlink" Id="rId76" Target="https://doi.org/10.1038/s41467-020-17785-2" TargetMode="External" /><Relationship Type="http://schemas.openxmlformats.org/officeDocument/2006/relationships/hyperlink" Id="rId92" Target="https://doi.org/10.1038/s41562-020-0885-y" TargetMode="External" /><Relationship Type="http://schemas.openxmlformats.org/officeDocument/2006/relationships/hyperlink" Id="rId82" Target="https://doi.org/10.1073/pnas.1115898108" TargetMode="External" /><Relationship Type="http://schemas.openxmlformats.org/officeDocument/2006/relationships/hyperlink" Id="rId58" Target="https://doi.org/10.1073/pnas.1704949114" TargetMode="External" /><Relationship Type="http://schemas.openxmlformats.org/officeDocument/2006/relationships/hyperlink" Id="rId90" Target="https://doi.org/10.1098/rstb.2011.0175" TargetMode="External" /><Relationship Type="http://schemas.openxmlformats.org/officeDocument/2006/relationships/hyperlink" Id="rId106" Target="https://doi.org/10.1109/TG.2018.2867743" TargetMode="External" /><Relationship Type="http://schemas.openxmlformats.org/officeDocument/2006/relationships/hyperlink" Id="rId64" Target="https://doi.org/10.1111/2041-210X.13091" TargetMode="External" /><Relationship Type="http://schemas.openxmlformats.org/officeDocument/2006/relationships/hyperlink" Id="rId66" Target="https://doi.org/10.1111/cobi.13633" TargetMode="External" /><Relationship Type="http://schemas.openxmlformats.org/officeDocument/2006/relationships/hyperlink" Id="rId100" Target="https://doi.org/10.1111/conl.12113" TargetMode="External" /><Relationship Type="http://schemas.openxmlformats.org/officeDocument/2006/relationships/hyperlink" Id="rId54" Target="https://doi.org/10.1111/ddi.12054" TargetMode="External" /><Relationship Type="http://schemas.openxmlformats.org/officeDocument/2006/relationships/hyperlink" Id="rId102" Target="https://doi.org/10.1111/j.1939-7445.2011.00108.x" TargetMode="External" /><Relationship Type="http://schemas.openxmlformats.org/officeDocument/2006/relationships/hyperlink" Id="rId60" Target="https://doi.org/10.1111/tops.12267" TargetMode="External" /><Relationship Type="http://schemas.openxmlformats.org/officeDocument/2006/relationships/hyperlink" Id="rId56" Target="https://doi.org/10.1126/sciadv.1400253" TargetMode="External" /><Relationship Type="http://schemas.openxmlformats.org/officeDocument/2006/relationships/hyperlink" Id="rId70" Target="https://doi.org/10.1126/science.1185802" TargetMode="External" /><Relationship Type="http://schemas.openxmlformats.org/officeDocument/2006/relationships/hyperlink" Id="rId72" Target="https://doi.org/10.14512/gaia.25.4.13" TargetMode="External" /><Relationship Type="http://schemas.openxmlformats.org/officeDocument/2006/relationships/hyperlink" Id="rId112" Target="https://doi.org/10.3389/fmars.2021.645408" TargetMode="External" /><Relationship Type="http://schemas.openxmlformats.org/officeDocument/2006/relationships/hyperlink" Id="rId68" Target="https://doi.org/10.3389/fpsyg.2019.02846" TargetMode="External" /><Relationship Type="http://schemas.openxmlformats.org/officeDocument/2006/relationships/hyperlink" Id="rId114" Target="https://doi.org/10.5751/ES-08139-210139" TargetMode="External" /><Relationship Type="http://schemas.openxmlformats.org/officeDocument/2006/relationships/hyperlink" Id="rId88" Target="https://doi.org/10.5751/ES-08416-210338" TargetMode="External" /><Relationship Type="http://schemas.openxmlformats.org/officeDocument/2006/relationships/hyperlink" Id="rId62" Target="https://doi.org/10.5751/ES-11552-250213" TargetMode="External" /><Relationship Type="http://schemas.openxmlformats.org/officeDocument/2006/relationships/hyperlink" Id="rId96" Target="https://doi.org/10.5751/ES-12306-260208" TargetMode="External" /><Relationship Type="http://schemas.openxmlformats.org/officeDocument/2006/relationships/hyperlink" Id="rId110"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0"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94" Target="https://doi.org/10.1002/pan3.10155" TargetMode="External" /><Relationship Type="http://schemas.openxmlformats.org/officeDocument/2006/relationships/hyperlink" Id="rId116" Target="https://doi.org/10.1002/pan3.10207" TargetMode="External" /><Relationship Type="http://schemas.openxmlformats.org/officeDocument/2006/relationships/hyperlink" Id="rId84" Target="https://doi.org/10.1007/s11077-016-9250-4" TargetMode="External" /><Relationship Type="http://schemas.openxmlformats.org/officeDocument/2006/relationships/hyperlink" Id="rId74" Target="https://doi.org/10.1016/j.ecolmodel.2006.04.023" TargetMode="External" /><Relationship Type="http://schemas.openxmlformats.org/officeDocument/2006/relationships/hyperlink" Id="rId104" Target="https://doi.org/10.1016/j.ecolmodel.2019.108784" TargetMode="External" /><Relationship Type="http://schemas.openxmlformats.org/officeDocument/2006/relationships/hyperlink" Id="rId78" Target="https://doi.org/10.1016/j.envsoft.2016.10.008" TargetMode="External" /><Relationship Type="http://schemas.openxmlformats.org/officeDocument/2006/relationships/hyperlink" Id="rId120" Target="https://doi.org/10.1016/j.envsoft.2017.09.012" TargetMode="External" /><Relationship Type="http://schemas.openxmlformats.org/officeDocument/2006/relationships/hyperlink" Id="rId98" Target="https://doi.org/10.1016/j.tree.2018.03.005" TargetMode="External" /><Relationship Type="http://schemas.openxmlformats.org/officeDocument/2006/relationships/hyperlink" Id="rId118" Target="https://doi.org/10.1021/acs.est.6b05296" TargetMode="External" /><Relationship Type="http://schemas.openxmlformats.org/officeDocument/2006/relationships/hyperlink" Id="rId86" Target="https://doi.org/10.1038/536143a" TargetMode="External" /><Relationship Type="http://schemas.openxmlformats.org/officeDocument/2006/relationships/hyperlink" Id="rId108" Target="https://doi.org/10.1038/nbt.4225" TargetMode="External" /><Relationship Type="http://schemas.openxmlformats.org/officeDocument/2006/relationships/hyperlink" Id="rId76" Target="https://doi.org/10.1038/s41467-020-17785-2" TargetMode="External" /><Relationship Type="http://schemas.openxmlformats.org/officeDocument/2006/relationships/hyperlink" Id="rId92" Target="https://doi.org/10.1038/s41562-020-0885-y" TargetMode="External" /><Relationship Type="http://schemas.openxmlformats.org/officeDocument/2006/relationships/hyperlink" Id="rId82" Target="https://doi.org/10.1073/pnas.1115898108" TargetMode="External" /><Relationship Type="http://schemas.openxmlformats.org/officeDocument/2006/relationships/hyperlink" Id="rId58" Target="https://doi.org/10.1073/pnas.1704949114" TargetMode="External" /><Relationship Type="http://schemas.openxmlformats.org/officeDocument/2006/relationships/hyperlink" Id="rId90" Target="https://doi.org/10.1098/rstb.2011.0175" TargetMode="External" /><Relationship Type="http://schemas.openxmlformats.org/officeDocument/2006/relationships/hyperlink" Id="rId106" Target="https://doi.org/10.1109/TG.2018.2867743" TargetMode="External" /><Relationship Type="http://schemas.openxmlformats.org/officeDocument/2006/relationships/hyperlink" Id="rId64" Target="https://doi.org/10.1111/2041-210X.13091" TargetMode="External" /><Relationship Type="http://schemas.openxmlformats.org/officeDocument/2006/relationships/hyperlink" Id="rId66" Target="https://doi.org/10.1111/cobi.13633" TargetMode="External" /><Relationship Type="http://schemas.openxmlformats.org/officeDocument/2006/relationships/hyperlink" Id="rId100" Target="https://doi.org/10.1111/conl.12113" TargetMode="External" /><Relationship Type="http://schemas.openxmlformats.org/officeDocument/2006/relationships/hyperlink" Id="rId54" Target="https://doi.org/10.1111/ddi.12054" TargetMode="External" /><Relationship Type="http://schemas.openxmlformats.org/officeDocument/2006/relationships/hyperlink" Id="rId102" Target="https://doi.org/10.1111/j.1939-7445.2011.00108.x" TargetMode="External" /><Relationship Type="http://schemas.openxmlformats.org/officeDocument/2006/relationships/hyperlink" Id="rId60" Target="https://doi.org/10.1111/tops.12267" TargetMode="External" /><Relationship Type="http://schemas.openxmlformats.org/officeDocument/2006/relationships/hyperlink" Id="rId56" Target="https://doi.org/10.1126/sciadv.1400253" TargetMode="External" /><Relationship Type="http://schemas.openxmlformats.org/officeDocument/2006/relationships/hyperlink" Id="rId70" Target="https://doi.org/10.1126/science.1185802" TargetMode="External" /><Relationship Type="http://schemas.openxmlformats.org/officeDocument/2006/relationships/hyperlink" Id="rId72" Target="https://doi.org/10.14512/gaia.25.4.13" TargetMode="External" /><Relationship Type="http://schemas.openxmlformats.org/officeDocument/2006/relationships/hyperlink" Id="rId112" Target="https://doi.org/10.3389/fmars.2021.645408" TargetMode="External" /><Relationship Type="http://schemas.openxmlformats.org/officeDocument/2006/relationships/hyperlink" Id="rId68" Target="https://doi.org/10.3389/fpsyg.2019.02846" TargetMode="External" /><Relationship Type="http://schemas.openxmlformats.org/officeDocument/2006/relationships/hyperlink" Id="rId114" Target="https://doi.org/10.5751/ES-08139-210139" TargetMode="External" /><Relationship Type="http://schemas.openxmlformats.org/officeDocument/2006/relationships/hyperlink" Id="rId88" Target="https://doi.org/10.5751/ES-08416-210338" TargetMode="External" /><Relationship Type="http://schemas.openxmlformats.org/officeDocument/2006/relationships/hyperlink" Id="rId62" Target="https://doi.org/10.5751/ES-11552-250213" TargetMode="External" /><Relationship Type="http://schemas.openxmlformats.org/officeDocument/2006/relationships/hyperlink" Id="rId96" Target="https://doi.org/10.5751/ES-12306-260208" TargetMode="External" /><Relationship Type="http://schemas.openxmlformats.org/officeDocument/2006/relationships/hyperlink" Id="rId110"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0"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2021-08-12T16:29:20Z</dcterms:created>
  <dcterms:modified xsi:type="dcterms:W3CDTF">2021-08-12T16:29:20Z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