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p>
      <w:pPr>
        <w:pStyle w:val="FirstParagraph"/>
      </w:pPr>
      <w:r>
        <w:rPr>
          <w:iCs/>
          <w:i/>
        </w:rPr>
        <w:t xml:space="preserve">Jeroen Minderman</w:t>
      </w:r>
      <w:r>
        <w:rPr>
          <w:vertAlign w:val="superscript"/>
          <w:iCs/>
          <w:i/>
        </w:rPr>
        <w:t xml:space="preserve">1</w:t>
      </w:r>
      <w:r>
        <w:rPr>
          <w:iCs/>
          <w:i/>
        </w:rPr>
        <w:t xml:space="preserve">, A. Bradley Duthie</w:t>
      </w:r>
      <w:r>
        <w:rPr>
          <w:vertAlign w:val="superscript"/>
          <w:iCs/>
          <w:i/>
        </w:rPr>
        <w:t xml:space="preserve">1</w:t>
      </w:r>
      <w:r>
        <w:rPr>
          <w:iCs/>
          <w:i/>
        </w:rPr>
        <w:t xml:space="preserve">, Nils Bunnefeld</w:t>
      </w:r>
      <w:r>
        <w:rPr>
          <w:vertAlign w:val="superscript"/>
          <w:iCs/>
          <w:i/>
        </w:rPr>
        <w:t xml:space="preserve">1</w:t>
      </w:r>
    </w:p>
    <w:p>
      <w:pPr>
        <w:pStyle w:val="TextBody"/>
      </w:pPr>
      <w:r>
        <w:rPr>
          <w:vertAlign w:val="superscript"/>
        </w:rPr>
        <w:t xml:space="preserve">1</w:t>
      </w:r>
      <w:r>
        <w:t xml:space="preserve">ConFooBio, Biological &amp; Environmental Sciences, University of Stirling, Stirling, FK10 3BA</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(IPCC 2021)</w:t>
      </w:r>
      <w:r>
        <w:t xml:space="preserve"> </w:t>
      </w:r>
      <w:r>
        <w:t xml:space="preserve">to supporting the understanding of fundamental processes in natural resource management</w:t>
      </w:r>
      <w:r>
        <w:t xml:space="preserve"> </w:t>
      </w:r>
      <w:r>
        <w:t xml:space="preserve">(e.g. Fryxell et al. 2010; Cusack et al. 2020)</w:t>
      </w:r>
      <w:r>
        <w:t xml:space="preserve">.</w:t>
      </w:r>
      <w:r>
        <w:t xml:space="preserve"> </w:t>
      </w:r>
      <w:r>
        <w:t xml:space="preserve">Given the continued rapid global loss of biodiversity</w:t>
      </w:r>
      <w:r>
        <w:t xml:space="preserve"> </w:t>
      </w:r>
      <w:r>
        <w:t xml:space="preserve">(Ceballos et al. 2015; Ceballos, Ehrlich, and Dirzo 2017)</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 Maxwell et al. 2016)</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 Wilting et al. 2017)</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(Milner-Gulland 2012; Schlüter et al. 2012)</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r>
        <w:t xml:space="preserve">Orach, Duit, and Schlüter (2020)</w:t>
      </w:r>
      <w:r>
        <w:t xml:space="preserve"> </w:t>
      </w:r>
      <w:r>
        <w:t xml:space="preserve">used an agent-based model to show how coalitions of interest groups can stabilise natural resource dynamics, whereas</w:t>
      </w:r>
      <w:r>
        <w:t xml:space="preserve"> </w:t>
      </w:r>
      <w:r>
        <w:t xml:space="preserve">Cusack et al. (2020)</w:t>
      </w:r>
      <w:r>
        <w:t xml:space="preserve"> </w:t>
      </w:r>
      <w:r>
        <w:t xml:space="preserve">used a novel agent-based modelling framework</w:t>
      </w:r>
      <w:r>
        <w:t xml:space="preserve"> </w:t>
      </w:r>
      <w:r>
        <w:t xml:space="preserve">(Duthie et al. 2018)</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w:t>
      </w:r>
      <w:r>
        <w:rPr>
          <w:bCs/>
          <w:b/>
        </w:rPr>
        <w:t xml:space="preserve">REF?</w:t>
      </w:r>
      <w:r>
        <w:t xml:space="preserve">], and this challenge increases with model complexity.</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 Addison et al. 2013; Schuwirth et al. 2019; Will et al. 2021)</w:t>
      </w:r>
      <w:r>
        <w:t xml:space="preserve">, and detailed documentation of the purpose, organisation and predictions has been highlighted as particularly important</w:t>
      </w:r>
      <w:r>
        <w:t xml:space="preserve"> </w:t>
      </w:r>
      <w:r>
        <w:t xml:space="preserve">(Grimm et al. 2020)</w:t>
      </w:r>
      <w:r>
        <w:t xml:space="preserve">.</w:t>
      </w:r>
      <w:r>
        <w:t xml:space="preserve"> </w:t>
      </w:r>
      <w:r>
        <w:t xml:space="preserve">Even so, often the evidence for practical uptake of many models is limited</w:t>
      </w:r>
      <w:r>
        <w:t xml:space="preserve"> </w:t>
      </w:r>
      <w:r>
        <w:t xml:space="preserve">(Addison et al. 2013; Zasada et al. 2017)</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(Groeneveld et al. 2017)</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 Kolkman et al. 2016)</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(Sandbrook, Adams, and Monteferri 2015; Chabris 2017; Redpath et al. 2018)</w:t>
      </w:r>
      <w:r>
        <w:t xml:space="preserve">, including as tools to aid the communication of complex ideas and processes to non-specialists</w:t>
      </w:r>
      <w:r>
        <w:t xml:space="preserve"> </w:t>
      </w:r>
      <w:r>
        <w:t xml:space="preserve">(Garcia, Dray, and Waeber 2016; Tan et al. 2018; Fjaellingsdal and Kloeckner 2019)</w:t>
      </w:r>
      <w:r>
        <w:t xml:space="preserve">.</w:t>
      </w:r>
      <w:r>
        <w:t xml:space="preserve"> </w:t>
      </w:r>
      <w:r>
        <w:t xml:space="preserve">Given this long history, it is striking that the parallels between games (particularly videogames)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 Meinzen-Dick et al. 2016; Villamor and Badmos 2016; S. Rakotonarivo et al. 2021; O. S. Rakotonarivo et al. 2021)</w:t>
      </w:r>
      <w:r>
        <w:t xml:space="preserve"> </w:t>
      </w:r>
      <w:r>
        <w:t xml:space="preserve">on what affects decision-making in socio-ecological systems. 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 Many existing models represent human decision-making by relatively crude algorithms (e.g. fully rational utility maximisation) despite widespread recognition that this does not reflect real-world decision-making</w:t>
      </w:r>
      <w:r>
        <w:t xml:space="preserve"> </w:t>
      </w:r>
      <w:r>
        <w:t xml:space="preserve">(Groeneveld et al. 2017)</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(Sipper and Moore 2020)</w:t>
      </w:r>
      <w:r>
        <w:t xml:space="preserve"> </w:t>
      </w:r>
      <w:r>
        <w:t xml:space="preserve">approach has already been widely used in a number of other fields (e.g. crowdsourcing accurate protein-structure models</w:t>
      </w:r>
      <w:r>
        <w:t xml:space="preserve"> </w:t>
      </w:r>
      <w:r>
        <w:t xml:space="preserve">(Khatib et al. 2011)</w:t>
      </w:r>
      <w:r>
        <w:t xml:space="preserve">, and classification of fluorescence microscopy images</w:t>
      </w:r>
      <w:r>
        <w:t xml:space="preserve"> </w:t>
      </w:r>
      <w:r>
        <w:t xml:space="preserve">(Sullivan et al. 2018)</w:t>
      </w:r>
      <w:r>
        <w:t xml:space="preserve">), but remains rare in conservation science</w:t>
      </w:r>
      <w:r>
        <w:t xml:space="preserve"> </w:t>
      </w:r>
      <w:r>
        <w:t xml:space="preserve">(but see van den Bergh et al. 2021)</w:t>
      </w:r>
      <w:r>
        <w:t xml:space="preserve">. Thus, model-games can be considered</w:t>
      </w:r>
      <w:r>
        <w:t xml:space="preserve"> </w:t>
      </w:r>
      <w:r>
        <w:t xml:space="preserve">“</w:t>
      </w:r>
      <w:r>
        <w:t xml:space="preserve">virtual laboratories</w:t>
      </w:r>
      <w:r>
        <w:t xml:space="preserve">”</w:t>
      </w:r>
      <w:r>
        <w:t xml:space="preserve"> </w:t>
      </w:r>
      <w:r>
        <w:t xml:space="preserve">(Duthie et al. 2021)</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30" w:name="outline-of-approach"/>
    <w:p>
      <w:pPr>
        <w:pStyle w:val="Heading1"/>
      </w:pPr>
      <w:r>
        <w:t xml:space="preserve">Outline of approach</w:t>
      </w:r>
    </w:p>
    <w:bookmarkStart w:id="25" w:name="underlying-model-gmse"/>
    <w:p>
      <w:pPr>
        <w:pStyle w:val="Heading2"/>
      </w:pPr>
      <w:r>
        <w:t xml:space="preserve">Underlying model: GMSE</w:t>
      </w:r>
    </w:p>
    <w:bookmarkStart w:id="23" w:name="X661808d150ab65b64bbf7eca0b36a8bee1a312a"/>
    <w:p>
      <w:pPr>
        <w:pStyle w:val="Heading3"/>
      </w:pPr>
      <w:r>
        <w:t xml:space="preserve">Basic introduction of GMSE principles and structures</w:t>
      </w:r>
    </w:p>
    <w:bookmarkEnd w:id="23"/>
    <w:bookmarkStart w:id="24" w:name="brief-discussion-of-limitations-of-gmse"/>
    <w:p>
      <w:pPr>
        <w:pStyle w:val="Heading3"/>
      </w:pPr>
      <w:r>
        <w:t xml:space="preserve">Brief discussion of limitations of GMSE</w:t>
      </w:r>
    </w:p>
    <w:bookmarkEnd w:id="24"/>
    <w:bookmarkEnd w:id="25"/>
    <w:bookmarkStart w:id="29" w:name="animalfarm"/>
    <w:p>
      <w:pPr>
        <w:pStyle w:val="Heading2"/>
      </w:pPr>
      <w:r>
        <w:t xml:space="preserve">Animal&amp;Farm</w:t>
      </w:r>
    </w:p>
    <w:bookmarkStart w:id="26" w:name="structure-as-relating-to-gmse"/>
    <w:p>
      <w:pPr>
        <w:pStyle w:val="Heading3"/>
      </w:pPr>
      <w:r>
        <w:t xml:space="preserve">Structure as relating to GMSE</w:t>
      </w:r>
    </w:p>
    <w:bookmarkEnd w:id="26"/>
    <w:bookmarkStart w:id="27" w:name="database-back-end"/>
    <w:p>
      <w:pPr>
        <w:pStyle w:val="Heading3"/>
      </w:pPr>
      <w:r>
        <w:t xml:space="preserve">Database</w:t>
      </w:r>
      <w:r>
        <w:t xml:space="preserve"> </w:t>
      </w:r>
      <w:r>
        <w:t xml:space="preserve">“</w:t>
      </w:r>
      <w:r>
        <w:t xml:space="preserve">back end</w:t>
      </w:r>
      <w:r>
        <w:t xml:space="preserve">”</w:t>
      </w:r>
    </w:p>
    <w:bookmarkEnd w:id="27"/>
    <w:bookmarkStart w:id="28"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Expandability of parameter variation</w:t>
      </w:r>
    </w:p>
    <w:p>
      <w:pPr>
        <w:pStyle w:val="TextBody"/>
      </w:pPr>
      <w:r>
        <w:t xml:space="preserve">Setting up</w:t>
      </w:r>
      <w:r>
        <w:t xml:space="preserve"> </w:t>
      </w:r>
      <w:r>
        <w:t xml:space="preserve">“</w:t>
      </w:r>
      <w:r>
        <w:t xml:space="preserve">scenarios</w:t>
      </w:r>
      <w:r>
        <w:t xml:space="preserve">”</w:t>
      </w:r>
      <w:r>
        <w:t xml:space="preserve"> </w:t>
      </w:r>
      <w:r>
        <w:t xml:space="preserve">to test specific hypotheses/predictions</w:t>
      </w:r>
    </w:p>
    <w:bookmarkEnd w:id="28"/>
    <w:bookmarkEnd w:id="29"/>
    <w:bookmarkEnd w:id="30"/>
    <w:bookmarkStart w:id="35" w:name="example-application"/>
    <w:p>
      <w:pPr>
        <w:pStyle w:val="Heading1"/>
      </w:pPr>
      <w:r>
        <w:t xml:space="preserve">Example application</w:t>
      </w:r>
    </w:p>
    <w:bookmarkStart w:id="31" w:name="methodsrationale-for-scenario-set-up"/>
    <w:p>
      <w:pPr>
        <w:pStyle w:val="Heading2"/>
      </w:pPr>
      <w:r>
        <w:t xml:space="preserve">Methods/rationale for scenario set up</w:t>
      </w:r>
    </w:p>
    <w:bookmarkEnd w:id="31"/>
    <w:bookmarkStart w:id="32" w:name="illustrative-results"/>
    <w:p>
      <w:pPr>
        <w:pStyle w:val="Heading2"/>
      </w:pPr>
      <w:r>
        <w:t xml:space="preserve">Illustrative results</w:t>
      </w:r>
    </w:p>
    <w:bookmarkEnd w:id="32"/>
    <w:bookmarkStart w:id="34" w:name="summary-of-player-feedback"/>
    <w:p>
      <w:pPr>
        <w:pStyle w:val="Heading2"/>
      </w:pPr>
      <w:r>
        <w:t xml:space="preserve">Summary of player feedback</w:t>
      </w:r>
    </w:p>
    <w:bookmarkStart w:id="33" w:name="section"/>
    <w:p>
      <w:pPr>
        <w:pStyle w:val="Heading3"/>
      </w:pPr>
    </w:p>
    <w:bookmarkEnd w:id="33"/>
    <w:bookmarkEnd w:id="34"/>
    <w:bookmarkEnd w:id="35"/>
    <w:bookmarkStart w:id="112" w:name="discussion"/>
    <w:p>
      <w:pPr>
        <w:pStyle w:val="Heading1"/>
      </w:pPr>
      <w:r>
        <w:t xml:space="preserve">Discussion</w:t>
      </w:r>
    </w:p>
    <w:bookmarkStart w:id="36" w:name="Xa9535846b2adfd25e25fac9f5c27e9bf4361617"/>
    <w:p>
      <w:pPr>
        <w:pStyle w:val="Heading2"/>
      </w:pPr>
      <w:r>
        <w:t xml:space="preserve">Brief summary of aims, process and outcome of example scenarios</w:t>
      </w:r>
    </w:p>
    <w:bookmarkEnd w:id="36"/>
    <w:bookmarkStart w:id="37" w:name="revisit-player-feedback"/>
    <w:p>
      <w:pPr>
        <w:pStyle w:val="Heading2"/>
      </w:pPr>
      <w:r>
        <w:t xml:space="preserve">Revisit player feedback</w:t>
      </w:r>
    </w:p>
    <w:bookmarkEnd w:id="37"/>
    <w:bookmarkStart w:id="38" w:name="Xf0fe130512899828161ec518a4f286486541478"/>
    <w:p>
      <w:pPr>
        <w:pStyle w:val="Heading2"/>
      </w:pPr>
      <w:r>
        <w:t xml:space="preserve">Discussion of limitations of overall approach, with reference to player feedback</w:t>
      </w:r>
    </w:p>
    <w:bookmarkEnd w:id="38"/>
    <w:bookmarkStart w:id="39" w:name="X3f20906c92819e45bf354eb538df34603a1721f"/>
    <w:p>
      <w:pPr>
        <w:pStyle w:val="Heading2"/>
      </w:pPr>
      <w:r>
        <w:t xml:space="preserve">(Potentially general discussion of issues with games approach?)</w:t>
      </w:r>
    </w:p>
    <w:bookmarkEnd w:id="39"/>
    <w:bookmarkStart w:id="43" w:name="discussion-of-potential"/>
    <w:p>
      <w:pPr>
        <w:pStyle w:val="Heading2"/>
      </w:pPr>
      <w:r>
        <w:t xml:space="preserve">Discussion of potential</w:t>
      </w:r>
    </w:p>
    <w:bookmarkStart w:id="40"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40"/>
    <w:bookmarkStart w:id="41" w:name="Xdd946997f7007cf539ea75c2dc05801b1d23efe"/>
    <w:p>
      <w:pPr>
        <w:pStyle w:val="Heading3"/>
      </w:pPr>
      <w:r>
        <w:t xml:space="preserve">Yes, problematic when expecting direct application to real life, but again this is/should be clear for all models.</w:t>
      </w:r>
    </w:p>
    <w:bookmarkEnd w:id="41"/>
    <w:bookmarkStart w:id="42" w:name="X7e54ea71f1e27e050e97c54af9b9f891788b8b0"/>
    <w:p>
      <w:pPr>
        <w:pStyle w:val="Heading3"/>
      </w:pPr>
      <w:r>
        <w:t xml:space="preserve">Highlight expandability of approach, sandboxing ideas in flexible simulated environment</w:t>
      </w:r>
    </w:p>
    <w:bookmarkEnd w:id="42"/>
    <w:bookmarkEnd w:id="43"/>
    <w:bookmarkStart w:id="111" w:name="section-1"/>
    <w:p>
      <w:pPr>
        <w:pStyle w:val="Heading2"/>
      </w:pPr>
    </w:p>
    <w:bookmarkStart w:id="110" w:name="refs"/>
    <w:bookmarkStart w:id="45"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44">
        <w:r>
          <w:rPr>
            <w:rStyle w:val="InternetLink"/>
          </w:rPr>
          <w:t xml:space="preserve">https://doi.org/10.1111/ddi.12054</w:t>
        </w:r>
      </w:hyperlink>
      <w:r>
        <w:t xml:space="preserve">.</w:t>
      </w:r>
    </w:p>
    <w:bookmarkEnd w:id="45"/>
    <w:bookmarkStart w:id="47"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46">
        <w:r>
          <w:rPr>
            <w:rStyle w:val="InternetLink"/>
          </w:rPr>
          <w:t xml:space="preserve">https://doi.org/10.1126/sciadv.1400253</w:t>
        </w:r>
      </w:hyperlink>
      <w:r>
        <w:t xml:space="preserve">.</w:t>
      </w:r>
    </w:p>
    <w:bookmarkEnd w:id="47"/>
    <w:bookmarkStart w:id="49"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48">
        <w:r>
          <w:rPr>
            <w:rStyle w:val="InternetLink"/>
          </w:rPr>
          <w:t xml:space="preserve">https://doi.org/10.1073/pnas.1704949114</w:t>
        </w:r>
      </w:hyperlink>
      <w:r>
        <w:t xml:space="preserve">.</w:t>
      </w:r>
    </w:p>
    <w:bookmarkEnd w:id="49"/>
    <w:bookmarkStart w:id="51"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50">
        <w:r>
          <w:rPr>
            <w:rStyle w:val="InternetLink"/>
          </w:rPr>
          <w:t xml:space="preserve">https://doi.org/10.1111/tops.12267</w:t>
        </w:r>
      </w:hyperlink>
      <w:r>
        <w:t xml:space="preserve">.</w:t>
      </w:r>
    </w:p>
    <w:bookmarkEnd w:id="51"/>
    <w:bookmarkStart w:id="53"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52">
        <w:r>
          <w:rPr>
            <w:rStyle w:val="InternetLink"/>
          </w:rPr>
          <w:t xml:space="preserve">https://doi.org/10.5751/ES-11552-250213</w:t>
        </w:r>
      </w:hyperlink>
      <w:r>
        <w:t xml:space="preserve">.</w:t>
      </w:r>
    </w:p>
    <w:bookmarkEnd w:id="53"/>
    <w:bookmarkStart w:id="55"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54">
        <w:r>
          <w:rPr>
            <w:rStyle w:val="InternetLink"/>
          </w:rPr>
          <w:t xml:space="preserve">https://doi.org/10.1111/2041-210X.13091</w:t>
        </w:r>
      </w:hyperlink>
      <w:r>
        <w:t xml:space="preserve">.</w:t>
      </w:r>
    </w:p>
    <w:bookmarkEnd w:id="55"/>
    <w:bookmarkStart w:id="57"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56">
        <w:r>
          <w:rPr>
            <w:rStyle w:val="InternetLink"/>
          </w:rPr>
          <w:t xml:space="preserve">https://doi.org/10.1111/cobi.13633</w:t>
        </w:r>
      </w:hyperlink>
      <w:r>
        <w:t xml:space="preserve">.</w:t>
      </w:r>
    </w:p>
    <w:bookmarkEnd w:id="57"/>
    <w:bookmarkStart w:id="59"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58">
        <w:r>
          <w:rPr>
            <w:rStyle w:val="InternetLink"/>
          </w:rPr>
          <w:t xml:space="preserve">https://doi.org/10.3389/fpsyg.2019.02846</w:t>
        </w:r>
      </w:hyperlink>
      <w:r>
        <w:t xml:space="preserve">.</w:t>
      </w:r>
    </w:p>
    <w:bookmarkEnd w:id="59"/>
    <w:bookmarkStart w:id="61"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60">
        <w:r>
          <w:rPr>
            <w:rStyle w:val="InternetLink"/>
          </w:rPr>
          <w:t xml:space="preserve">https://doi.org/10.1126/science.1185802</w:t>
        </w:r>
      </w:hyperlink>
      <w:r>
        <w:t xml:space="preserve">.</w:t>
      </w:r>
    </w:p>
    <w:bookmarkEnd w:id="61"/>
    <w:bookmarkStart w:id="63"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62">
        <w:r>
          <w:rPr>
            <w:rStyle w:val="InternetLink"/>
          </w:rPr>
          <w:t xml:space="preserve">https://doi.org/10.14512/gaia.25.4.13</w:t>
        </w:r>
      </w:hyperlink>
      <w:r>
        <w:t xml:space="preserve">.</w:t>
      </w:r>
    </w:p>
    <w:bookmarkEnd w:id="63"/>
    <w:bookmarkStart w:id="65"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64">
        <w:r>
          <w:rPr>
            <w:rStyle w:val="InternetLink"/>
          </w:rPr>
          <w:t xml:space="preserve">https://doi.org/10.1038/s41467-020-17785-2</w:t>
        </w:r>
      </w:hyperlink>
      <w:r>
        <w:t xml:space="preserve">.</w:t>
      </w:r>
    </w:p>
    <w:bookmarkEnd w:id="65"/>
    <w:bookmarkStart w:id="67"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66">
        <w:r>
          <w:rPr>
            <w:rStyle w:val="InternetLink"/>
          </w:rPr>
          <w:t xml:space="preserve">https://doi.org/10.1016/j.envsoft.2016.10.008</w:t>
        </w:r>
      </w:hyperlink>
      <w:r>
        <w:t xml:space="preserve">.</w:t>
      </w:r>
    </w:p>
    <w:bookmarkEnd w:id="67"/>
    <w:bookmarkStart w:id="69"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68">
        <w:r>
          <w:rPr>
            <w:rStyle w:val="InternetLink"/>
          </w:rPr>
          <w:t xml:space="preserve">https://www.ipcc.ch/report/ar6/wg1/</w:t>
        </w:r>
      </w:hyperlink>
      <w:r>
        <w:t xml:space="preserve">.</w:t>
      </w:r>
    </w:p>
    <w:bookmarkEnd w:id="69"/>
    <w:bookmarkStart w:id="71"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70">
        <w:r>
          <w:rPr>
            <w:rStyle w:val="InternetLink"/>
          </w:rPr>
          <w:t xml:space="preserve">https://doi.org/10.1073/pnas.1115898108</w:t>
        </w:r>
      </w:hyperlink>
      <w:r>
        <w:t xml:space="preserve">.</w:t>
      </w:r>
    </w:p>
    <w:bookmarkEnd w:id="71"/>
    <w:bookmarkStart w:id="73"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72">
        <w:r>
          <w:rPr>
            <w:rStyle w:val="InternetLink"/>
          </w:rPr>
          <w:t xml:space="preserve">https://doi.org/10.1007/s11077-016-9250-4</w:t>
        </w:r>
      </w:hyperlink>
      <w:r>
        <w:t xml:space="preserve">.</w:t>
      </w:r>
    </w:p>
    <w:bookmarkEnd w:id="73"/>
    <w:bookmarkStart w:id="75"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74">
        <w:r>
          <w:rPr>
            <w:rStyle w:val="InternetLink"/>
          </w:rPr>
          <w:t xml:space="preserve">https://doi.org/10.1038/536143a</w:t>
        </w:r>
      </w:hyperlink>
      <w:r>
        <w:t xml:space="preserve">.</w:t>
      </w:r>
    </w:p>
    <w:bookmarkEnd w:id="75"/>
    <w:bookmarkStart w:id="77"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76">
        <w:r>
          <w:rPr>
            <w:rStyle w:val="InternetLink"/>
          </w:rPr>
          <w:t xml:space="preserve">https://doi.org/10.5751/ES-08416-210338</w:t>
        </w:r>
      </w:hyperlink>
      <w:r>
        <w:t xml:space="preserve">.</w:t>
      </w:r>
    </w:p>
    <w:bookmarkEnd w:id="77"/>
    <w:bookmarkStart w:id="79"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78">
        <w:r>
          <w:rPr>
            <w:rStyle w:val="InternetLink"/>
          </w:rPr>
          <w:t xml:space="preserve">https://doi.org/10.1098/rstb.2011.0175</w:t>
        </w:r>
      </w:hyperlink>
      <w:r>
        <w:t xml:space="preserve">.</w:t>
      </w:r>
    </w:p>
    <w:bookmarkEnd w:id="79"/>
    <w:bookmarkStart w:id="81"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80">
        <w:r>
          <w:rPr>
            <w:rStyle w:val="InternetLink"/>
          </w:rPr>
          <w:t xml:space="preserve">https://doi.org/10.1038/s41562-020-0885-y</w:t>
        </w:r>
      </w:hyperlink>
      <w:r>
        <w:t xml:space="preserve">.</w:t>
      </w:r>
    </w:p>
    <w:bookmarkEnd w:id="81"/>
    <w:bookmarkStart w:id="83"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82">
        <w:r>
          <w:rPr>
            <w:rStyle w:val="InternetLink"/>
          </w:rPr>
          <w:t xml:space="preserve">https://doi.org/10.1002/pan3.10155</w:t>
        </w:r>
      </w:hyperlink>
      <w:r>
        <w:t xml:space="preserve">.</w:t>
      </w:r>
    </w:p>
    <w:bookmarkEnd w:id="83"/>
    <w:bookmarkStart w:id="85"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84">
        <w:r>
          <w:rPr>
            <w:rStyle w:val="InternetLink"/>
          </w:rPr>
          <w:t xml:space="preserve">https://doi.org/10.5751/ES-12306-260208</w:t>
        </w:r>
      </w:hyperlink>
      <w:r>
        <w:t xml:space="preserve">.</w:t>
      </w:r>
    </w:p>
    <w:bookmarkEnd w:id="85"/>
    <w:bookmarkStart w:id="87"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86">
        <w:r>
          <w:rPr>
            <w:rStyle w:val="InternetLink"/>
          </w:rPr>
          <w:t xml:space="preserve">https://doi.org/10.1016/j.tree.2018.03.005</w:t>
        </w:r>
      </w:hyperlink>
      <w:r>
        <w:t xml:space="preserve">.</w:t>
      </w:r>
    </w:p>
    <w:bookmarkEnd w:id="87"/>
    <w:bookmarkStart w:id="89"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88">
        <w:r>
          <w:rPr>
            <w:rStyle w:val="InternetLink"/>
          </w:rPr>
          <w:t xml:space="preserve">https://doi.org/10.1111/conl.12113</w:t>
        </w:r>
      </w:hyperlink>
      <w:r>
        <w:t xml:space="preserve">.</w:t>
      </w:r>
    </w:p>
    <w:bookmarkEnd w:id="89"/>
    <w:bookmarkStart w:id="91"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90">
        <w:r>
          <w:rPr>
            <w:rStyle w:val="InternetLink"/>
          </w:rPr>
          <w:t xml:space="preserve">https://doi.org/10.1111/j.1939-7445.2011.00108.x</w:t>
        </w:r>
      </w:hyperlink>
      <w:r>
        <w:t xml:space="preserve">.</w:t>
      </w:r>
    </w:p>
    <w:bookmarkEnd w:id="91"/>
    <w:bookmarkStart w:id="93"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92">
        <w:r>
          <w:rPr>
            <w:rStyle w:val="InternetLink"/>
          </w:rPr>
          <w:t xml:space="preserve">https://doi.org/10.1016/j.ecolmodel.2019.108784</w:t>
        </w:r>
      </w:hyperlink>
      <w:r>
        <w:t xml:space="preserve">.</w:t>
      </w:r>
    </w:p>
    <w:bookmarkEnd w:id="93"/>
    <w:bookmarkStart w:id="95"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94">
        <w:r>
          <w:rPr>
            <w:rStyle w:val="InternetLink"/>
          </w:rPr>
          <w:t xml:space="preserve">https://doi.org/10.1109/TG.2018.2867743</w:t>
        </w:r>
      </w:hyperlink>
      <w:r>
        <w:t xml:space="preserve">.</w:t>
      </w:r>
    </w:p>
    <w:bookmarkEnd w:id="95"/>
    <w:bookmarkStart w:id="97"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96">
        <w:r>
          <w:rPr>
            <w:rStyle w:val="InternetLink"/>
          </w:rPr>
          <w:t xml:space="preserve">https://doi.org/10.1038/nbt.4225</w:t>
        </w:r>
      </w:hyperlink>
      <w:r>
        <w:t xml:space="preserve">.</w:t>
      </w:r>
    </w:p>
    <w:bookmarkEnd w:id="97"/>
    <w:bookmarkStart w:id="99"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98">
        <w:r>
          <w:rPr>
            <w:rStyle w:val="InternetLink"/>
          </w:rPr>
          <w:t xml:space="preserve">https://doi.org/10.7717/peerj.4509</w:t>
        </w:r>
      </w:hyperlink>
      <w:r>
        <w:t xml:space="preserve">.</w:t>
      </w:r>
    </w:p>
    <w:bookmarkEnd w:id="99"/>
    <w:bookmarkStart w:id="101"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00">
        <w:r>
          <w:rPr>
            <w:rStyle w:val="InternetLink"/>
          </w:rPr>
          <w:t xml:space="preserve">https://doi.org/10.3389/fmars.2021.645408</w:t>
        </w:r>
      </w:hyperlink>
      <w:r>
        <w:t xml:space="preserve">.</w:t>
      </w:r>
    </w:p>
    <w:bookmarkEnd w:id="101"/>
    <w:bookmarkStart w:id="103"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02">
        <w:r>
          <w:rPr>
            <w:rStyle w:val="InternetLink"/>
          </w:rPr>
          <w:t xml:space="preserve">https://doi.org/10.5751/ES-08139-210139</w:t>
        </w:r>
      </w:hyperlink>
      <w:r>
        <w:t xml:space="preserve">.</w:t>
      </w:r>
    </w:p>
    <w:bookmarkEnd w:id="103"/>
    <w:bookmarkStart w:id="105"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04">
        <w:r>
          <w:rPr>
            <w:rStyle w:val="InternetLink"/>
          </w:rPr>
          <w:t xml:space="preserve">https://doi.org/10.1002/pan3.10207</w:t>
        </w:r>
      </w:hyperlink>
      <w:r>
        <w:t xml:space="preserve">.</w:t>
      </w:r>
    </w:p>
    <w:bookmarkEnd w:id="105"/>
    <w:bookmarkStart w:id="107"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06">
        <w:r>
          <w:rPr>
            <w:rStyle w:val="InternetLink"/>
          </w:rPr>
          <w:t xml:space="preserve">https://doi.org/10.1021/acs.est.6b05296</w:t>
        </w:r>
      </w:hyperlink>
      <w:r>
        <w:t xml:space="preserve">.</w:t>
      </w:r>
    </w:p>
    <w:bookmarkEnd w:id="107"/>
    <w:bookmarkStart w:id="109"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08">
        <w:r>
          <w:rPr>
            <w:rStyle w:val="InternetLink"/>
          </w:rPr>
          <w:t xml:space="preserve">https://doi.org/10.1016/j.envsoft.2017.09.012</w:t>
        </w:r>
      </w:hyperlink>
      <w:r>
        <w:t xml:space="preserve">.</w:t>
      </w:r>
    </w:p>
    <w:bookmarkEnd w:id="109"/>
    <w:bookmarkEnd w:id="110"/>
    <w:bookmarkEnd w:id="111"/>
    <w:bookmarkEnd w:id="112"/>
    <w:sectPr>
      <w:footerReference w:type="default" r:id="rId9"/>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6</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2" Target="https://doi.org/10.1002/pan3.10155" TargetMode="External" /><Relationship Type="http://schemas.openxmlformats.org/officeDocument/2006/relationships/hyperlink" Id="rId104" Target="https://doi.org/10.1002/pan3.10207" TargetMode="External" /><Relationship Type="http://schemas.openxmlformats.org/officeDocument/2006/relationships/hyperlink" Id="rId72" Target="https://doi.org/10.1007/s11077-016-9250-4" TargetMode="External" /><Relationship Type="http://schemas.openxmlformats.org/officeDocument/2006/relationships/hyperlink" Id="rId92" Target="https://doi.org/10.1016/j.ecolmodel.2019.108784" TargetMode="External" /><Relationship Type="http://schemas.openxmlformats.org/officeDocument/2006/relationships/hyperlink" Id="rId66" Target="https://doi.org/10.1016/j.envsoft.2016.10.008" TargetMode="External" /><Relationship Type="http://schemas.openxmlformats.org/officeDocument/2006/relationships/hyperlink" Id="rId108" Target="https://doi.org/10.1016/j.envsoft.2017.09.012" TargetMode="External" /><Relationship Type="http://schemas.openxmlformats.org/officeDocument/2006/relationships/hyperlink" Id="rId86" Target="https://doi.org/10.1016/j.tree.2018.03.005" TargetMode="External" /><Relationship Type="http://schemas.openxmlformats.org/officeDocument/2006/relationships/hyperlink" Id="rId106" Target="https://doi.org/10.1021/acs.est.6b05296" TargetMode="External" /><Relationship Type="http://schemas.openxmlformats.org/officeDocument/2006/relationships/hyperlink" Id="rId74" Target="https://doi.org/10.1038/536143a" TargetMode="External" /><Relationship Type="http://schemas.openxmlformats.org/officeDocument/2006/relationships/hyperlink" Id="rId96" Target="https://doi.org/10.1038/nbt.4225" TargetMode="External" /><Relationship Type="http://schemas.openxmlformats.org/officeDocument/2006/relationships/hyperlink" Id="rId64" Target="https://doi.org/10.1038/s41467-020-17785-2" TargetMode="External" /><Relationship Type="http://schemas.openxmlformats.org/officeDocument/2006/relationships/hyperlink" Id="rId80" Target="https://doi.org/10.1038/s41562-020-0885-y" TargetMode="External" /><Relationship Type="http://schemas.openxmlformats.org/officeDocument/2006/relationships/hyperlink" Id="rId70" Target="https://doi.org/10.1073/pnas.1115898108" TargetMode="External" /><Relationship Type="http://schemas.openxmlformats.org/officeDocument/2006/relationships/hyperlink" Id="rId48" Target="https://doi.org/10.1073/pnas.1704949114" TargetMode="External" /><Relationship Type="http://schemas.openxmlformats.org/officeDocument/2006/relationships/hyperlink" Id="rId78" Target="https://doi.org/10.1098/rstb.2011.0175" TargetMode="External" /><Relationship Type="http://schemas.openxmlformats.org/officeDocument/2006/relationships/hyperlink" Id="rId94" Target="https://doi.org/10.1109/TG.2018.2867743" TargetMode="External" /><Relationship Type="http://schemas.openxmlformats.org/officeDocument/2006/relationships/hyperlink" Id="rId54" Target="https://doi.org/10.1111/2041-210X.13091" TargetMode="External" /><Relationship Type="http://schemas.openxmlformats.org/officeDocument/2006/relationships/hyperlink" Id="rId56" Target="https://doi.org/10.1111/cobi.13633" TargetMode="External" /><Relationship Type="http://schemas.openxmlformats.org/officeDocument/2006/relationships/hyperlink" Id="rId88" Target="https://doi.org/10.1111/conl.12113" TargetMode="External" /><Relationship Type="http://schemas.openxmlformats.org/officeDocument/2006/relationships/hyperlink" Id="rId44" Target="https://doi.org/10.1111/ddi.12054" TargetMode="External" /><Relationship Type="http://schemas.openxmlformats.org/officeDocument/2006/relationships/hyperlink" Id="rId90" Target="https://doi.org/10.1111/j.1939-7445.2011.00108.x" TargetMode="External" /><Relationship Type="http://schemas.openxmlformats.org/officeDocument/2006/relationships/hyperlink" Id="rId50" Target="https://doi.org/10.1111/tops.12267" TargetMode="External" /><Relationship Type="http://schemas.openxmlformats.org/officeDocument/2006/relationships/hyperlink" Id="rId46" Target="https://doi.org/10.1126/sciadv.1400253" TargetMode="External" /><Relationship Type="http://schemas.openxmlformats.org/officeDocument/2006/relationships/hyperlink" Id="rId60" Target="https://doi.org/10.1126/science.1185802" TargetMode="External" /><Relationship Type="http://schemas.openxmlformats.org/officeDocument/2006/relationships/hyperlink" Id="rId62" Target="https://doi.org/10.14512/gaia.25.4.13" TargetMode="External" /><Relationship Type="http://schemas.openxmlformats.org/officeDocument/2006/relationships/hyperlink" Id="rId100" Target="https://doi.org/10.3389/fmars.2021.645408" TargetMode="External" /><Relationship Type="http://schemas.openxmlformats.org/officeDocument/2006/relationships/hyperlink" Id="rId58" Target="https://doi.org/10.3389/fpsyg.2019.02846" TargetMode="External" /><Relationship Type="http://schemas.openxmlformats.org/officeDocument/2006/relationships/hyperlink" Id="rId102" Target="https://doi.org/10.5751/ES-08139-210139" TargetMode="External" /><Relationship Type="http://schemas.openxmlformats.org/officeDocument/2006/relationships/hyperlink" Id="rId76" Target="https://doi.org/10.5751/ES-08416-210338" TargetMode="External" /><Relationship Type="http://schemas.openxmlformats.org/officeDocument/2006/relationships/hyperlink" Id="rId52" Target="https://doi.org/10.5751/ES-11552-250213" TargetMode="External" /><Relationship Type="http://schemas.openxmlformats.org/officeDocument/2006/relationships/hyperlink" Id="rId84" Target="https://doi.org/10.5751/ES-12306-260208" TargetMode="External" /><Relationship Type="http://schemas.openxmlformats.org/officeDocument/2006/relationships/hyperlink" Id="rId98" Target="https://doi.org/10.7717/peerj.4509" TargetMode="External" /><Relationship Type="http://schemas.openxmlformats.org/officeDocument/2006/relationships/hyperlink" Id="rId68"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82" Target="https://doi.org/10.1002/pan3.10155" TargetMode="External" /><Relationship Type="http://schemas.openxmlformats.org/officeDocument/2006/relationships/hyperlink" Id="rId104" Target="https://doi.org/10.1002/pan3.10207" TargetMode="External" /><Relationship Type="http://schemas.openxmlformats.org/officeDocument/2006/relationships/hyperlink" Id="rId72" Target="https://doi.org/10.1007/s11077-016-9250-4" TargetMode="External" /><Relationship Type="http://schemas.openxmlformats.org/officeDocument/2006/relationships/hyperlink" Id="rId92" Target="https://doi.org/10.1016/j.ecolmodel.2019.108784" TargetMode="External" /><Relationship Type="http://schemas.openxmlformats.org/officeDocument/2006/relationships/hyperlink" Id="rId66" Target="https://doi.org/10.1016/j.envsoft.2016.10.008" TargetMode="External" /><Relationship Type="http://schemas.openxmlformats.org/officeDocument/2006/relationships/hyperlink" Id="rId108" Target="https://doi.org/10.1016/j.envsoft.2017.09.012" TargetMode="External" /><Relationship Type="http://schemas.openxmlformats.org/officeDocument/2006/relationships/hyperlink" Id="rId86" Target="https://doi.org/10.1016/j.tree.2018.03.005" TargetMode="External" /><Relationship Type="http://schemas.openxmlformats.org/officeDocument/2006/relationships/hyperlink" Id="rId106" Target="https://doi.org/10.1021/acs.est.6b05296" TargetMode="External" /><Relationship Type="http://schemas.openxmlformats.org/officeDocument/2006/relationships/hyperlink" Id="rId74" Target="https://doi.org/10.1038/536143a" TargetMode="External" /><Relationship Type="http://schemas.openxmlformats.org/officeDocument/2006/relationships/hyperlink" Id="rId96" Target="https://doi.org/10.1038/nbt.4225" TargetMode="External" /><Relationship Type="http://schemas.openxmlformats.org/officeDocument/2006/relationships/hyperlink" Id="rId64" Target="https://doi.org/10.1038/s41467-020-17785-2" TargetMode="External" /><Relationship Type="http://schemas.openxmlformats.org/officeDocument/2006/relationships/hyperlink" Id="rId80" Target="https://doi.org/10.1038/s41562-020-0885-y" TargetMode="External" /><Relationship Type="http://schemas.openxmlformats.org/officeDocument/2006/relationships/hyperlink" Id="rId70" Target="https://doi.org/10.1073/pnas.1115898108" TargetMode="External" /><Relationship Type="http://schemas.openxmlformats.org/officeDocument/2006/relationships/hyperlink" Id="rId48" Target="https://doi.org/10.1073/pnas.1704949114" TargetMode="External" /><Relationship Type="http://schemas.openxmlformats.org/officeDocument/2006/relationships/hyperlink" Id="rId78" Target="https://doi.org/10.1098/rstb.2011.0175" TargetMode="External" /><Relationship Type="http://schemas.openxmlformats.org/officeDocument/2006/relationships/hyperlink" Id="rId94" Target="https://doi.org/10.1109/TG.2018.2867743" TargetMode="External" /><Relationship Type="http://schemas.openxmlformats.org/officeDocument/2006/relationships/hyperlink" Id="rId54" Target="https://doi.org/10.1111/2041-210X.13091" TargetMode="External" /><Relationship Type="http://schemas.openxmlformats.org/officeDocument/2006/relationships/hyperlink" Id="rId56" Target="https://doi.org/10.1111/cobi.13633" TargetMode="External" /><Relationship Type="http://schemas.openxmlformats.org/officeDocument/2006/relationships/hyperlink" Id="rId88" Target="https://doi.org/10.1111/conl.12113" TargetMode="External" /><Relationship Type="http://schemas.openxmlformats.org/officeDocument/2006/relationships/hyperlink" Id="rId44" Target="https://doi.org/10.1111/ddi.12054" TargetMode="External" /><Relationship Type="http://schemas.openxmlformats.org/officeDocument/2006/relationships/hyperlink" Id="rId90" Target="https://doi.org/10.1111/j.1939-7445.2011.00108.x" TargetMode="External" /><Relationship Type="http://schemas.openxmlformats.org/officeDocument/2006/relationships/hyperlink" Id="rId50" Target="https://doi.org/10.1111/tops.12267" TargetMode="External" /><Relationship Type="http://schemas.openxmlformats.org/officeDocument/2006/relationships/hyperlink" Id="rId46" Target="https://doi.org/10.1126/sciadv.1400253" TargetMode="External" /><Relationship Type="http://schemas.openxmlformats.org/officeDocument/2006/relationships/hyperlink" Id="rId60" Target="https://doi.org/10.1126/science.1185802" TargetMode="External" /><Relationship Type="http://schemas.openxmlformats.org/officeDocument/2006/relationships/hyperlink" Id="rId62" Target="https://doi.org/10.14512/gaia.25.4.13" TargetMode="External" /><Relationship Type="http://schemas.openxmlformats.org/officeDocument/2006/relationships/hyperlink" Id="rId100" Target="https://doi.org/10.3389/fmars.2021.645408" TargetMode="External" /><Relationship Type="http://schemas.openxmlformats.org/officeDocument/2006/relationships/hyperlink" Id="rId58" Target="https://doi.org/10.3389/fpsyg.2019.02846" TargetMode="External" /><Relationship Type="http://schemas.openxmlformats.org/officeDocument/2006/relationships/hyperlink" Id="rId102" Target="https://doi.org/10.5751/ES-08139-210139" TargetMode="External" /><Relationship Type="http://schemas.openxmlformats.org/officeDocument/2006/relationships/hyperlink" Id="rId76" Target="https://doi.org/10.5751/ES-08416-210338" TargetMode="External" /><Relationship Type="http://schemas.openxmlformats.org/officeDocument/2006/relationships/hyperlink" Id="rId52" Target="https://doi.org/10.5751/ES-11552-250213" TargetMode="External" /><Relationship Type="http://schemas.openxmlformats.org/officeDocument/2006/relationships/hyperlink" Id="rId84" Target="https://doi.org/10.5751/ES-12306-260208" TargetMode="External" /><Relationship Type="http://schemas.openxmlformats.org/officeDocument/2006/relationships/hyperlink" Id="rId98" Target="https://doi.org/10.7717/peerj.4509" TargetMode="External" /><Relationship Type="http://schemas.openxmlformats.org/officeDocument/2006/relationships/hyperlink" Id="rId68"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2021-08-12T10:30:28Z</dcterms:created>
  <dcterms:modified xsi:type="dcterms:W3CDTF">2021-08-12T10:30:28Z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