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Gamesourcing</w:t>
      </w:r>
      <w:r>
        <w:t xml:space="preserve">’</w:t>
      </w:r>
      <w:r>
        <w:t xml:space="preserve"> </w:t>
      </w:r>
      <w:r>
        <w:t xml:space="preserve">data</w:t>
      </w:r>
      <w:r>
        <w:t xml:space="preserve"> </w:t>
      </w:r>
      <w:r>
        <w:t xml:space="preserve">for</w:t>
      </w:r>
      <w:r>
        <w:t xml:space="preserve"> </w:t>
      </w:r>
      <w:r>
        <w:t xml:space="preserve">socio-ecological</w:t>
      </w:r>
      <w:r>
        <w:t xml:space="preserve"> </w:t>
      </w:r>
      <w:r>
        <w:t xml:space="preserve">models</w:t>
      </w:r>
    </w:p>
    <w:p>
      <w:pPr>
        <w:pStyle w:val="Author"/>
      </w:pPr>
      <w:r>
        <w:t xml:space="preserve">Jeroen</w:t>
      </w:r>
      <w:r>
        <w:t xml:space="preserve"> </w:t>
      </w:r>
      <w:r>
        <w:t xml:space="preserve">Minderman</w:t>
      </w:r>
    </w:p>
    <w:p>
      <w:pPr>
        <w:pStyle w:val="Date"/>
      </w:pPr>
      <w:r>
        <w:t xml:space="preserve">05/08/2021</w:t>
      </w:r>
    </w:p>
    <w:bookmarkStart w:id="20" w:name="summary"/>
    <w:p>
      <w:pPr>
        <w:pStyle w:val="Heading1"/>
      </w:pPr>
      <w:r>
        <w:t xml:space="preserve">Summary</w:t>
      </w:r>
    </w:p>
    <w:bookmarkEnd w:id="20"/>
    <w:bookmarkStart w:id="21"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rPr>
          <w:bCs/>
          <w:b/>
        </w:rPr>
        <w:t xml:space="preserve">(ref IPCC report)</w:t>
      </w:r>
      <w:r>
        <w:t xml:space="preserve"> </w:t>
      </w:r>
      <w:r>
        <w:t xml:space="preserve">to supporting the understanding of fundamental processes in natural resource management (</w:t>
      </w:r>
      <w:r>
        <w:rPr>
          <w:bCs/>
          <w:b/>
        </w:rPr>
        <w:t xml:space="preserve">ref Fryxell or similar</w:t>
      </w:r>
      <w:r>
        <w:t xml:space="preserve">).</w:t>
      </w:r>
      <w:r>
        <w:t xml:space="preserve"> </w:t>
      </w:r>
      <w:r>
        <w:t xml:space="preserve">Given the continued rapid loss of biodiversity, understanding the mechanisms and consequences of such loss is vital.</w:t>
      </w:r>
      <w:r>
        <w:t xml:space="preserve"> </w:t>
      </w:r>
      <w:r>
        <w:t xml:space="preserve">Although a number of drivers of biodiversity loss have been identified,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 Maxwell et al. 2016; Wilting et al. 2017)</w:t>
      </w:r>
      <w:r>
        <w:t xml:space="preserve">.</w:t>
      </w:r>
    </w:p>
    <w:p>
      <w:pPr>
        <w:pStyle w:val="BodyText"/>
      </w:pPr>
      <w:r>
        <w:t xml:space="preserve">Thus, the development of models that can effectively represent systems in which natural resource dynamics and human decision making interact is becoming increasingly urgent.</w:t>
      </w:r>
    </w:p>
    <w:p>
      <w:pPr>
        <w:pStyle w:val="BodyText"/>
      </w:pPr>
      <w:r>
        <w:t xml:space="preserve">Cutting-edge modelling approaches have made significant inroads towards this goal.</w:t>
      </w:r>
    </w:p>
    <w:p>
      <w:pPr>
        <w:pStyle w:val="BodyText"/>
      </w:pPr>
      <w:r>
        <w:t xml:space="preserve">It is clear that successful applications of such models rely not only on effective and accurate parameterisation, but also on effective communication of both the model itself as well as its inputs and outputs, particularly to non-specialist audiences.</w:t>
      </w:r>
    </w:p>
    <w:p>
      <w:pPr>
        <w:pStyle w:val="BodyText"/>
      </w:pPr>
      <w:r>
        <w:t xml:space="preserve">Games have a long history of being used as educational tools, and in research settings as tools to communicate complex ideas and processes to non-specialists, including in socio-ecological studies.</w:t>
      </w:r>
      <w:r>
        <w:t xml:space="preserve"> </w:t>
      </w:r>
      <w:r>
        <w:t xml:space="preserve">[EXAMPLES OF EDUCATIONAL/PROMOTIONAL GAMES] [NOTE ON CONCEPTUAL VALUE OF USING GAMES IN THESE SETTINGS].</w:t>
      </w:r>
    </w:p>
    <w:p>
      <w:pPr>
        <w:pStyle w:val="BodyText"/>
      </w:pPr>
      <w:r>
        <w:t xml:space="preserve">Given this long history, it is striking that the parallels between games (particularly videogames)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often relies on technical expertise.</w:t>
      </w:r>
      <w:r>
        <w:t xml:space="preserve"> </w:t>
      </w:r>
      <w:r>
        <w:t xml:space="preserve">Casting models as games therefore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BodyText"/>
      </w:pPr>
      <w:r>
        <w:t xml:space="preserve">In addition, presenting a model as a game provides an opportunity to empirically collect data on how stakeholders make decisions in the modelled environment</w:t>
      </w:r>
    </w:p>
    <w:p>
      <w:pPr>
        <w:pStyle w:val="BodyText"/>
      </w:pPr>
      <w:r>
        <w:t xml:space="preserve">Thus, model-games can be considered</w:t>
      </w:r>
      <w:r>
        <w:t xml:space="preserve"> </w:t>
      </w:r>
      <w:r>
        <w:t xml:space="preserve">“</w:t>
      </w:r>
      <w:r>
        <w:t xml:space="preserve">virtual laboratories</w:t>
      </w:r>
      <w:r>
        <w:t xml:space="preserve">”</w:t>
      </w:r>
      <w:r>
        <w:t xml:space="preserve"> </w:t>
      </w:r>
      <w:r>
        <w:t xml:space="preserve">to not only test specific hypotheses or predictions, but potentially also as an effective method to source data to parameterise the underlying models, based on in-game decisions by real humans.</w:t>
      </w:r>
    </w:p>
    <w:p>
      <w:pPr>
        <w:pStyle w:val="BodyText"/>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we discuss both the limitations of this approach, using test player feedback as a basis for this, as well as its wider potential.</w:t>
      </w:r>
    </w:p>
    <w:bookmarkEnd w:id="21"/>
    <w:bookmarkStart w:id="29" w:name="outline-of-approach"/>
    <w:p>
      <w:pPr>
        <w:pStyle w:val="Heading1"/>
      </w:pPr>
      <w:r>
        <w:t xml:space="preserve">Outline of approach</w:t>
      </w:r>
    </w:p>
    <w:bookmarkStart w:id="24" w:name="underlying-model-gmse"/>
    <w:p>
      <w:pPr>
        <w:pStyle w:val="Heading2"/>
      </w:pPr>
      <w:r>
        <w:t xml:space="preserve">Underlying model: GMSE</w:t>
      </w:r>
    </w:p>
    <w:bookmarkStart w:id="22" w:name="X661808d150ab65b64bbf7eca0b36a8bee1a312a"/>
    <w:p>
      <w:pPr>
        <w:pStyle w:val="Heading3"/>
      </w:pPr>
      <w:r>
        <w:t xml:space="preserve">Basic introduction of GMSE principles and structures</w:t>
      </w:r>
    </w:p>
    <w:bookmarkEnd w:id="22"/>
    <w:bookmarkStart w:id="23" w:name="brief-discussion-of-limitations-of-gmse"/>
    <w:p>
      <w:pPr>
        <w:pStyle w:val="Heading3"/>
      </w:pPr>
      <w:r>
        <w:t xml:space="preserve">Brief discussion of limitations of GMSE</w:t>
      </w:r>
    </w:p>
    <w:bookmarkEnd w:id="23"/>
    <w:bookmarkEnd w:id="24"/>
    <w:bookmarkStart w:id="28" w:name="animalfarm"/>
    <w:p>
      <w:pPr>
        <w:pStyle w:val="Heading2"/>
      </w:pPr>
      <w:r>
        <w:t xml:space="preserve">Animal&amp;Farm</w:t>
      </w:r>
    </w:p>
    <w:bookmarkStart w:id="25" w:name="structure-as-relating-to-gmse"/>
    <w:p>
      <w:pPr>
        <w:pStyle w:val="Heading3"/>
      </w:pPr>
      <w:r>
        <w:t xml:space="preserve">Structure as relating to GMSE</w:t>
      </w:r>
    </w:p>
    <w:bookmarkEnd w:id="25"/>
    <w:bookmarkStart w:id="26" w:name="database-back-end"/>
    <w:p>
      <w:pPr>
        <w:pStyle w:val="Heading3"/>
      </w:pPr>
      <w:r>
        <w:t xml:space="preserve">Database</w:t>
      </w:r>
      <w:r>
        <w:t xml:space="preserve"> </w:t>
      </w:r>
      <w:r>
        <w:t xml:space="preserve">“</w:t>
      </w:r>
      <w:r>
        <w:t xml:space="preserve">back end</w:t>
      </w:r>
      <w:r>
        <w:t xml:space="preserve">”</w:t>
      </w:r>
    </w:p>
    <w:bookmarkEnd w:id="26"/>
    <w:bookmarkStart w:id="27" w:name="sandbox-for-in-silico-experiments"/>
    <w:p>
      <w:pPr>
        <w:pStyle w:val="Heading3"/>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Expandability of parameter variation</w:t>
      </w:r>
    </w:p>
    <w:p>
      <w:pPr>
        <w:pStyle w:val="BodyText"/>
      </w:pPr>
      <w:r>
        <w:t xml:space="preserve">Setting up</w:t>
      </w:r>
      <w:r>
        <w:t xml:space="preserve"> </w:t>
      </w:r>
      <w:r>
        <w:t xml:space="preserve">“</w:t>
      </w:r>
      <w:r>
        <w:t xml:space="preserve">scenarios</w:t>
      </w:r>
      <w:r>
        <w:t xml:space="preserve">”</w:t>
      </w:r>
      <w:r>
        <w:t xml:space="preserve"> </w:t>
      </w:r>
      <w:r>
        <w:t xml:space="preserve">to test specific hypotheses/predictions</w:t>
      </w:r>
    </w:p>
    <w:bookmarkEnd w:id="27"/>
    <w:bookmarkEnd w:id="28"/>
    <w:bookmarkEnd w:id="29"/>
    <w:bookmarkStart w:id="34" w:name="example-application"/>
    <w:p>
      <w:pPr>
        <w:pStyle w:val="Heading1"/>
      </w:pPr>
      <w:r>
        <w:t xml:space="preserve">Example application</w:t>
      </w:r>
    </w:p>
    <w:bookmarkStart w:id="30" w:name="methodsrationale-for-scenario-set-up"/>
    <w:p>
      <w:pPr>
        <w:pStyle w:val="Heading2"/>
      </w:pPr>
      <w:r>
        <w:t xml:space="preserve">Methods/rationale for scenario set up</w:t>
      </w:r>
    </w:p>
    <w:bookmarkEnd w:id="30"/>
    <w:bookmarkStart w:id="31" w:name="illustrative-results"/>
    <w:p>
      <w:pPr>
        <w:pStyle w:val="Heading2"/>
      </w:pPr>
      <w:r>
        <w:t xml:space="preserve">Illustrative results</w:t>
      </w:r>
    </w:p>
    <w:bookmarkEnd w:id="31"/>
    <w:bookmarkStart w:id="33" w:name="summary-of-player-feedback"/>
    <w:p>
      <w:pPr>
        <w:pStyle w:val="Heading2"/>
      </w:pPr>
      <w:r>
        <w:t xml:space="preserve">Summary of player feedback</w:t>
      </w:r>
    </w:p>
    <w:bookmarkStart w:id="32" w:name="section"/>
    <w:p>
      <w:pPr>
        <w:pStyle w:val="Heading3"/>
      </w:pPr>
    </w:p>
    <w:bookmarkEnd w:id="32"/>
    <w:bookmarkEnd w:id="33"/>
    <w:bookmarkEnd w:id="34"/>
    <w:bookmarkStart w:id="49" w:name="discussion"/>
    <w:p>
      <w:pPr>
        <w:pStyle w:val="Heading1"/>
      </w:pPr>
      <w:r>
        <w:t xml:space="preserve">Discussion</w:t>
      </w:r>
    </w:p>
    <w:bookmarkStart w:id="35" w:name="Xa9535846b2adfd25e25fac9f5c27e9bf4361617"/>
    <w:p>
      <w:pPr>
        <w:pStyle w:val="Heading2"/>
      </w:pPr>
      <w:r>
        <w:t xml:space="preserve">Brief summary of aims, process and outcome of example scenarios</w:t>
      </w:r>
    </w:p>
    <w:bookmarkEnd w:id="35"/>
    <w:bookmarkStart w:id="36" w:name="revisit-player-feedback"/>
    <w:p>
      <w:pPr>
        <w:pStyle w:val="Heading2"/>
      </w:pPr>
      <w:r>
        <w:t xml:space="preserve">Revisit player feedback</w:t>
      </w:r>
    </w:p>
    <w:bookmarkEnd w:id="36"/>
    <w:bookmarkStart w:id="37" w:name="Xf0fe130512899828161ec518a4f286486541478"/>
    <w:p>
      <w:pPr>
        <w:pStyle w:val="Heading2"/>
      </w:pPr>
      <w:r>
        <w:t xml:space="preserve">Discussion of limitations of overall approach, with reference to player feedback</w:t>
      </w:r>
    </w:p>
    <w:bookmarkEnd w:id="37"/>
    <w:bookmarkStart w:id="38" w:name="X3f20906c92819e45bf354eb538df34603a1721f"/>
    <w:p>
      <w:pPr>
        <w:pStyle w:val="Heading2"/>
      </w:pPr>
      <w:r>
        <w:t xml:space="preserve">(Potentially general discussion of issues with games approach?)</w:t>
      </w:r>
    </w:p>
    <w:bookmarkEnd w:id="38"/>
    <w:bookmarkStart w:id="42" w:name="discussion-of-potential"/>
    <w:p>
      <w:pPr>
        <w:pStyle w:val="Heading2"/>
      </w:pPr>
      <w:r>
        <w:t xml:space="preserve">Discussion of potential</w:t>
      </w:r>
    </w:p>
    <w:bookmarkStart w:id="39" w:name="X02b85aca5402857f548d73fbc28a4cbb84b051f"/>
    <w:p>
      <w:pPr>
        <w:pStyle w:val="Heading3"/>
      </w:pPr>
      <w:r>
        <w:t xml:space="preserve">Communication/education: highlight player feedback as very point of approach: game may be abstract, restrictive and not representative of reality, but this is case for any model, yet latter point often</w:t>
      </w:r>
      <w:r>
        <w:t xml:space="preserve"> </w:t>
      </w:r>
      <w:r>
        <w:t xml:space="preserve">“</w:t>
      </w:r>
      <w:r>
        <w:t xml:space="preserve">hidden.</w:t>
      </w:r>
      <w:r>
        <w:t xml:space="preserve">”</w:t>
      </w:r>
      <w:r>
        <w:t xml:space="preserve"> </w:t>
      </w:r>
      <w:r>
        <w:t xml:space="preserve">By taking game approach, shortcomings more obvious to non-specialists.</w:t>
      </w:r>
    </w:p>
    <w:bookmarkEnd w:id="39"/>
    <w:bookmarkStart w:id="40" w:name="Xdd946997f7007cf539ea75c2dc05801b1d23efe"/>
    <w:p>
      <w:pPr>
        <w:pStyle w:val="Heading3"/>
      </w:pPr>
      <w:r>
        <w:t xml:space="preserve">Yes, problematic when expecting direct application to real life, but again this is/should be clear for all models.</w:t>
      </w:r>
    </w:p>
    <w:bookmarkEnd w:id="40"/>
    <w:bookmarkStart w:id="41" w:name="X7e54ea71f1e27e050e97c54af9b9f891788b8b0"/>
    <w:p>
      <w:pPr>
        <w:pStyle w:val="Heading3"/>
      </w:pPr>
      <w:r>
        <w:t xml:space="preserve">Highlight expandability of approach, sandboxing ideas in flexible simulated environment</w:t>
      </w:r>
    </w:p>
    <w:bookmarkEnd w:id="41"/>
    <w:bookmarkEnd w:id="42"/>
    <w:bookmarkStart w:id="48" w:name="section-1"/>
    <w:p>
      <w:pPr>
        <w:pStyle w:val="Heading2"/>
      </w:pPr>
    </w:p>
    <w:bookmarkStart w:id="47" w:name="refs"/>
    <w:bookmarkStart w:id="44"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43">
        <w:r>
          <w:rPr>
            <w:rStyle w:val="Hyperlink"/>
          </w:rPr>
          <w:t xml:space="preserve">https://doi.org/10.1038/536143a</w:t>
        </w:r>
      </w:hyperlink>
      <w:r>
        <w:t xml:space="preserve">.</w:t>
      </w:r>
    </w:p>
    <w:bookmarkEnd w:id="44"/>
    <w:bookmarkStart w:id="46"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45">
        <w:r>
          <w:rPr>
            <w:rStyle w:val="Hyperlink"/>
          </w:rPr>
          <w:t xml:space="preserve">https://doi.org/10.1021/acs.est.6b05296</w:t>
        </w:r>
      </w:hyperlink>
      <w:r>
        <w:t xml:space="preserve">.</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21/acs.est.6b05296" TargetMode="External" /><Relationship Type="http://schemas.openxmlformats.org/officeDocument/2006/relationships/hyperlink" Id="rId43" Target="https://doi.org/10.1038/536143a"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21/acs.est.6b05296" TargetMode="External" /><Relationship Type="http://schemas.openxmlformats.org/officeDocument/2006/relationships/hyperlink" Id="rId43" Target="https://doi.org/10.1038/53614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‘Gamesourcing’ data for socio-ecological models</dc:title>
  <dc:creator>Jeroen Minderman</dc:creator>
  <cp:keywords/>
  <dcterms:created xsi:type="dcterms:W3CDTF">2021-08-10T15:45:58Z</dcterms:created>
  <dcterms:modified xsi:type="dcterms:W3CDTF">2021-08-10T15:45:58Z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05/08/2021</vt:lpwstr>
  </property>
  <property fmtid="{D5CDD505-2E9C-101B-9397-08002B2CF9AE}" pid="4" name="output">
    <vt:lpwstr/>
  </property>
</Properties>
</file>