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Models as games: a novel approach for ‘gamesourcing’ parameter data and communicating complex models</w:t>
      </w:r>
    </w:p>
    <w:p>
      <w:pPr>
        <w:pStyle w:val="FirstParagraph"/>
        <w:rPr/>
      </w:pPr>
      <w:r>
        <w:rPr>
          <w:i/>
          <w:iCs/>
        </w:rPr>
        <w:t>Jeroen Minderman</w:t>
      </w:r>
      <w:r>
        <w:rPr>
          <w:i/>
          <w:iCs/>
          <w:vertAlign w:val="superscript"/>
        </w:rPr>
        <w:t>1</w:t>
      </w:r>
      <w:r>
        <w:rPr>
          <w:i/>
          <w:iCs/>
        </w:rPr>
        <w:t>, A. Bradley Duthie</w:t>
      </w:r>
      <w:r>
        <w:rPr>
          <w:i/>
          <w:iCs/>
          <w:vertAlign w:val="superscript"/>
        </w:rPr>
        <w:t>1</w:t>
      </w:r>
      <w:r>
        <w:rPr>
          <w:i/>
          <w:iCs/>
        </w:rPr>
        <w:t>, Nils Bunnefeld</w:t>
      </w:r>
      <w:r>
        <w:rPr>
          <w:i/>
          <w:iCs/>
          <w:vertAlign w:val="superscript"/>
        </w:rPr>
        <w:t>1</w:t>
      </w:r>
    </w:p>
    <w:p>
      <w:pPr>
        <w:pStyle w:val="TextBody"/>
        <w:rPr/>
      </w:pPr>
      <w:r>
        <w:rPr>
          <w:vertAlign w:val="superscript"/>
        </w:rPr>
        <w:t>1</w:t>
      </w:r>
      <w:r>
        <w:rPr/>
        <w:t>ConFooBio, Biological &amp; Environmental Sciences, University of Stirling, Stirling, FK10 3BA</w:t>
      </w:r>
    </w:p>
    <w:p>
      <w:pPr>
        <w:pStyle w:val="Heading1"/>
        <w:rPr/>
      </w:pPr>
      <w:r>
        <w:rPr/>
        <w:t>Summary</w:t>
      </w:r>
      <w:bookmarkStart w:id="0" w:name="summary"/>
      <w:bookmarkEnd w:id="0"/>
    </w:p>
    <w:p>
      <w:pPr>
        <w:pStyle w:val="Heading1"/>
        <w:rPr/>
      </w:pPr>
      <w:r>
        <w:rPr/>
        <w:t>Introduction</w:t>
      </w:r>
    </w:p>
    <w:p>
      <w:pPr>
        <w:pStyle w:val="FirstParagraph"/>
        <w:rPr/>
      </w:pPr>
      <w:r>
        <w:rPr/>
        <w:t>In recent years, the use and application of models has become widespread and indispensable in conservation science, ranging from demonstrating the likely effects of climate change (IPCC 2021) to supporting the understanding of fundamental processes in natural resource management (e.g. Fryxell et al. 2010; Cusack et al. 2020). Given the continued rapid global loss of biodiversity (Ceballos et al. 2015; Ceballos, Ehrlich, and Dirzo 2017), understanding the mechanisms and consequences of such loss is vital. Although a number of drivers of biodiversity loss have been identified (e.g. Maxwell et al. 2016), one of the most prevalent and widespread ones is human exploitation of habitats and natural resources, both directly (e.g. through hunting or habitat loss to agriculture) or indirectly (e.g. through international trade in natural resources) (e.g. Wilting et al. 2017). Because resource use is fundamentally driven by economic and social processes, it has long been recognised that accurate predictions thereof is reliant as much on understanding resource dynamics as it is on understanding human behaviour and decision-making (Milner-Gulland 2012; Schlüter et al. 2012). Thus, the development of socio-ecological models in which natural resource dynamics and human decision making interact is becoming increasingly urgent.</w:t>
      </w:r>
    </w:p>
    <w:p>
      <w:pPr>
        <w:pStyle w:val="TextBody"/>
        <w:rPr/>
      </w:pPr>
      <w:r>
        <w:rPr/>
        <w:t>Cutting-edge modelling approaches have made significant progress towards this goal. For example, Orach, Duit, and Schlüter (2020) used an agent-based model to show how coalitions of interest groups can stabilise natural resource dynamics, whereas Cusack et al. (2020) used a novel agent-based modelling framework (Duthie et al. 2018) to assess the effect of lobbying on species extinction risk. Although such modelling efforts represent significant progress in modelling complex socio-ecological systems, their increased complexity poses to two, interlinked, challenges. First, models are often difficult to communicate clearly to non-specialist audiences in the first place, and this challenge increases with model complexity (Grimm et al. 2006). This is particularly important for models for resource use in socio-ecological systems, as they are often specifically intended for use by managers or stakeholders who may lack technical expertise. Much has been said about improving the uptake of models in such settings (e.g. Addison et al. 2013; Schuwirth et al. 2019; Will et al. 2021), and detailed documentation of the purpose, organisation and predictions has been highlighted as particularly important (Grimm et al. 2020). Even so, often the evidence for practical uptake of many models is limited (Addison et al. 2013; Zasada et al. 2017). Second, their complexity implies the need for extensive data to parameterise them effectively. In terms of socio-ecological systems, while data to parameterise the ecological component are often relatively easily available, the human decision-making components are often based on limited theory and lack a general empirical basis (Groeneveld et al. 2017). Not only may this lead to limited predictive power, a perceived lack of empirical basis may negatively affect their acceptance by stakeholders (cf. model “quality” as in Kolkman et al. 2016). To maximise the adoption of complex socio-ecological models as management tools, both appropriate representation of human decision-making and effective communication are therefore key.</w:t>
      </w:r>
    </w:p>
    <w:p>
      <w:pPr>
        <w:pStyle w:val="TextBody"/>
        <w:rPr/>
      </w:pPr>
      <w:r>
        <w:rPr/>
        <w:t>Games have a long history of being in research (Sandbrook, Adams, and Monteferri 2015; Chabris 2017; Redpath et al. 2018), including as tools to aid the communication of complex ideas and processes to non-specialists (Garcia, Dray, and Waeber 2016; Tan et al. 2018; Fjaellingsdal and Kloeckner 2019). Given this long history, it is striking that the parallels between games (particularly videogames) and models are not discussed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(user) interaction in mind, models rarely have user-facing or even user-friendly interfaces, and running or adapting them to specific circumstances usually relies on technical expertise. Casting models as games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w:pPr>
        <w:pStyle w:val="TextBody"/>
        <w:rPr/>
      </w:pPr>
      <w:r>
        <w:rPr/>
        <w:t>In addition, presenting a model as a game provides an opportunity to empirically collect data on how stakeholders make decisions in the modelled environment. Games have already been widely used for data collection to answer specific questions (e.g. Meinzen-Dick et al. 2016; Villamor and Badmos 2016; S. Rakotonarivo et al. 2021; O. S. Rakotonarivo et al. 2021) on what affects decision-making in socio-ecological systems. A less well-explored potential of using this approach is using in-game decisions directly as a “big data” source to improve the parameterisation of the underlying model itself. Many existing models represent human decision-making by relatively crude algorithms (e.g. fully rational utility maximisation) despite widespread recognition that this does not reflect real-world decision-making (Groeneveld et al. 2017).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w:t>
      </w:r>
      <w:r>
        <w:rPr>
          <w:rStyle w:val="FootnoteAnchor"/>
        </w:rPr>
        <w:footnoteReference w:id="2"/>
      </w:r>
      <w:r>
        <w:rPr/>
        <w:t>. It is notable that this “gamesourcing” or “Gamorithm” (Sipper and Moore 2020) approach has already been widely used in a number of other fields (e.g. crowdsourcing accurate protein-structure models (Khatib et al. 2011), and classification of fluorescence microscopy images (Sullivan et al. 2018)), but remains rare in conservation science (but see van den Bergh et al. 2021). Thus, model-games can be considered “virtual laboratories” (Duthie et al. 2021) to not only test specific hypotheses or predictions, but potentially also as an effective method to source data to parameterise the underlying models, based on in-game decisions by real humans.</w:t>
      </w:r>
    </w:p>
    <w:p>
      <w:pPr>
        <w:pStyle w:val="TextBody"/>
        <w:rPr/>
      </w:pPr>
      <w:r>
        <w:rPr/>
        <w:t xml:space="preserve">We here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id="1" w:name="introduction"/>
      <w:bookmarkEnd w:id="1"/>
    </w:p>
    <w:p>
      <w:pPr>
        <w:pStyle w:val="Heading1"/>
        <w:rPr/>
      </w:pPr>
      <w:r>
        <w:rPr/>
        <w:t>Outline of approach</w:t>
      </w:r>
    </w:p>
    <w:p>
      <w:pPr>
        <w:pStyle w:val="FirstParagraph"/>
        <w:rPr/>
      </w:pPr>
      <w:r>
        <w:rPr/>
        <w:t>A&amp;F is available to play online. Overall, A&amp;F consists of two main components; (1) the underlying model(s) describing the wild grazing animal (“resource”) population dynamics, the observation of this population, and farmer (“user” 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 “vanilla” GMSE set up.</w:t>
      </w:r>
    </w:p>
    <w:p>
      <w:pPr>
        <w:pStyle w:val="Heading2"/>
        <w:rPr/>
      </w:pPr>
      <w:r>
        <w:rPr/>
        <w:t>Underlying model: GMSE</w:t>
      </w:r>
    </w:p>
    <w:p>
      <w:pPr>
        <w:pStyle w:val="Heading3"/>
        <w:rPr/>
      </w:pPr>
      <w:r>
        <w:rPr/>
        <w:t>Basic introduction of GMSE principles and structures</w:t>
      </w:r>
      <w:bookmarkStart w:id="2" w:name="X661808d150ab65b64bbf7eca0b36a8bee1a312a"/>
      <w:bookmarkEnd w:id="2"/>
    </w:p>
    <w:p>
      <w:pPr>
        <w:pStyle w:val="Heading3"/>
        <w:rPr/>
      </w:pPr>
      <w:r>
        <w:rPr/>
        <w:t>Brief discussion of limitations of GMSE</w:t>
      </w:r>
      <w:bookmarkStart w:id="3" w:name="underlying-model-gmse"/>
      <w:bookmarkStart w:id="4" w:name="brief-discussion-of-limitations-of-gmse"/>
      <w:bookmarkEnd w:id="3"/>
      <w:bookmarkEnd w:id="4"/>
    </w:p>
    <w:p>
      <w:pPr>
        <w:pStyle w:val="Heading2"/>
        <w:rPr/>
      </w:pPr>
      <w:r>
        <w:rPr/>
        <w:t>Animal&amp;Farm</w:t>
      </w:r>
    </w:p>
    <w:p>
      <w:pPr>
        <w:pStyle w:val="Heading3"/>
        <w:rPr/>
      </w:pPr>
      <w:r>
        <w:rPr/>
        <w:t>Structure as relating to GMSE</w:t>
      </w:r>
    </w:p>
    <w:p>
      <w:pPr>
        <w:pStyle w:val="FirstParagraph"/>
        <w:rPr/>
      </w:pPr>
      <w:r>
        <w:rPr/>
        <w:t>A&amp;F uses a development version of GMSE (implemented in R R version 4.1.0 (2021-05-18), code available here) in which the management model is replaced by user (player) inputs, and the order of operations is altered to accommodate this. In the default implementation of GMSE [</w:t>
      </w:r>
      <w:r>
        <w:rPr>
          <w:b/>
          <w:bCs/>
        </w:rPr>
        <w:t>version</w:t>
      </w:r>
      <w:r>
        <w:rPr/>
        <w:t xml:space="preserve">], a single time </w:t>
      </w:r>
      <w:r>
        <w:rPr/>
      </w:r>
      <m:oMath xmlns:m="http://schemas.openxmlformats.org/officeDocument/2006/math">
        <m:r>
          <w:rPr>
            <w:rFonts w:ascii="Cambria Math" w:hAnsi="Cambria Math"/>
          </w:rPr>
          <m:t xml:space="preserve">t</m:t>
        </m:r>
      </m:oMath>
      <w:r>
        <w:rPr/>
        <w:t xml:space="preserve"> step consists of a series of calls to the resource model, observation model, management model and user model, in that specific order; in other words, a time step ends after user actions have been chosen (by the GA) and implemented [</w:t>
      </w:r>
      <w:r>
        <w:rPr>
          <w:b/>
          <w:bCs/>
        </w:rPr>
        <w:t>FIG Xa</w:t>
      </w:r>
      <w:r>
        <w:rPr/>
        <w:t>]. To allow players to assess the environment and interactively choose management actions, A&amp;F uses a modified version of GMSE.</w:t>
      </w:r>
    </w:p>
    <w:p>
      <w:pPr>
        <w:pStyle w:val="TextBody"/>
        <w:rPr/>
      </w:pPr>
      <w:r>
        <w:rPr/>
        <w:t>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w:t>
      </w:r>
      <w:r>
        <w:rPr>
          <w:b/>
          <w:bCs/>
        </w:rPr>
        <w:t>see below</w:t>
      </w:r>
      <w:r>
        <w:rPr/>
        <w:t xml:space="preserve">). These time steps are followed by a “partial” time step where only the resource and observation models are run, bypassing the management and user models. As a result, at the end of these initial time steps, the simulated system has five population and observation time steps and is ready for the next choice of management action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pending the first player input. This is done both to set up all the required GMSE data structures using existing code, as well as to provide the player with a short time series on which to base management decisions going forward.</w:t>
      </w:r>
    </w:p>
    <w:p>
      <w:pPr>
        <w:pStyle w:val="TextBody"/>
        <w:rPr/>
      </w:pPr>
      <w:r>
        <w:rPr/>
        <w:t>Each following A&amp;F time step then consists of (1) user input, taking the place of the default management model, in which the player can assess the environment using outputs provided (see below) and set management actions (costs for user actions) of their choice, and, (2) and once the player confirms their choice, a modified GMSE time step including sequential calls to the default user, resource and observation models [</w:t>
      </w:r>
      <w:r>
        <w:rPr>
          <w:b/>
          <w:bCs/>
        </w:rPr>
        <w:t>FIG Xb</w:t>
      </w:r>
      <w:r>
        <w:rPr/>
        <w: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id="5" w:name="structure-as-relating-to-gmse"/>
      <w:bookmarkEnd w:id="5"/>
    </w:p>
    <w:p>
      <w:pPr>
        <w:pStyle w:val="Heading3"/>
        <w:rPr/>
      </w:pPr>
      <w:r>
        <w:rPr/>
        <w:t>User interface</w:t>
      </w:r>
    </w:p>
    <w:p>
      <w:pPr>
        <w:pStyle w:val="Heading4"/>
        <w:rPr/>
      </w:pPr>
      <w:r>
        <w:rPr/>
        <w:t>Scoreboard</w:t>
      </w:r>
      <w:bookmarkStart w:id="6" w:name="user-interface"/>
      <w:bookmarkStart w:id="7" w:name="scoreboard"/>
      <w:bookmarkEnd w:id="6"/>
      <w:bookmarkEnd w:id="7"/>
    </w:p>
    <w:p>
      <w:pPr>
        <w:pStyle w:val="Heading3"/>
        <w:rPr/>
      </w:pPr>
      <w:r>
        <w:rPr/>
        <w:t>Database “back end”</w:t>
      </w:r>
      <w:bookmarkStart w:id="8" w:name="database-back-end"/>
      <w:bookmarkEnd w:id="8"/>
    </w:p>
    <w:p>
      <w:pPr>
        <w:pStyle w:val="Heading3"/>
        <w:rPr/>
      </w:pPr>
      <w:r>
        <w:rPr/>
        <w:t>“</w:t>
      </w:r>
      <w:r>
        <w:rPr/>
        <w:t xml:space="preserve">Sandbox” for </w:t>
      </w:r>
      <w:r>
        <w:rPr>
          <w:i/>
          <w:iCs/>
        </w:rPr>
        <w:t>in silico</w:t>
      </w:r>
      <w:r>
        <w:rPr/>
        <w:t xml:space="preserve"> experiments</w:t>
      </w:r>
    </w:p>
    <w:p>
      <w:pPr>
        <w:pStyle w:val="FirstParagraph"/>
        <w:rPr/>
      </w:pPr>
      <w:r>
        <w:rPr/>
        <w:t>Expandability of parameter variation</w:t>
      </w:r>
    </w:p>
    <w:p>
      <w:pPr>
        <w:pStyle w:val="TextBody"/>
        <w:rPr/>
      </w:pPr>
      <w:r>
        <w:rPr/>
        <w:t>Setting up “scenarios” to test specific hypotheses/predictions</w:t>
      </w:r>
      <w:bookmarkStart w:id="9" w:name="outline-of-approach"/>
      <w:bookmarkStart w:id="10" w:name="animalfarm"/>
      <w:bookmarkStart w:id="11" w:name="sandbox-for-in-silico-experiments"/>
      <w:bookmarkEnd w:id="9"/>
      <w:bookmarkEnd w:id="10"/>
      <w:bookmarkEnd w:id="11"/>
    </w:p>
    <w:p>
      <w:pPr>
        <w:pStyle w:val="Heading1"/>
        <w:rPr/>
      </w:pPr>
      <w:r>
        <w:rPr/>
        <w:t>Example application</w:t>
      </w:r>
    </w:p>
    <w:p>
      <w:pPr>
        <w:pStyle w:val="Heading2"/>
        <w:rPr/>
      </w:pPr>
      <w:r>
        <w:rPr/>
        <w:t>Methods/rationale for scenario set up</w:t>
      </w:r>
      <w:bookmarkStart w:id="12" w:name="methodsrationale-for-scenario-set-up"/>
      <w:bookmarkEnd w:id="12"/>
    </w:p>
    <w:p>
      <w:pPr>
        <w:pStyle w:val="Heading2"/>
        <w:rPr/>
      </w:pPr>
      <w:r>
        <w:rPr/>
        <w:t>Illustrative results</w:t>
      </w:r>
      <w:bookmarkStart w:id="13" w:name="illustrative-results"/>
      <w:bookmarkEnd w:id="13"/>
    </w:p>
    <w:p>
      <w:pPr>
        <w:pStyle w:val="Heading2"/>
        <w:rPr/>
      </w:pPr>
      <w:r>
        <w:rPr/>
        <w:t>Summary of player feedback</w:t>
      </w:r>
    </w:p>
    <w:p>
      <w:pPr>
        <w:pStyle w:val="Heading3"/>
        <w:rPr/>
      </w:pPr>
      <w:r>
        <w:rPr/>
      </w:r>
      <w:bookmarkStart w:id="14" w:name="example-application"/>
      <w:bookmarkStart w:id="15" w:name="summary-of-player-feedback"/>
      <w:bookmarkStart w:id="16" w:name="section"/>
      <w:bookmarkStart w:id="17" w:name="example-application"/>
      <w:bookmarkStart w:id="18" w:name="summary-of-player-feedback"/>
      <w:bookmarkStart w:id="19" w:name="section"/>
      <w:bookmarkEnd w:id="17"/>
      <w:bookmarkEnd w:id="18"/>
      <w:bookmarkEnd w:id="19"/>
    </w:p>
    <w:p>
      <w:pPr>
        <w:pStyle w:val="Heading1"/>
        <w:rPr/>
      </w:pPr>
      <w:r>
        <w:rPr/>
        <w:t>Discussion</w:t>
      </w:r>
    </w:p>
    <w:p>
      <w:pPr>
        <w:pStyle w:val="Heading2"/>
        <w:rPr/>
      </w:pPr>
      <w:r>
        <w:rPr/>
        <w:t>Brief summary of aims, process and outcome of example scenarios</w:t>
      </w:r>
      <w:bookmarkStart w:id="20" w:name="Xa9535846b2adfd25e25fac9f5c27e9bf4361617"/>
      <w:bookmarkEnd w:id="20"/>
    </w:p>
    <w:p>
      <w:pPr>
        <w:pStyle w:val="Heading2"/>
        <w:rPr/>
      </w:pPr>
      <w:r>
        <w:rPr/>
        <w:t>Revisit player feedback</w:t>
      </w:r>
      <w:bookmarkStart w:id="21" w:name="revisit-player-feedback"/>
      <w:bookmarkEnd w:id="21"/>
    </w:p>
    <w:p>
      <w:pPr>
        <w:pStyle w:val="Heading2"/>
        <w:rPr/>
      </w:pPr>
      <w:r>
        <w:rPr/>
        <w:t>Discussion of limitations of overall approach, with reference to player feedback</w:t>
      </w:r>
      <w:bookmarkStart w:id="22" w:name="Xf0fe130512899828161ec518a4f286486541478"/>
      <w:bookmarkEnd w:id="22"/>
    </w:p>
    <w:p>
      <w:pPr>
        <w:pStyle w:val="Heading2"/>
        <w:rPr/>
      </w:pPr>
      <w:r>
        <w:rPr/>
        <w:t>(Potentially general discussion of issues with games approach?)</w:t>
      </w:r>
      <w:bookmarkStart w:id="23" w:name="X3f20906c92819e45bf354eb538df34603a1721f"/>
      <w:bookmarkEnd w:id="23"/>
    </w:p>
    <w:p>
      <w:pPr>
        <w:pStyle w:val="Heading2"/>
        <w:rPr/>
      </w:pPr>
      <w:r>
        <w:rPr/>
        <w:t>Discussion of potential</w:t>
      </w:r>
    </w:p>
    <w:p>
      <w:pPr>
        <w:pStyle w:val="Heading3"/>
        <w:rPr/>
      </w:pPr>
      <w:r>
        <w:rPr/>
        <w:t>Communication/education: highlight player feedback as very point of approach: game may be abstract, restrictive and not representative of reality, but this is case for any model, yet latter point often “hidden.” By taking game approach, shortcomings more obvious to non-specialists.</w:t>
      </w:r>
      <w:bookmarkStart w:id="24" w:name="X02b85aca5402857f548d73fbc28a4cbb84b051f"/>
      <w:bookmarkEnd w:id="24"/>
    </w:p>
    <w:p>
      <w:pPr>
        <w:pStyle w:val="Heading3"/>
        <w:rPr/>
      </w:pPr>
      <w:r>
        <w:rPr/>
        <w:t>Yes, problematic when expecting direct application to real life, but again this is/should be clear for all models.</w:t>
      </w:r>
      <w:bookmarkStart w:id="25" w:name="Xdd946997f7007cf539ea75c2dc05801b1d23efe"/>
      <w:bookmarkEnd w:id="25"/>
    </w:p>
    <w:p>
      <w:pPr>
        <w:pStyle w:val="Heading3"/>
        <w:rPr/>
      </w:pPr>
      <w:r>
        <w:rPr/>
        <w:t>Highlight expandability of approach, sandboxing ideas in flexible simulated environment</w:t>
      </w:r>
      <w:bookmarkStart w:id="26" w:name="discussion-of-potential"/>
      <w:bookmarkStart w:id="27" w:name="X7e54ea71f1e27e050e97c54af9b9f891788b8b0"/>
      <w:bookmarkEnd w:id="26"/>
      <w:bookmarkEnd w:id="27"/>
    </w:p>
    <w:p>
      <w:pPr>
        <w:pStyle w:val="Heading2"/>
        <w:rPr/>
      </w:pPr>
      <w:r>
        <w:rPr/>
      </w:r>
    </w:p>
    <w:p>
      <w:pPr>
        <w:pStyle w:val="Bibliography"/>
        <w:rPr/>
      </w:pPr>
      <w:r>
        <w:rPr/>
        <w:t xml:space="preserve">Addison, Prue F. E., Libby Rumpff, S. Sana Bau, Janet M. Carey, Yung En Chee, Frith C. Jarrad, Marissa F. McBride, and Mark A. Burgman. 2013. “Practical Solutions for Making Models Indispensable in Conservation Decision-Making.” </w:t>
      </w:r>
      <w:r>
        <w:rPr>
          <w:i/>
          <w:iCs/>
        </w:rPr>
        <w:t>Diversity and Distributions</w:t>
      </w:r>
      <w:r>
        <w:rPr/>
        <w:t xml:space="preserve"> 19 (5-6): 490–502. </w:t>
      </w:r>
      <w:hyperlink r:id="rId2">
        <w:r>
          <w:rPr>
            <w:rStyle w:val="InternetLink"/>
          </w:rPr>
          <w:t>https://doi.org/10.1111/ddi.12054</w:t>
        </w:r>
      </w:hyperlink>
      <w:r>
        <w:rPr/>
        <w:t>.</w:t>
      </w:r>
      <w:bookmarkStart w:id="28" w:name="ref-addison2013"/>
      <w:bookmarkEnd w:id="28"/>
    </w:p>
    <w:p>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3">
        <w:r>
          <w:rPr>
            <w:rStyle w:val="InternetLink"/>
          </w:rPr>
          <w:t>https://doi.org/10.1126/sciadv.1400253</w:t>
        </w:r>
      </w:hyperlink>
      <w:r>
        <w:rPr/>
        <w:t>.</w:t>
      </w:r>
      <w:bookmarkStart w:id="29" w:name="ref-ceballos2015"/>
      <w:bookmarkEnd w:id="29"/>
    </w:p>
    <w:p>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4">
        <w:r>
          <w:rPr>
            <w:rStyle w:val="InternetLink"/>
          </w:rPr>
          <w:t>https://doi.org/10.1073/pnas.1704949114</w:t>
        </w:r>
      </w:hyperlink>
      <w:r>
        <w:rPr/>
        <w:t>.</w:t>
      </w:r>
      <w:bookmarkStart w:id="30" w:name="ref-ceballos2017"/>
      <w:bookmarkEnd w:id="30"/>
    </w:p>
    <w:p>
      <w:pPr>
        <w:pStyle w:val="Bibliography"/>
        <w:rPr/>
      </w:pPr>
      <w:r>
        <w:rPr/>
        <w:t xml:space="preserve">Chabris, Christopher F. 2017. “Six Suggestions for Research on Games in Cognitive Science.” </w:t>
      </w:r>
      <w:r>
        <w:rPr>
          <w:i/>
          <w:iCs/>
        </w:rPr>
        <w:t>Topics in Cognitive Science</w:t>
      </w:r>
      <w:r>
        <w:rPr/>
        <w:t xml:space="preserve"> 9 (2): 497–509. </w:t>
      </w:r>
      <w:hyperlink r:id="rId5">
        <w:r>
          <w:rPr>
            <w:rStyle w:val="InternetLink"/>
          </w:rPr>
          <w:t>https://doi.org/10.1111/tops.12267</w:t>
        </w:r>
      </w:hyperlink>
      <w:r>
        <w:rPr/>
        <w:t>.</w:t>
      </w:r>
      <w:bookmarkStart w:id="31" w:name="ref-chabris2017"/>
      <w:bookmarkEnd w:id="31"/>
    </w:p>
    <w:p>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6">
        <w:r>
          <w:rPr>
            <w:rStyle w:val="InternetLink"/>
          </w:rPr>
          <w:t>https://doi.org/10.5751/ES-11552-250213</w:t>
        </w:r>
      </w:hyperlink>
      <w:r>
        <w:rPr/>
        <w:t>.</w:t>
      </w:r>
      <w:bookmarkStart w:id="32" w:name="ref-cusack2020"/>
      <w:bookmarkEnd w:id="32"/>
    </w:p>
    <w:p>
      <w:pPr>
        <w:pStyle w:val="Bibliography"/>
        <w:rPr/>
      </w:pPr>
      <w:r>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rPr>
        <w:t>Methods in Ecology and Evolution</w:t>
      </w:r>
      <w:r>
        <w:rPr/>
        <w:t xml:space="preserve">, October. </w:t>
      </w:r>
      <w:hyperlink r:id="rId7">
        <w:r>
          <w:rPr>
            <w:rStyle w:val="InternetLink"/>
          </w:rPr>
          <w:t>https://doi.org/10.1111/2041-210X.13091</w:t>
        </w:r>
      </w:hyperlink>
      <w:r>
        <w:rPr/>
        <w:t>.</w:t>
      </w:r>
      <w:bookmarkStart w:id="33" w:name="ref-duthie2018"/>
      <w:bookmarkEnd w:id="33"/>
    </w:p>
    <w:p>
      <w:pPr>
        <w:pStyle w:val="Bibliography"/>
        <w:rPr/>
      </w:pPr>
      <w:r>
        <w:rPr/>
        <w:t xml:space="preserve">Duthie, A. Bradley, Jeroen Minderman, O. Sarobidy Rakotonarivo, Gabriela Ochoa, and Nils Bunnefeld. 2021. “Online Multiplayer Games as Virtual Laboratories for Collecting Data on Social-Ecological Decision Making.” </w:t>
      </w:r>
      <w:r>
        <w:rPr>
          <w:i/>
          <w:iCs/>
        </w:rPr>
        <w:t>Conservation Biology</w:t>
      </w:r>
      <w:r>
        <w:rPr/>
        <w:t xml:space="preserve"> 35 (3): 1051–53. </w:t>
      </w:r>
      <w:hyperlink r:id="rId8">
        <w:r>
          <w:rPr>
            <w:rStyle w:val="InternetLink"/>
          </w:rPr>
          <w:t>https://doi.org/10.1111/cobi.13633</w:t>
        </w:r>
      </w:hyperlink>
      <w:r>
        <w:rPr/>
        <w:t>.</w:t>
      </w:r>
      <w:bookmarkStart w:id="34" w:name="ref-duthie2021"/>
      <w:bookmarkEnd w:id="34"/>
    </w:p>
    <w:p>
      <w:pPr>
        <w:pStyle w:val="Bibliography"/>
        <w:rPr/>
      </w:pPr>
      <w:r>
        <w:rPr/>
        <w:t xml:space="preserve">Fjaellingsdal, Kristoffer S., and Christian A. Kloeckner. 2019. “Gaming Green: The Educational Potential of Eco - a Digital Simulated Ecosystem.” </w:t>
      </w:r>
      <w:r>
        <w:rPr>
          <w:i/>
          <w:iCs/>
        </w:rPr>
        <w:t>Frontiers in Psychology</w:t>
      </w:r>
      <w:r>
        <w:rPr/>
        <w:t xml:space="preserve"> 10 (December): 2846. </w:t>
      </w:r>
      <w:hyperlink r:id="rId9">
        <w:r>
          <w:rPr>
            <w:rStyle w:val="InternetLink"/>
          </w:rPr>
          <w:t>https://doi.org/10.3389/fpsyg.2019.02846</w:t>
        </w:r>
      </w:hyperlink>
      <w:r>
        <w:rPr/>
        <w:t>.</w:t>
      </w:r>
      <w:bookmarkStart w:id="35" w:name="ref-fjaellingsdal2019"/>
      <w:bookmarkEnd w:id="35"/>
    </w:p>
    <w:p>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10">
        <w:r>
          <w:rPr>
            <w:rStyle w:val="InternetLink"/>
          </w:rPr>
          <w:t>https://doi.org/10.1126/science.1185802</w:t>
        </w:r>
      </w:hyperlink>
      <w:r>
        <w:rPr/>
        <w:t>.</w:t>
      </w:r>
      <w:bookmarkStart w:id="36" w:name="ref-fryxell2010"/>
      <w:bookmarkEnd w:id="36"/>
    </w:p>
    <w:p>
      <w:pPr>
        <w:pStyle w:val="Bibliography"/>
        <w:rPr/>
      </w:pPr>
      <w:r>
        <w:rPr/>
        <w:t xml:space="preserve">Garcia, Claude, Anne Dray, and Patrick Waeber. 2016. “Learning Begins When the Game Is over: Using Games to Embrace Complexity in Natural Resources Management.” </w:t>
      </w:r>
      <w:r>
        <w:rPr>
          <w:i/>
          <w:iCs/>
        </w:rPr>
        <w:t>GAIA - Ecological Perspectives for Science and Society</w:t>
      </w:r>
      <w:r>
        <w:rPr/>
        <w:t xml:space="preserve"> 25 (4): 289–91. </w:t>
      </w:r>
      <w:hyperlink r:id="rId11">
        <w:r>
          <w:rPr>
            <w:rStyle w:val="InternetLink"/>
          </w:rPr>
          <w:t>https://doi.org/10.14512/gaia.25.4.13</w:t>
        </w:r>
      </w:hyperlink>
      <w:r>
        <w:rPr/>
        <w:t>.</w:t>
      </w:r>
      <w:bookmarkStart w:id="37" w:name="ref-garcia2016"/>
      <w:bookmarkEnd w:id="37"/>
    </w:p>
    <w:p>
      <w:pPr>
        <w:pStyle w:val="Bibliography"/>
        <w:rPr/>
      </w:pPr>
      <w:r>
        <w:rPr/>
        <w:t xml:space="preserve">Grimm, Volker, Uta Berger, Finn Bastiansen, Sigrunn Eliassen, Vincent Ginot, Jarl Giske, John Goss-Custard, et al. 2006. “A Standard Protocol for Describing Individual-Based and Agent-Based Models.” </w:t>
      </w:r>
      <w:r>
        <w:rPr>
          <w:i/>
          <w:iCs/>
        </w:rPr>
        <w:t>Ecological Modelling</w:t>
      </w:r>
      <w:r>
        <w:rPr/>
        <w:t xml:space="preserve"> 198 (1): 115–26. </w:t>
      </w:r>
      <w:hyperlink r:id="rId12">
        <w:r>
          <w:rPr>
            <w:rStyle w:val="InternetLink"/>
          </w:rPr>
          <w:t>https://doi.org/10.1016/j.ecolmodel.2006.04.023</w:t>
        </w:r>
      </w:hyperlink>
      <w:r>
        <w:rPr/>
        <w:t>.</w:t>
      </w:r>
      <w:bookmarkStart w:id="38" w:name="ref-grimm2006"/>
      <w:bookmarkEnd w:id="38"/>
    </w:p>
    <w:p>
      <w:pPr>
        <w:pStyle w:val="Bibliography"/>
        <w:rPr/>
      </w:pPr>
      <w:r>
        <w:rPr/>
        <w:t xml:space="preserve">Grimm, Volker, Alice S. A. Johnston, H.-H. Thulke, V. E. Forbes, and P. Thorbek. 2020. “Three Questions to Ask Before Using Model Outputs for Decision Support.” </w:t>
      </w:r>
      <w:r>
        <w:rPr>
          <w:i/>
          <w:iCs/>
        </w:rPr>
        <w:t>Nature Communications</w:t>
      </w:r>
      <w:r>
        <w:rPr/>
        <w:t xml:space="preserve"> 11 (1): 4959. </w:t>
      </w:r>
      <w:hyperlink r:id="rId13">
        <w:r>
          <w:rPr>
            <w:rStyle w:val="InternetLink"/>
          </w:rPr>
          <w:t>https://doi.org/10.1038/s41467-020-17785-2</w:t>
        </w:r>
      </w:hyperlink>
      <w:r>
        <w:rPr/>
        <w:t>.</w:t>
      </w:r>
      <w:bookmarkStart w:id="39" w:name="ref-grimm2020"/>
      <w:bookmarkEnd w:id="39"/>
    </w:p>
    <w:p>
      <w:pPr>
        <w:pStyle w:val="Bibliography"/>
        <w:rPr/>
      </w:pPr>
      <w:r>
        <w:rPr/>
        <w:t xml:space="preserve">Groeneveld, J., B. Müller, C. M. Buchmann, G. Dressler, C. Guo, N. Hase, F. Hoffmann, et al. 2017. “Theoretical Foundations of Human Decision-Making in Agent-Based Land Use Models  A Review.” </w:t>
      </w:r>
      <w:r>
        <w:rPr>
          <w:i/>
          <w:iCs/>
        </w:rPr>
        <w:t>Environmental Modelling &amp; Software</w:t>
      </w:r>
      <w:r>
        <w:rPr/>
        <w:t xml:space="preserve"> 87 (January): 39–48. </w:t>
      </w:r>
      <w:hyperlink r:id="rId14">
        <w:r>
          <w:rPr>
            <w:rStyle w:val="InternetLink"/>
          </w:rPr>
          <w:t>https://doi.org/10.1016/j.envsoft.2016.10.008</w:t>
        </w:r>
      </w:hyperlink>
      <w:r>
        <w:rPr/>
        <w:t>.</w:t>
      </w:r>
      <w:bookmarkStart w:id="40" w:name="ref-groeneveld2017"/>
      <w:bookmarkEnd w:id="40"/>
    </w:p>
    <w:p>
      <w:pPr>
        <w:pStyle w:val="Bibliography"/>
        <w:rPr/>
      </w:pPr>
      <w:r>
        <w:rPr/>
        <w:t xml:space="preserve">IPCC. 2021. “Climate Change 2021: The Physical Science Basis. Contribution of Working Group i to the Sixth Assessment Report of the Intergovernmental Panel on Climate Change.” </w:t>
      </w:r>
      <w:hyperlink r:id="rId15">
        <w:r>
          <w:rPr>
            <w:rStyle w:val="InternetLink"/>
          </w:rPr>
          <w:t>https://www.ipcc.ch/report/ar6/wg1/</w:t>
        </w:r>
      </w:hyperlink>
      <w:r>
        <w:rPr/>
        <w:t>.</w:t>
      </w:r>
      <w:bookmarkStart w:id="41" w:name="ref-ipcc2021"/>
      <w:bookmarkEnd w:id="41"/>
    </w:p>
    <w:p>
      <w:pPr>
        <w:pStyle w:val="Bibliography"/>
        <w:rPr/>
      </w:pPr>
      <w:r>
        <w:rPr/>
        <w:t xml:space="preserve">Khatib, Firas, Seth Cooper, Michael D. Tyka, Kefan Xu, Ilya Makedon, Zoran Popović, David Baker, and Foldit Players. 2011. “Algorithm Discovery by Protein Folding Game Players.” </w:t>
      </w:r>
      <w:r>
        <w:rPr>
          <w:i/>
          <w:iCs/>
        </w:rPr>
        <w:t>Proceedings of the National Academy of Sciences</w:t>
      </w:r>
      <w:r>
        <w:rPr/>
        <w:t xml:space="preserve"> 108 (47): 18949–53. </w:t>
      </w:r>
      <w:hyperlink r:id="rId16">
        <w:r>
          <w:rPr>
            <w:rStyle w:val="InternetLink"/>
          </w:rPr>
          <w:t>https://doi.org/10.1073/pnas.1115898108</w:t>
        </w:r>
      </w:hyperlink>
      <w:r>
        <w:rPr/>
        <w:t>.</w:t>
      </w:r>
      <w:bookmarkStart w:id="42" w:name="ref-khatib2011"/>
      <w:bookmarkEnd w:id="42"/>
    </w:p>
    <w:p>
      <w:pPr>
        <w:pStyle w:val="Bibliography"/>
        <w:rPr/>
      </w:pPr>
      <w:r>
        <w:rPr/>
        <w:t xml:space="preserve">Kolkman, Daniel Antony, Paolo Campo, Tina Balke-Visser, and Nigel Gilbert. 2016. “How to Build Models for Government: Criteria Driving Model Acceptance in Policymaking.” </w:t>
      </w:r>
      <w:r>
        <w:rPr>
          <w:i/>
          <w:iCs/>
        </w:rPr>
        <w:t>Policy Sciences</w:t>
      </w:r>
      <w:r>
        <w:rPr/>
        <w:t xml:space="preserve"> 49 (4): 489–504. </w:t>
      </w:r>
      <w:hyperlink r:id="rId17">
        <w:r>
          <w:rPr>
            <w:rStyle w:val="InternetLink"/>
          </w:rPr>
          <w:t>https://doi.org/10.1007/s11077-016-9250-4</w:t>
        </w:r>
      </w:hyperlink>
      <w:r>
        <w:rPr/>
        <w:t>.</w:t>
      </w:r>
      <w:bookmarkStart w:id="43" w:name="ref-kolkman2016"/>
      <w:bookmarkEnd w:id="43"/>
    </w:p>
    <w:p>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18">
        <w:r>
          <w:rPr>
            <w:rStyle w:val="InternetLink"/>
          </w:rPr>
          <w:t>https://doi.org/10.1038/536143a</w:t>
        </w:r>
      </w:hyperlink>
      <w:r>
        <w:rPr/>
        <w:t>.</w:t>
      </w:r>
      <w:bookmarkStart w:id="44" w:name="ref-maxwell2016a"/>
      <w:bookmarkEnd w:id="44"/>
    </w:p>
    <w:p>
      <w:pPr>
        <w:pStyle w:val="Bibliography"/>
        <w:rPr/>
      </w:pPr>
      <w:r>
        <w:rPr/>
        <w:t xml:space="preserve">Meinzen-Dick, Ruth, Rahul Chaturvedi, Laia Domènech, Rucha Ghate, Marco Janssen, Nathan Rollins, and K. Sandeep. 2016. “Games for Groundwater Governance: Field Experiments in Andhra Pradesh, India.” </w:t>
      </w:r>
      <w:r>
        <w:rPr>
          <w:i/>
          <w:iCs/>
        </w:rPr>
        <w:t>Ecology and Society</w:t>
      </w:r>
      <w:r>
        <w:rPr/>
        <w:t xml:space="preserve"> 21 (3). </w:t>
      </w:r>
      <w:hyperlink r:id="rId19">
        <w:r>
          <w:rPr>
            <w:rStyle w:val="InternetLink"/>
          </w:rPr>
          <w:t>https://doi.org/10.5751/ES-08416-210338</w:t>
        </w:r>
      </w:hyperlink>
      <w:r>
        <w:rPr/>
        <w:t>.</w:t>
      </w:r>
      <w:bookmarkStart w:id="45" w:name="ref-meinzen-dick2016"/>
      <w:bookmarkEnd w:id="45"/>
    </w:p>
    <w:p>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20">
        <w:r>
          <w:rPr>
            <w:rStyle w:val="InternetLink"/>
          </w:rPr>
          <w:t>https://doi.org/10.1098/rstb.2011.0175</w:t>
        </w:r>
      </w:hyperlink>
      <w:r>
        <w:rPr/>
        <w:t>.</w:t>
      </w:r>
      <w:bookmarkStart w:id="46" w:name="ref-milner-gulland2012"/>
      <w:bookmarkEnd w:id="46"/>
    </w:p>
    <w:p>
      <w:pPr>
        <w:pStyle w:val="Bibliography"/>
        <w:rPr/>
      </w:pPr>
      <w:r>
        <w:rPr/>
        <w:t xml:space="preserve">Orach, Kirill, Andreas Duit, and Maja Schlüter. 2020. “Sustainable Natural Resource Governance Under Interest Group Competition in Policy-Making.” </w:t>
      </w:r>
      <w:r>
        <w:rPr>
          <w:i/>
          <w:iCs/>
        </w:rPr>
        <w:t>Nature Human Behaviour</w:t>
      </w:r>
      <w:r>
        <w:rPr/>
        <w:t xml:space="preserve"> 4 (9): 898–909. </w:t>
      </w:r>
      <w:hyperlink r:id="rId21">
        <w:r>
          <w:rPr>
            <w:rStyle w:val="InternetLink"/>
          </w:rPr>
          <w:t>https://doi.org/10.1038/s41562-020-0885-y</w:t>
        </w:r>
      </w:hyperlink>
      <w:r>
        <w:rPr/>
        <w:t>.</w:t>
      </w:r>
      <w:bookmarkStart w:id="47" w:name="ref-orach2020"/>
      <w:bookmarkEnd w:id="47"/>
    </w:p>
    <w:p>
      <w:pPr>
        <w:pStyle w:val="Bibliography"/>
        <w:rPr/>
      </w:pPr>
      <w:r>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rPr>
        <w:t>People and Nature</w:t>
      </w:r>
      <w:r>
        <w:rPr/>
        <w:t xml:space="preserve"> 3 (1): 162–75. </w:t>
      </w:r>
      <w:hyperlink r:id="rId22">
        <w:r>
          <w:rPr>
            <w:rStyle w:val="InternetLink"/>
          </w:rPr>
          <w:t>https://doi.org/10.1002/pan3.10155</w:t>
        </w:r>
      </w:hyperlink>
      <w:r>
        <w:rPr/>
        <w:t>.</w:t>
      </w:r>
      <w:bookmarkStart w:id="48" w:name="ref-rakotonarivo2021a"/>
      <w:bookmarkEnd w:id="48"/>
    </w:p>
    <w:p>
      <w:pPr>
        <w:pStyle w:val="Bibliography"/>
        <w:rPr/>
      </w:pPr>
      <w:r>
        <w:rPr/>
        <w:t xml:space="preserve">Rakotonarivo, Sarobidy, Andrew Bell, Katharine Abernethy, Jeroen Minderman, A. Duthie, Steve Redpath, Aidan Keane, et al. 2021. “The Role of Incentive-Based Instruments and Social Equity in Conservation Conflict Interventions.” </w:t>
      </w:r>
      <w:r>
        <w:rPr>
          <w:i/>
          <w:iCs/>
        </w:rPr>
        <w:t>Ecology and Society</w:t>
      </w:r>
      <w:r>
        <w:rPr/>
        <w:t xml:space="preserve"> 26 (2). </w:t>
      </w:r>
      <w:hyperlink r:id="rId23">
        <w:r>
          <w:rPr>
            <w:rStyle w:val="InternetLink"/>
          </w:rPr>
          <w:t>https://doi.org/10.5751/ES-12306-260208</w:t>
        </w:r>
      </w:hyperlink>
      <w:r>
        <w:rPr/>
        <w:t>.</w:t>
      </w:r>
      <w:bookmarkStart w:id="49" w:name="ref-rakotonarivo2021"/>
      <w:bookmarkEnd w:id="49"/>
    </w:p>
    <w:p>
      <w:pPr>
        <w:pStyle w:val="Bibliography"/>
        <w:rPr/>
      </w:pPr>
      <w:r>
        <w:rPr/>
        <w:t xml:space="preserve">Redpath, Steve M., Aidan Keane, Henrik Andrén, Zachary Baynham-Herd, Nils Bunnefeld, A. Bradley Duthie, Jens Frank, et al. 2018. “Games as Tools to Address Conservation Conflicts.” </w:t>
      </w:r>
      <w:r>
        <w:rPr>
          <w:i/>
          <w:iCs/>
        </w:rPr>
        <w:t>Trends in Ecology &amp; Evolution</w:t>
      </w:r>
      <w:r>
        <w:rPr/>
        <w:t xml:space="preserve"> 33 (6): 415–26. </w:t>
      </w:r>
      <w:hyperlink r:id="rId24">
        <w:r>
          <w:rPr>
            <w:rStyle w:val="InternetLink"/>
          </w:rPr>
          <w:t>https://doi.org/10.1016/j.tree.2018.03.005</w:t>
        </w:r>
      </w:hyperlink>
      <w:r>
        <w:rPr/>
        <w:t>.</w:t>
      </w:r>
      <w:bookmarkStart w:id="50" w:name="ref-redpath2018"/>
      <w:bookmarkEnd w:id="50"/>
    </w:p>
    <w:p>
      <w:pPr>
        <w:pStyle w:val="Bibliography"/>
        <w:rPr/>
      </w:pPr>
      <w:r>
        <w:rPr/>
        <w:t xml:space="preserve">Sandbrook, Chris, William M. Adams, and Bruno Monteferri. 2015. “Digital Games and Biodiversity Conservation.” </w:t>
      </w:r>
      <w:r>
        <w:rPr>
          <w:i/>
          <w:iCs/>
        </w:rPr>
        <w:t>Conservation Letters</w:t>
      </w:r>
      <w:r>
        <w:rPr/>
        <w:t xml:space="preserve"> 8 (2): 118–24. </w:t>
      </w:r>
      <w:hyperlink r:id="rId25">
        <w:r>
          <w:rPr>
            <w:rStyle w:val="InternetLink"/>
          </w:rPr>
          <w:t>https://doi.org/10.1111/conl.12113</w:t>
        </w:r>
      </w:hyperlink>
      <w:r>
        <w:rPr/>
        <w:t>.</w:t>
      </w:r>
      <w:bookmarkStart w:id="51" w:name="ref-sandbrook2015"/>
      <w:bookmarkEnd w:id="51"/>
    </w:p>
    <w:p>
      <w:pPr>
        <w:pStyle w:val="Bibliography"/>
        <w:rPr/>
      </w:pPr>
      <w:r>
        <w:rPr/>
        <w:t xml:space="preserve">Schlüter, M., R. R. J. Mcallister, R. Arlinghaus, N. Bunnefeld, K. Eisenack, F. Hölker, E. J. Milner-Gulland, et al. 2012. “New Horizons for Managing the Environment: A Review of Coupled Social-Ecological Systems Modeling.” </w:t>
      </w:r>
      <w:r>
        <w:rPr>
          <w:i/>
          <w:iCs/>
        </w:rPr>
        <w:t>Natural Resource Modeling</w:t>
      </w:r>
      <w:r>
        <w:rPr/>
        <w:t xml:space="preserve"> 25 (1): 219–72. </w:t>
      </w:r>
      <w:hyperlink r:id="rId26">
        <w:r>
          <w:rPr>
            <w:rStyle w:val="InternetLink"/>
          </w:rPr>
          <w:t>https://doi.org/10.1111/j.1939-7445.2011.00108.x</w:t>
        </w:r>
      </w:hyperlink>
      <w:r>
        <w:rPr/>
        <w:t>.</w:t>
      </w:r>
      <w:bookmarkStart w:id="52" w:name="ref-schlüter2012"/>
      <w:bookmarkEnd w:id="52"/>
    </w:p>
    <w:p>
      <w:pPr>
        <w:pStyle w:val="Bibliography"/>
        <w:rPr/>
      </w:pPr>
      <w:r>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rPr>
        <w:t>Ecological Modelling</w:t>
      </w:r>
      <w:r>
        <w:rPr/>
        <w:t xml:space="preserve"> 411 (November): 108784. </w:t>
      </w:r>
      <w:hyperlink r:id="rId27">
        <w:r>
          <w:rPr>
            <w:rStyle w:val="InternetLink"/>
          </w:rPr>
          <w:t>https://doi.org/10.1016/j.ecolmodel.2019.108784</w:t>
        </w:r>
      </w:hyperlink>
      <w:r>
        <w:rPr/>
        <w:t>.</w:t>
      </w:r>
      <w:bookmarkStart w:id="53" w:name="ref-schuwirth2019"/>
      <w:bookmarkEnd w:id="53"/>
    </w:p>
    <w:p>
      <w:pPr>
        <w:pStyle w:val="Bibliography"/>
        <w:rPr/>
      </w:pPr>
      <w:r>
        <w:rPr/>
        <w:t xml:space="preserve">Sipper, Moshe, and Jason H. Moore. 2020. “Gamorithm.” </w:t>
      </w:r>
      <w:r>
        <w:rPr>
          <w:i/>
          <w:iCs/>
        </w:rPr>
        <w:t>IEEE Transactions on Games</w:t>
      </w:r>
      <w:r>
        <w:rPr/>
        <w:t xml:space="preserve"> 12 (1): 115–18. </w:t>
      </w:r>
      <w:hyperlink r:id="rId28">
        <w:r>
          <w:rPr>
            <w:rStyle w:val="InternetLink"/>
          </w:rPr>
          <w:t>https://doi.org/10.1109/TG.2018.2867743</w:t>
        </w:r>
      </w:hyperlink>
      <w:r>
        <w:rPr/>
        <w:t>.</w:t>
      </w:r>
      <w:bookmarkStart w:id="54" w:name="ref-sipper2020"/>
      <w:bookmarkEnd w:id="54"/>
    </w:p>
    <w:p>
      <w:pPr>
        <w:pStyle w:val="Bibliography"/>
        <w:rPr/>
      </w:pPr>
      <w:r>
        <w:rPr/>
        <w:t xml:space="preserve">Sullivan, Devin P., Casper F. Winsnes, Lovisa Akesson, Martin Hjelmare, Mikaela Wiking, Rutger Schutten, Linzi Campbell, et al. 2018. “Deep Learning Is Combined with Massive-Scale Citizen Science to Improve Large-Scale Image Classification.” </w:t>
      </w:r>
      <w:r>
        <w:rPr>
          <w:i/>
          <w:iCs/>
        </w:rPr>
        <w:t>Nature Biotechnology</w:t>
      </w:r>
      <w:r>
        <w:rPr/>
        <w:t xml:space="preserve"> 36 (9): 820–+. </w:t>
      </w:r>
      <w:hyperlink r:id="rId29">
        <w:r>
          <w:rPr>
            <w:rStyle w:val="InternetLink"/>
          </w:rPr>
          <w:t>https://doi.org/10.1038/nbt.4225</w:t>
        </w:r>
      </w:hyperlink>
      <w:r>
        <w:rPr/>
        <w:t>.</w:t>
      </w:r>
      <w:bookmarkStart w:id="55" w:name="ref-sullivan2018"/>
      <w:bookmarkEnd w:id="55"/>
    </w:p>
    <w:p>
      <w:pPr>
        <w:pStyle w:val="Bibliography"/>
        <w:rPr/>
      </w:pPr>
      <w:r>
        <w:rPr/>
        <w:t xml:space="preserve">Tan, Cedric Kai Wei, Jiin Woei Lee, Adeline Hii, Yen Yi Loo, Ahimsa Campos-Arceiz, and David W. Macdonald. 2018. “The Effect of Using Games in Teaching Conservation.” </w:t>
      </w:r>
      <w:r>
        <w:rPr>
          <w:i/>
          <w:iCs/>
        </w:rPr>
        <w:t>PeerJ</w:t>
      </w:r>
      <w:r>
        <w:rPr/>
        <w:t xml:space="preserve"> 6 (April): e4509. </w:t>
      </w:r>
      <w:hyperlink r:id="rId30">
        <w:r>
          <w:rPr>
            <w:rStyle w:val="InternetLink"/>
          </w:rPr>
          <w:t>https://doi.org/10.7717/peerj.4509</w:t>
        </w:r>
      </w:hyperlink>
      <w:r>
        <w:rPr/>
        <w:t>.</w:t>
      </w:r>
      <w:bookmarkStart w:id="56" w:name="ref-tan2018"/>
      <w:bookmarkEnd w:id="56"/>
    </w:p>
    <w:p>
      <w:pPr>
        <w:pStyle w:val="Bibliography"/>
        <w:rPr/>
      </w:pPr>
      <w:r>
        <w:rPr/>
        <w:t xml:space="preserve">van den Bergh, Jarrett, Ved Chirayath, Alan Li, Juan L. Torres-Pérez, and Michal Segal-Rozenhaimer. 2021. “NeMO-Net  Gamifying 3d Labeling of Multi-Modal Reference Datasets to Support Automated Marine Habitat Mapping.” </w:t>
      </w:r>
      <w:r>
        <w:rPr>
          <w:i/>
          <w:iCs/>
        </w:rPr>
        <w:t>Frontiers in Marine Science</w:t>
      </w:r>
      <w:r>
        <w:rPr/>
        <w:t xml:space="preserve"> 0. </w:t>
      </w:r>
      <w:hyperlink r:id="rId31">
        <w:r>
          <w:rPr>
            <w:rStyle w:val="InternetLink"/>
          </w:rPr>
          <w:t>https://doi.org/10.3389/fmars.2021.645408</w:t>
        </w:r>
      </w:hyperlink>
      <w:r>
        <w:rPr/>
        <w:t>.</w:t>
      </w:r>
      <w:bookmarkStart w:id="57" w:name="ref-vandenbergh2021"/>
      <w:bookmarkEnd w:id="57"/>
    </w:p>
    <w:p>
      <w:pPr>
        <w:pStyle w:val="Bibliography"/>
        <w:rPr/>
      </w:pPr>
      <w:r>
        <w:rPr/>
        <w:t xml:space="preserve">Villamor, Grace, and Biola Badmos. 2016. “Grazing Game: A Learning Tool for Adaptive Management in Response to Climate Variability in Semiarid Areas of Ghana.” </w:t>
      </w:r>
      <w:r>
        <w:rPr>
          <w:i/>
          <w:iCs/>
        </w:rPr>
        <w:t>Ecology and Society</w:t>
      </w:r>
      <w:r>
        <w:rPr/>
        <w:t xml:space="preserve"> 21 (1). </w:t>
      </w:r>
      <w:hyperlink r:id="rId32">
        <w:r>
          <w:rPr>
            <w:rStyle w:val="InternetLink"/>
          </w:rPr>
          <w:t>https://doi.org/10.5751/ES-08139-210139</w:t>
        </w:r>
      </w:hyperlink>
      <w:r>
        <w:rPr/>
        <w:t>.</w:t>
      </w:r>
      <w:bookmarkStart w:id="58" w:name="ref-villamor2016"/>
      <w:bookmarkEnd w:id="58"/>
    </w:p>
    <w:p>
      <w:pPr>
        <w:pStyle w:val="Bibliography"/>
        <w:rPr/>
      </w:pPr>
      <w:r>
        <w:rPr/>
        <w:t xml:space="preserve">Will, Meike, Gunnar Dressler, David Kreuer, Hans-Hermann Thulke, Adrienne Grêt-Regamey, and Birgit Müller. 2021. “How to Make Socio-Environmental Modelling More Useful to Support Policy and Management?” </w:t>
      </w:r>
      <w:r>
        <w:rPr>
          <w:i/>
          <w:iCs/>
        </w:rPr>
        <w:t>People and Nature</w:t>
      </w:r>
      <w:r>
        <w:rPr/>
        <w:t xml:space="preserve"> 3 (3): 560–72. </w:t>
      </w:r>
      <w:hyperlink r:id="rId33">
        <w:r>
          <w:rPr>
            <w:rStyle w:val="InternetLink"/>
          </w:rPr>
          <w:t>https://doi.org/10.1002/pan3.10207</w:t>
        </w:r>
      </w:hyperlink>
      <w:r>
        <w:rPr/>
        <w:t>.</w:t>
      </w:r>
      <w:bookmarkStart w:id="59" w:name="ref-will2021"/>
      <w:bookmarkEnd w:id="59"/>
    </w:p>
    <w:p>
      <w:pPr>
        <w:pStyle w:val="Bibliography"/>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34">
        <w:r>
          <w:rPr>
            <w:rStyle w:val="InternetLink"/>
          </w:rPr>
          <w:t>https://doi.org/10.1021/acs.est.6b05296</w:t>
        </w:r>
      </w:hyperlink>
      <w:r>
        <w:rPr/>
        <w:t>.</w:t>
      </w:r>
      <w:bookmarkStart w:id="60" w:name="ref-wilting2017"/>
      <w:bookmarkEnd w:id="60"/>
    </w:p>
    <w:p>
      <w:pPr>
        <w:pStyle w:val="Bibliography"/>
        <w:spacing w:before="0" w:after="200"/>
        <w:rPr/>
      </w:pPr>
      <w:r>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rPr>
        <w:t>Environmental Modelling &amp; Software</w:t>
      </w:r>
      <w:r>
        <w:rPr/>
        <w:t xml:space="preserve"> 98 (December): 63–74. </w:t>
      </w:r>
      <w:hyperlink r:id="rId35">
        <w:r>
          <w:rPr>
            <w:rStyle w:val="InternetLink"/>
          </w:rPr>
          <w:t>https://doi.org/10.1016/j.envsoft.2017.09.012</w:t>
        </w:r>
      </w:hyperlink>
      <w:r>
        <w:rPr/>
        <w:t>.</w:t>
      </w:r>
    </w:p>
    <w:sectPr>
      <w:footerReference w:type="default" r:id="rId36"/>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11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360" w:before="0" w:after="200"/>
        <w:rPr/>
      </w:pPr>
      <w:r>
        <w:rPr>
          <w:rStyle w:val="FootnoteCharacters"/>
        </w:rPr>
        <w:footnoteRef/>
      </w:r>
      <w:r>
        <w:rPr/>
        <w:t xml:space="preserve"> </w:t>
      </w:r>
      <w:r>
        <w:rPr/>
        <w:t>Note that there are of course limitations to this, and that data on decisions made would only be relevant to the context of the game (i.e. internally valid in the game context). Wider external validity depends on a number of factors; we discuss limitations in more detail below.</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ddi.12054" TargetMode="External"/><Relationship Id="rId3" Type="http://schemas.openxmlformats.org/officeDocument/2006/relationships/hyperlink" Target="https://doi.org/10.1126/sciadv.1400253" TargetMode="External"/><Relationship Id="rId4" Type="http://schemas.openxmlformats.org/officeDocument/2006/relationships/hyperlink" Target="https://doi.org/10.1073/pnas.1704949114" TargetMode="External"/><Relationship Id="rId5" Type="http://schemas.openxmlformats.org/officeDocument/2006/relationships/hyperlink" Target="https://doi.org/10.1111/tops.12267" TargetMode="External"/><Relationship Id="rId6" Type="http://schemas.openxmlformats.org/officeDocument/2006/relationships/hyperlink" Target="https://doi.org/10.5751/ES-11552-250213" TargetMode="External"/><Relationship Id="rId7" Type="http://schemas.openxmlformats.org/officeDocument/2006/relationships/hyperlink" Target="https://doi.org/10.1111/2041-210X.13091" TargetMode="External"/><Relationship Id="rId8" Type="http://schemas.openxmlformats.org/officeDocument/2006/relationships/hyperlink" Target="https://doi.org/10.1111/cobi.13633" TargetMode="External"/><Relationship Id="rId9" Type="http://schemas.openxmlformats.org/officeDocument/2006/relationships/hyperlink" Target="https://doi.org/10.3389/fpsyg.2019.02846" TargetMode="External"/><Relationship Id="rId10" Type="http://schemas.openxmlformats.org/officeDocument/2006/relationships/hyperlink" Target="https://doi.org/10.1126/science.1185802" TargetMode="External"/><Relationship Id="rId11" Type="http://schemas.openxmlformats.org/officeDocument/2006/relationships/hyperlink" Target="https://doi.org/10.14512/gaia.25.4.13" TargetMode="External"/><Relationship Id="rId12" Type="http://schemas.openxmlformats.org/officeDocument/2006/relationships/hyperlink" Target="https://doi.org/10.1016/j.ecolmodel.2006.04.023" TargetMode="External"/><Relationship Id="rId13" Type="http://schemas.openxmlformats.org/officeDocument/2006/relationships/hyperlink" Target="https://doi.org/10.1038/s41467-020-17785-2" TargetMode="External"/><Relationship Id="rId14" Type="http://schemas.openxmlformats.org/officeDocument/2006/relationships/hyperlink" Target="https://doi.org/10.1016/j.envsoft.2016.10.008" TargetMode="External"/><Relationship Id="rId15" Type="http://schemas.openxmlformats.org/officeDocument/2006/relationships/hyperlink" Target="https://www.ipcc.ch/report/ar6/wg1/" TargetMode="External"/><Relationship Id="rId16" Type="http://schemas.openxmlformats.org/officeDocument/2006/relationships/hyperlink" Target="https://doi.org/10.1073/pnas.1115898108" TargetMode="External"/><Relationship Id="rId17" Type="http://schemas.openxmlformats.org/officeDocument/2006/relationships/hyperlink" Target="https://doi.org/10.1007/s11077-016-9250-4" TargetMode="External"/><Relationship Id="rId18" Type="http://schemas.openxmlformats.org/officeDocument/2006/relationships/hyperlink" Target="https://doi.org/10.1038/536143a" TargetMode="External"/><Relationship Id="rId19" Type="http://schemas.openxmlformats.org/officeDocument/2006/relationships/hyperlink" Target="https://doi.org/10.5751/ES-08416-210338" TargetMode="External"/><Relationship Id="rId20" Type="http://schemas.openxmlformats.org/officeDocument/2006/relationships/hyperlink" Target="https://doi.org/10.1098/rstb.2011.0175" TargetMode="External"/><Relationship Id="rId21" Type="http://schemas.openxmlformats.org/officeDocument/2006/relationships/hyperlink" Target="https://doi.org/10.1038/s41562-020-0885-y" TargetMode="External"/><Relationship Id="rId22" Type="http://schemas.openxmlformats.org/officeDocument/2006/relationships/hyperlink" Target="https://doi.org/10.1002/pan3.10155" TargetMode="External"/><Relationship Id="rId23" Type="http://schemas.openxmlformats.org/officeDocument/2006/relationships/hyperlink" Target="https://doi.org/10.5751/ES-12306-260208" TargetMode="External"/><Relationship Id="rId24" Type="http://schemas.openxmlformats.org/officeDocument/2006/relationships/hyperlink" Target="https://doi.org/10.1016/j.tree.2018.03.005" TargetMode="External"/><Relationship Id="rId25" Type="http://schemas.openxmlformats.org/officeDocument/2006/relationships/hyperlink" Target="https://doi.org/10.1111/conl.12113" TargetMode="External"/><Relationship Id="rId26" Type="http://schemas.openxmlformats.org/officeDocument/2006/relationships/hyperlink" Target="https://doi.org/10.1111/j.1939-7445.2011.00108.x" TargetMode="External"/><Relationship Id="rId27" Type="http://schemas.openxmlformats.org/officeDocument/2006/relationships/hyperlink" Target="https://doi.org/10.1016/j.ecolmodel.2019.108784" TargetMode="External"/><Relationship Id="rId28" Type="http://schemas.openxmlformats.org/officeDocument/2006/relationships/hyperlink" Target="https://doi.org/10.1109/TG.2018.2867743" TargetMode="External"/><Relationship Id="rId29" Type="http://schemas.openxmlformats.org/officeDocument/2006/relationships/hyperlink" Target="https://doi.org/10.1038/nbt.4225" TargetMode="External"/><Relationship Id="rId30" Type="http://schemas.openxmlformats.org/officeDocument/2006/relationships/hyperlink" Target="https://doi.org/10.7717/peerj.4509" TargetMode="External"/><Relationship Id="rId31" Type="http://schemas.openxmlformats.org/officeDocument/2006/relationships/hyperlink" Target="https://doi.org/10.3389/fmars.2021.645408" TargetMode="External"/><Relationship Id="rId32" Type="http://schemas.openxmlformats.org/officeDocument/2006/relationships/hyperlink" Target="https://doi.org/10.5751/ES-08139-210139" TargetMode="External"/><Relationship Id="rId33" Type="http://schemas.openxmlformats.org/officeDocument/2006/relationships/hyperlink" Target="https://doi.org/10.1002/pan3.10207" TargetMode="External"/><Relationship Id="rId34" Type="http://schemas.openxmlformats.org/officeDocument/2006/relationships/hyperlink" Target="https://doi.org/10.1021/acs.est.6b05296" TargetMode="External"/><Relationship Id="rId35" Type="http://schemas.openxmlformats.org/officeDocument/2006/relationships/hyperlink" Target="https://doi.org/10.1016/j.envsoft.2017.09.012" TargetMode="External"/><Relationship Id="rId36" Type="http://schemas.openxmlformats.org/officeDocument/2006/relationships/footer" Target="footer1.xml"/><Relationship Id="rId37" Type="http://schemas.openxmlformats.org/officeDocument/2006/relationships/footnotes" Target="footnotes.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2021-08-12T15:31:38Z</dcterms:created>
  <dc:creator/>
  <dc:description/>
  <dc:language>en-GB</dc:language>
  <cp:lastModifiedBy>Jeroen Minderman</cp:lastModifiedBy>
  <dcterms:modified xsi:type="dcterms:W3CDTF">2021-08-12T16:34:52Z</dcterms:modified>
  <cp:revision>1</cp:revision>
  <dc:subject/>
  <dc:title>Models as games: a novel approach for ‘gamesourcing’ parameter data and communicating complex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