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bookmarkStart w:id="0" w:name="summary"/>
      <w:bookmarkEnd w:id="0"/>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Although a number of drivers of biodiversity loss have been identified (e.g. </w:t>
      </w:r>
      <w:hyperlink w:anchor="ref-maxwell2016a">
        <w:r>
          <w:rPr>
            <w:rStyle w:val="InternetLink"/>
          </w:rPr>
          <w:t>Maxwell et al. 2016</w:t>
        </w:r>
      </w:hyperlink>
      <w:r>
        <w:rPr/>
        <w:t xml:space="preserve">), one of the most prevalent and widespread ones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is reliant as much on understanding resource dynamics as it is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w:t>
      </w:r>
      <w:hyperlink w:anchor="ref-grimm2006">
        <w:r>
          <w:rPr>
            <w:rStyle w:val="InternetLink"/>
          </w:rPr>
          <w:t>Grimm et al. 2006</w:t>
        </w:r>
      </w:hyperlink>
      <w:r>
        <w:rP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it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“vanilla” GMSE set up.</w:t>
      </w:r>
    </w:p>
    <w:p>
      <w:pPr>
        <w:pStyle w:val="Heading2"/>
        <w:numPr>
          <w:ilvl w:val="1"/>
          <w:numId w:val="2"/>
        </w:numPr>
        <w:ind w:left="0" w:right="0" w:hanging="0"/>
        <w:rPr/>
      </w:pPr>
      <w:r>
        <w:rPr/>
        <w:t>Underlying model: GMSE</w:t>
      </w:r>
    </w:p>
    <w:p>
      <w:pPr>
        <w:pStyle w:val="Heading3"/>
        <w:numPr>
          <w:ilvl w:val="2"/>
          <w:numId w:val="2"/>
        </w:numPr>
        <w:rPr/>
      </w:pPr>
      <w:r>
        <w:rPr/>
        <w:t>Basic introduction of GMSE principles and structures</w:t>
      </w:r>
      <w:bookmarkStart w:id="2" w:name="X661808d150ab65b64bbf7eca0b36a8bee1a312a"/>
      <w:bookmarkEnd w:id="2"/>
    </w:p>
    <w:p>
      <w:pPr>
        <w:pStyle w:val="Heading3"/>
        <w:numPr>
          <w:ilvl w:val="2"/>
          <w:numId w:val="2"/>
        </w:numPr>
        <w:rPr/>
      </w:pPr>
      <w:r>
        <w:rPr/>
        <w:t>Brief discussion of limitations of GMSE</w:t>
      </w:r>
      <w:bookmarkStart w:id="3" w:name="underlying-model-gmse"/>
      <w:bookmarkStart w:id="4" w:name="brief-discussion-of-limitations-of-gmse"/>
      <w:bookmarkEnd w:id="3"/>
      <w:bookmarkEnd w:id="4"/>
    </w:p>
    <w:p>
      <w:pPr>
        <w:pStyle w:val="Heading2"/>
        <w:numPr>
          <w:ilvl w:val="1"/>
          <w:numId w:val="2"/>
        </w:numPr>
        <w:ind w:left="0" w:right="0" w:hanging="0"/>
        <w:rPr/>
      </w:pPr>
      <w:r>
        <w:rPr/>
        <w:t>Animal&amp;Farm</w:t>
      </w:r>
    </w:p>
    <w:p>
      <w:pPr>
        <w:pStyle w:val="Heading3"/>
        <w:numPr>
          <w:ilvl w:val="2"/>
          <w:numId w:val="2"/>
        </w:numPr>
        <w:rPr/>
      </w:pPr>
      <w:r>
        <w:rPr/>
        <w:t>Structure as relating to GMSE</w:t>
      </w:r>
    </w:p>
    <w:p>
      <w:pPr>
        <w:pStyle w:val="FirstParagraph"/>
        <w:rPr/>
      </w:pPr>
      <w:r>
        <w:rPr/>
        <w:t xml:space="preserve">In the default implementation of GMSE 0.6.2.0,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w:t>
      </w:r>
      <w:r>
        <w:rPr>
          <w:b/>
          <w:bCs/>
        </w:rPr>
        <w:t>FIG Xa</w:t>
      </w:r>
      <w:r>
        <w:rPr/>
        <w:t>].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3">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
          <w:bCs/>
        </w:rPr>
        <w:t>see below</w:t>
      </w:r>
      <w:r>
        <w:rPr/>
        <w:t>).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simulations used by A&amp;F simulates a landscape of 100x100 cells, divided into farms owned by 4-12 farmers (stakeholders; the precise number and land distribution is randomly varied per session, see </w:t>
      </w:r>
      <w:r>
        <w:rPr>
          <w:b/>
          <w:bCs/>
        </w:rPr>
        <w:t>section XXX</w:t>
      </w:r>
      <w:r>
        <w:rPr/>
        <w:t xml:space="preserve">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Thus, we only give brief details here, for full details and descriptions of all models, see </w:t>
      </w:r>
      <w:r>
        <w:rPr>
          <w:b/>
          <w:bCs/>
        </w:rPr>
        <w:t>XXX</w:t>
      </w:r>
      <w:r>
        <w:rPr/>
        <w:t xml:space="preserve"> and </w:t>
      </w:r>
      <w:r>
        <w:rPr>
          <w:b/>
          <w:bCs/>
        </w:rPr>
        <w:t>XXX</w:t>
      </w:r>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is likely to increase from the initial population size (1000) to carrying capacity (5000). The </w:t>
      </w:r>
      <w:r>
        <w:rPr>
          <w:b/>
          <w:bCs/>
        </w:rPr>
        <w:t>observation model</w:t>
      </w:r>
      <w:r>
        <w:rPr/>
        <w:t xml:space="preserve"> uses the default GMSE model (density-based sampling of a subset of the environment); only </w:t>
      </w:r>
      <w:r>
        <w:rPr>
          <w:i/>
          <w:iCs/>
        </w:rPr>
        <w:t>observed</w:t>
      </w:r>
      <w:r>
        <w:rPr/>
        <w:t xml:space="preserve"> numbers of animals are available to the manager to base decisions on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GA algorithms with default parameter settings. User (farmer) budgets are set to 1500 units per time step, manager budgets to 1000 units (both for the initial 5 time steps and the subsequent game play). The users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
          <w:bCs/>
        </w:rPr>
        <w:t>see XXX below</w:t>
      </w:r>
      <w:r>
        <w:rPr/>
        <w:t>).</w:t>
      </w:r>
    </w:p>
    <w:p>
      <w:pPr>
        <w:pStyle w:val="TextBody"/>
        <w:rPr/>
      </w:pPr>
      <w:r>
        <w:rPr/>
        <w:t>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w:t>
      </w:r>
      <w:r>
        <w:rPr>
          <w:b/>
          <w:bCs/>
        </w:rPr>
        <w:t>FIG Xb</w:t>
      </w:r>
      <w:r>
        <w:rPr/>
        <w:t>].</w:t>
      </w:r>
      <w:bookmarkStart w:id="5" w:name="structure-as-relating-to-gmse"/>
      <w:bookmarkEnd w:id="5"/>
    </w:p>
    <w:p>
      <w:pPr>
        <w:pStyle w:val="Heading3"/>
        <w:numPr>
          <w:ilvl w:val="2"/>
          <w:numId w:val="2"/>
        </w:numPr>
        <w:rPr/>
      </w:pPr>
      <w:r>
        <w:rPr/>
        <w:t>User interface</w:t>
      </w:r>
    </w:p>
    <w:p>
      <w:pPr>
        <w:pStyle w:val="FirstParagraph"/>
        <w:rPr/>
      </w:pPr>
      <w:r>
        <w:rPr/>
        <w:t xml:space="preserve">The user interface for A&amp;F is a web application is coded in R, using </w:t>
      </w:r>
      <w:hyperlink r:id="rId4">
        <w:r>
          <w:rPr>
            <w:rStyle w:val="VerbatimChar"/>
          </w:rPr>
          <w:t>Shiny</w:t>
        </w:r>
      </w:hyperlink>
      <w:r>
        <w:rPr/>
        <w:t xml:space="preserve"> (1.6.0), and packages </w:t>
      </w:r>
      <w:hyperlink r:id="rId5">
        <w:r>
          <w:rPr>
            <w:rStyle w:val="VerbatimChar"/>
          </w:rPr>
          <w:t>shinyjs</w:t>
        </w:r>
      </w:hyperlink>
      <w:r>
        <w:rPr/>
        <w:t xml:space="preserve"> (2.0.0), </w:t>
      </w:r>
      <w:hyperlink r:id="rId6">
        <w:r>
          <w:rPr>
            <w:rStyle w:val="VerbatimChar"/>
          </w:rPr>
          <w:t>shinyBS</w:t>
        </w:r>
      </w:hyperlink>
      <w:r>
        <w:rPr/>
        <w:t xml:space="preserve"> (0.61), and </w:t>
      </w:r>
      <w:hyperlink r:id="rId7">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TextBody"/>
        <w:rPr/>
      </w:pPr>
      <w:r>
        <w:rPr/>
        <w:t>The main game screen consists of four components (</w:t>
      </w:r>
      <w:r>
        <w:rPr>
          <w:b/>
          <w:bCs/>
        </w:rPr>
        <w:t>FIG X</w:t>
      </w:r>
      <w:r>
        <w:rPr/>
        <w:t>). First, a trajectory plot (</w:t>
      </w:r>
      <w:r>
        <w:rPr>
          <w:b/>
          <w:bCs/>
        </w:rPr>
        <w:t>Fig Xa</w:t>
      </w:r>
      <w:r>
        <w:rPr/>
        <w:t xml:space="preserve">)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w:t>
      </w:r>
      <w:r>
        <w:rPr>
          <w:b/>
          <w:bCs/>
        </w:rPr>
        <w:t>Fig Xb</w:t>
      </w:r>
      <w:r>
        <w:rPr/>
        <w:t xml:space="preserve">)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w:t>
      </w:r>
      <w:r>
        <w:rPr>
          <w:b/>
          <w:bCs/>
        </w:rPr>
        <w:t>Fig Xc</w:t>
      </w:r>
      <w:r>
        <w:rPr/>
        <w:t>). Fourth, a report of the current management budget available (not allocated), player scores (</w:t>
      </w:r>
      <w:r>
        <w:rPr>
          <w:b/>
          <w:bCs/>
        </w:rPr>
        <w:t>see below</w:t>
      </w:r>
      <w:r>
        <w:rPr/>
        <w:t>), and player inputs (</w:t>
      </w:r>
      <w:r>
        <w:rPr>
          <w:b/>
          <w:bCs/>
        </w:rPr>
        <w:t>Fig Xd</w:t>
      </w:r>
      <w:r>
        <w:rPr/>
        <w:t>).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this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w:t>
      </w:r>
      <w:r>
        <w:rPr>
          <w:b/>
          <w:bCs/>
        </w:rPr>
        <w:t>see below</w:t>
      </w:r>
      <w:r>
        <w:rPr/>
        <w:t>),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6" w:name="user-interface"/>
      <w:bookmarkEnd w:id="6"/>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den>
                </m:f>
              </m:e>
            </m:nary>
          </m:num>
          <m:den>
            <m:r>
              <w:rPr>
                <w:rFonts w:ascii="Cambria Math" w:hAnsi="Cambria Math"/>
              </w:rPr>
              <m:t xml:space="preserve">t</m:t>
            </m:r>
          </m:den>
        </m:f>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session. 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xml:space="preserve">,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 </w:t>
      </w:r>
      <w:bookmarkStart w:id="7" w:name="game-objective-scores-and-scoreboard"/>
      <w:bookmarkEnd w:id="7"/>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r>
        <w:rPr>
          <w:b/>
          <w:bCs/>
        </w:rPr>
        <w:t>Fig X</w:t>
      </w:r>
      <w:r>
        <w:rPr/>
        <w:t xml:space="preserve"> and a full list of parameter values stored and their description is listed in </w:t>
      </w:r>
      <w:r>
        <w:rPr>
          <w:b/>
          <w:bCs/>
        </w:rPr>
        <w:t>Table X</w:t>
      </w:r>
      <w:r>
        <w:rPr/>
        <w:t>. The current version of A&amp;F stores only a subset of GMSE parameters (</w:t>
      </w:r>
      <w:r>
        <w:rPr>
          <w:b/>
          <w:bCs/>
        </w:rPr>
        <w:t>Table X</w:t>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r>
        <w:rPr/>
        <w:t xml:space="preserve">In summary, six main tables are used to store data (see </w:t>
      </w:r>
      <w:r>
        <w:rPr>
          <w:b/>
          <w:bCs/>
        </w:rPr>
        <w:t>XXX</w:t>
      </w:r>
      <w:r>
        <w:rPr/>
        <w:t xml:space="preserve"> for a full description). Tables are linked by the unique session ID present in each table.</w:t>
      </w:r>
    </w:p>
    <w:p>
      <w:pPr>
        <w:pStyle w:val="Normal"/>
        <w:numPr>
          <w:ilvl w:val="0"/>
          <w:numId w:val="4"/>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4"/>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4"/>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4"/>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4"/>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8" w:name="outline-of-approach"/>
      <w:bookmarkStart w:id="9" w:name="animalfarm"/>
      <w:bookmarkStart w:id="10" w:name="data-collection-database"/>
      <w:bookmarkEnd w:id="8"/>
      <w:bookmarkEnd w:id="9"/>
      <w:bookmarkEnd w:id="10"/>
    </w:p>
    <w:p>
      <w:pPr>
        <w:pStyle w:val="Heading1"/>
        <w:numPr>
          <w:ilvl w:val="0"/>
          <w:numId w:val="2"/>
        </w:numPr>
        <w:rPr/>
      </w:pPr>
      <w:r>
        <w:rPr/>
        <w:t>Example application</w:t>
      </w:r>
    </w:p>
    <w:p>
      <w:pPr>
        <w:pStyle w:val="Heading3"/>
        <w:numPr>
          <w:ilvl w:val="2"/>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1" w:name="sandbox-for-in-silico-experiments"/>
      <w:bookmarkEnd w:id="11"/>
    </w:p>
    <w:p>
      <w:pPr>
        <w:pStyle w:val="Heading3"/>
        <w:numPr>
          <w:ilvl w:val="2"/>
          <w:numId w:val="2"/>
        </w:numPr>
        <w:rPr/>
      </w:pPr>
      <w:r>
        <w:rPr/>
        <w:t>Example scenario &amp; method</w:t>
      </w:r>
    </w:p>
    <w:p>
      <w:pPr>
        <w:pStyle w:val="Heading4"/>
        <w:numPr>
          <w:ilvl w:val="3"/>
          <w:numId w:val="2"/>
        </w:numPr>
        <w:rPr/>
      </w:pPr>
      <w:r>
        <w:rPr/>
        <w:t>Rationale &amp; methods</w:t>
      </w:r>
    </w:p>
    <w:p>
      <w:pPr>
        <w:pStyle w:val="FirstParagraph"/>
        <w:rPr/>
      </w:pPr>
      <w:r>
        <w:rPr/>
        <w:t>We here illustrate one aspect of this potential by collecting decision-making data from a small sample of test players, during a short period. We chose to focus on a scenario that systematically varies one focal parameter, farmer land ownership distribution.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On starting a new session, the player is presented with one of three possible scenarios: equal land ownership, moderate variability, or high variability (</w:t>
      </w:r>
      <w:r>
        <w:rPr>
          <w:rStyle w:val="VerbatimChar"/>
        </w:rPr>
        <w:t>ownership_var</w:t>
      </w:r>
      <w:r>
        <w:rPr/>
        <w:t xml:space="preserve"> = 0, 0.25 or 0.5, respectively, resulting landscape patterns illustrated in </w:t>
      </w:r>
      <w:r>
        <w:rPr>
          <w:b/>
          <w:bCs/>
        </w:rPr>
        <w:t>Fig X</w:t>
      </w:r>
      <w:r>
        <w:rPr/>
        <w:t>).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XXX collegues working in conservation science and practical conservation and management, covering a range of academic institutions, research institutes, NGO’s and government.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12" w:name="rationale-methods"/>
      <w:bookmarkEnd w:id="12"/>
    </w:p>
    <w:p>
      <w:pPr>
        <w:pStyle w:val="Heading4"/>
        <w:numPr>
          <w:ilvl w:val="3"/>
          <w:numId w:val="2"/>
        </w:numPr>
        <w:rPr/>
      </w:pPr>
      <w:r>
        <w:rPr/>
        <w:t>Ethics</w:t>
      </w:r>
    </w:p>
    <w:p>
      <w:pPr>
        <w:pStyle w:val="FirstParagraph"/>
        <w:rPr/>
      </w:pPr>
      <w:r>
        <w:rPr/>
        <w:t xml:space="preserve">The work described here was approved by the University of Stirling’s General University Ethics Panel (GUEP), project no. </w:t>
      </w:r>
      <w:r>
        <w:rPr>
          <w:b/>
          <w:bCs/>
        </w:rPr>
        <w:t>X</w:t>
      </w:r>
      <w:r>
        <w:rPr/>
        <w:t>. While the game link is publicly accessible, it was not publicised beyond the direct contacts described above. On accessing the link, players are presented with a series of introductory screens explaining the background and purpose of the game, followed by a digital constent form, which has to be agreed to by ticking a confirmation tick box, before a new session can be started. No personally identifiable data are collected or stored, other than a player name - the latter is only requested so that scores can be shown in context and compared to other players; however this can be left as a default placeholder, and players explicitly told that this is not expected to be their real name.</w:t>
      </w:r>
      <w:bookmarkStart w:id="13" w:name="example-scenario-method"/>
      <w:bookmarkStart w:id="14" w:name="ethics"/>
      <w:bookmarkEnd w:id="13"/>
      <w:bookmarkEnd w:id="14"/>
    </w:p>
    <w:p>
      <w:pPr>
        <w:pStyle w:val="Heading3"/>
        <w:numPr>
          <w:ilvl w:val="2"/>
          <w:numId w:val="2"/>
        </w:numPr>
        <w:rPr/>
      </w:pPr>
      <w:r>
        <w:rPr/>
        <w:t>Illustrative results</w:t>
      </w:r>
    </w:p>
    <w:p>
      <w:pPr>
        <w:pStyle w:val="FirstParagraph"/>
        <w:rPr/>
      </w:pPr>
      <w:r>
        <w:rPr/>
        <w:t xml:space="preserve">Between 21 July 2021 and 19 August 2021, we collated data on 76 play session by 28 unique players. Sessions lasted minutes on average 4.5 minutes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w:t>
      </w:r>
      <w:r>
        <w:rPr>
          <w:b/>
          <w:bCs/>
        </w:rPr>
        <w:t>Figure Xa</w:t>
      </w:r>
      <w:r>
        <w:rPr/>
        <w:t>). Differences in extinction probability with variability in farmer (stakeholder) number was less pronounced (</w:t>
      </w:r>
      <w:r>
        <w:rPr>
          <w:b/>
          <w:bCs/>
        </w:rPr>
        <w:t>Figure Xb</w:t>
      </w:r>
      <w:r>
        <w:rPr/>
        <w:t>).</w:t>
      </w:r>
    </w:p>
    <w:p>
      <w:pPr>
        <w:pStyle w:val="TextBody"/>
        <w:rPr/>
      </w:pPr>
      <w:r>
        <w:rPr/>
        <w:t xml:space="preserve">These extinction probabilities were reflected in the animal population trajectories in each parameter scenario. </w:t>
      </w:r>
      <w:r>
        <w:rPr>
          <w:b/>
          <w:bCs/>
        </w:rPr>
        <w:t>Figure X</w:t>
      </w:r>
      <w:r>
        <w:rPr/>
        <w:t xml:space="preserve"> show trajectories per level of landownership variability, with cases where the population reached extinction highlighted in red. Both higher levels of variablility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X.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Xc vs. Xa-b).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Xd-f).</w:t>
      </w:r>
    </w:p>
    <w:p>
      <w:pPr>
        <w:pStyle w:val="CaptionedFigure"/>
        <w:rPr/>
      </w:pPr>
      <w:r>
        <w:rPr/>
        <w:drawing>
          <wp:inline distT="0" distB="0" distL="114935" distR="114935">
            <wp:extent cx="5943600" cy="2971800"/>
            <wp:effectExtent l="0" t="0" r="0" b="0"/>
            <wp:docPr id="1" name="Picture" descr="Figure X.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X.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inline>
        </w:drawing>
      </w:r>
    </w:p>
    <w:p>
      <w:pPr>
        <w:pStyle w:val="ImageCaption"/>
        <w:rPr/>
      </w:pPr>
      <w:r>
        <w:rPr/>
        <w:t>Figure X.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2" name="Image1" descr="Figure X.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X.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9"/>
                    <a:stretch>
                      <a:fillRect/>
                    </a:stretch>
                  </pic:blipFill>
                  <pic:spPr bwMode="auto">
                    <a:xfrm>
                      <a:off x="0" y="0"/>
                      <a:ext cx="5943600" cy="2971800"/>
                    </a:xfrm>
                    <a:prstGeom prst="rect">
                      <a:avLst/>
                    </a:prstGeom>
                  </pic:spPr>
                </pic:pic>
              </a:graphicData>
            </a:graphic>
          </wp:inline>
        </w:drawing>
      </w:r>
    </w:p>
    <w:p>
      <w:pPr>
        <w:pStyle w:val="ImageCaption"/>
        <w:rPr/>
      </w:pPr>
      <w:r>
        <w:rPr/>
        <w:t>Figure X.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754880"/>
            <wp:effectExtent l="0" t="0" r="0" b="0"/>
            <wp:doc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0"/>
                    <a:stretch>
                      <a:fillRect/>
                    </a:stretch>
                  </pic:blipFill>
                  <pic:spPr bwMode="auto">
                    <a:xfrm>
                      <a:off x="0" y="0"/>
                      <a:ext cx="5943600" cy="4754880"/>
                    </a:xfrm>
                    <a:prstGeom prst="rect">
                      <a:avLst/>
                    </a:prstGeom>
                  </pic:spPr>
                </pic:pic>
              </a:graphicData>
            </a:graphic>
          </wp:inline>
        </w:drawing>
      </w:r>
    </w:p>
    <w:p>
      <w:pPr>
        <w:pStyle w:val="ImageCaption"/>
        <w:rPr/>
      </w:pPr>
      <w:r>
        <w:rPr/>
        <w:t>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5" w:name="example-application"/>
      <w:bookmarkStart w:id="16" w:name="illustrative-results"/>
      <w:bookmarkEnd w:id="15"/>
      <w:bookmarkEnd w:id="16"/>
    </w:p>
    <w:p>
      <w:pPr>
        <w:pStyle w:val="Heading1"/>
        <w:numPr>
          <w:ilvl w:val="0"/>
          <w:numId w:val="2"/>
        </w:numPr>
        <w:rPr/>
      </w:pPr>
      <w:r>
        <w:rPr/>
        <w:t>Discussion</w:t>
      </w:r>
    </w:p>
    <w:p>
      <w:pPr>
        <w:pStyle w:val="Heading2"/>
        <w:numPr>
          <w:ilvl w:val="1"/>
          <w:numId w:val="2"/>
        </w:numPr>
        <w:ind w:left="0" w:right="0" w:hanging="0"/>
        <w:rPr/>
      </w:pPr>
      <w:r>
        <w:rPr/>
        <w:t>Brief summary of aims, process and outcome of example scenarios</w:t>
      </w:r>
      <w:bookmarkStart w:id="17" w:name="Xa9535846b2adfd25e25fac9f5c27e9bf4361617"/>
      <w:bookmarkEnd w:id="17"/>
    </w:p>
    <w:p>
      <w:pPr>
        <w:pStyle w:val="Heading2"/>
        <w:numPr>
          <w:ilvl w:val="1"/>
          <w:numId w:val="2"/>
        </w:numPr>
        <w:ind w:left="0" w:right="0" w:hanging="0"/>
        <w:rPr/>
      </w:pPr>
      <w:r>
        <w:rPr/>
        <w:t>Revisit player feedback</w:t>
      </w:r>
      <w:bookmarkStart w:id="18" w:name="revisit-player-feedback"/>
      <w:bookmarkEnd w:id="18"/>
    </w:p>
    <w:p>
      <w:pPr>
        <w:pStyle w:val="Heading2"/>
        <w:numPr>
          <w:ilvl w:val="1"/>
          <w:numId w:val="2"/>
        </w:numPr>
        <w:ind w:left="0" w:right="0" w:hanging="0"/>
        <w:rPr/>
      </w:pPr>
      <w:r>
        <w:rPr/>
        <w:t>Discussion of limitations of overall approach, with reference to player feedback</w:t>
      </w:r>
      <w:bookmarkStart w:id="19" w:name="Xf0fe130512899828161ec518a4f286486541478"/>
      <w:bookmarkEnd w:id="19"/>
    </w:p>
    <w:p>
      <w:pPr>
        <w:pStyle w:val="Heading2"/>
        <w:numPr>
          <w:ilvl w:val="1"/>
          <w:numId w:val="2"/>
        </w:numPr>
        <w:ind w:left="0" w:right="0" w:hanging="0"/>
        <w:rPr/>
      </w:pPr>
      <w:r>
        <w:rPr/>
        <w:t>(Potentially general discussion of issues with games approach?)</w:t>
      </w:r>
      <w:bookmarkStart w:id="20" w:name="X3f20906c92819e45bf354eb538df34603a1721f"/>
      <w:bookmarkEnd w:id="20"/>
    </w:p>
    <w:p>
      <w:pPr>
        <w:pStyle w:val="Heading2"/>
        <w:numPr>
          <w:ilvl w:val="1"/>
          <w:numId w:val="2"/>
        </w:numPr>
        <w:ind w:left="0" w:right="0" w:hanging="0"/>
        <w:rPr/>
      </w:pPr>
      <w:r>
        <w:rPr/>
        <w:t>Discussion of potential</w:t>
      </w:r>
    </w:p>
    <w:p>
      <w:pPr>
        <w:pStyle w:val="Heading3"/>
        <w:numPr>
          <w:ilvl w:val="2"/>
          <w:numId w:val="2"/>
        </w:numPr>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1" w:name="X02b85aca5402857f548d73fbc28a4cbb84b051f"/>
      <w:bookmarkEnd w:id="21"/>
    </w:p>
    <w:p>
      <w:pPr>
        <w:pStyle w:val="Heading3"/>
        <w:numPr>
          <w:ilvl w:val="2"/>
          <w:numId w:val="2"/>
        </w:numPr>
        <w:rPr/>
      </w:pPr>
      <w:r>
        <w:rPr/>
        <w:t>Yes, problematic when expecting direct application to real life, but again this is/should be clear for all models.</w:t>
      </w:r>
      <w:bookmarkStart w:id="22" w:name="Xdd946997f7007cf539ea75c2dc05801b1d23efe"/>
      <w:bookmarkEnd w:id="22"/>
    </w:p>
    <w:p>
      <w:pPr>
        <w:pStyle w:val="Heading3"/>
        <w:numPr>
          <w:ilvl w:val="2"/>
          <w:numId w:val="2"/>
        </w:numPr>
        <w:rPr/>
      </w:pPr>
      <w:r>
        <w:rPr/>
        <w:t>Highlight expandability of approach, sandboxing ideas in flexible simulated environment</w:t>
      </w:r>
      <w:bookmarkStart w:id="23" w:name="discussion-of-potential"/>
      <w:bookmarkStart w:id="24" w:name="X7e54ea71f1e27e050e97c54af9b9f891788b8b0"/>
      <w:bookmarkEnd w:id="23"/>
      <w:bookmarkEnd w:id="24"/>
    </w:p>
    <w:p>
      <w:pPr>
        <w:pStyle w:val="Heading2"/>
        <w:numPr>
          <w:ilvl w:val="1"/>
          <w:numId w:val="2"/>
        </w:numPr>
        <w:ind w:left="0" w:right="0" w:hanging="0"/>
        <w:rPr/>
      </w:pPr>
      <w:r>
        <w:rPr/>
      </w:r>
      <w:bookmarkStart w:id="25" w:name="discussion"/>
      <w:bookmarkStart w:id="26" w:name="section"/>
      <w:bookmarkStart w:id="27" w:name="discussion"/>
      <w:bookmarkStart w:id="28" w:name="section"/>
      <w:bookmarkEnd w:id="27"/>
      <w:bookmarkEnd w:id="28"/>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1">
        <w:r>
          <w:rPr>
            <w:rStyle w:val="InternetLink"/>
          </w:rPr>
          <w:t>https://doi.org/10.1111/ddi.12054</w:t>
        </w:r>
      </w:hyperlink>
      <w:r>
        <w:rPr/>
        <w:t>.</w:t>
      </w:r>
      <w:bookmarkStart w:id="29" w:name="ref-addison2013"/>
      <w:bookmarkEnd w:id="29"/>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2">
        <w:r>
          <w:rPr>
            <w:rStyle w:val="InternetLink"/>
          </w:rPr>
          <w:t>https://doi.org/10.1126/sciadv.1400253</w:t>
        </w:r>
      </w:hyperlink>
      <w:r>
        <w:rPr/>
        <w:t>.</w:t>
      </w:r>
      <w:bookmarkStart w:id="30" w:name="ref-ceballos2015"/>
      <w:bookmarkEnd w:id="30"/>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3">
        <w:r>
          <w:rPr>
            <w:rStyle w:val="InternetLink"/>
          </w:rPr>
          <w:t>https://doi.org/10.1073/pnas.1704949114</w:t>
        </w:r>
      </w:hyperlink>
      <w:r>
        <w:rPr/>
        <w:t>.</w:t>
      </w:r>
      <w:bookmarkStart w:id="31" w:name="ref-ceballos2017"/>
      <w:bookmarkEnd w:id="31"/>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4">
        <w:r>
          <w:rPr>
            <w:rStyle w:val="InternetLink"/>
          </w:rPr>
          <w:t>https://doi.org/10.1111/tops.12267</w:t>
        </w:r>
      </w:hyperlink>
      <w:r>
        <w:rPr/>
        <w:t>.</w:t>
      </w:r>
      <w:bookmarkStart w:id="32" w:name="ref-chabris2017"/>
      <w:bookmarkEnd w:id="32"/>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5">
        <w:r>
          <w:rPr>
            <w:rStyle w:val="InternetLink"/>
          </w:rPr>
          <w:t>https://doi.org/10.5751/ES-11552-250213</w:t>
        </w:r>
      </w:hyperlink>
      <w:r>
        <w:rPr/>
        <w:t>.</w:t>
      </w:r>
      <w:bookmarkStart w:id="33" w:name="ref-cusack2020"/>
      <w:bookmarkEnd w:id="33"/>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6">
        <w:r>
          <w:rPr>
            <w:rStyle w:val="InternetLink"/>
          </w:rPr>
          <w:t>https://doi.org/10.1111/2041-210X.13091</w:t>
        </w:r>
      </w:hyperlink>
      <w:r>
        <w:rPr/>
        <w:t>.</w:t>
      </w:r>
      <w:bookmarkStart w:id="34" w:name="ref-duthie2018"/>
      <w:bookmarkEnd w:id="34"/>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17">
        <w:r>
          <w:rPr>
            <w:rStyle w:val="InternetLink"/>
          </w:rPr>
          <w:t>https://doi.org/10.1111/cobi.13633</w:t>
        </w:r>
      </w:hyperlink>
      <w:r>
        <w:rPr/>
        <w:t>.</w:t>
      </w:r>
      <w:bookmarkStart w:id="35" w:name="ref-duthie2021"/>
      <w:bookmarkEnd w:id="35"/>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18">
        <w:r>
          <w:rPr>
            <w:rStyle w:val="InternetLink"/>
          </w:rPr>
          <w:t>https://doi.org/10.3389/fpsyg.2019.02846</w:t>
        </w:r>
      </w:hyperlink>
      <w:r>
        <w:rPr/>
        <w:t>.</w:t>
      </w:r>
      <w:bookmarkStart w:id="36" w:name="ref-fjaellingsdal2019"/>
      <w:bookmarkEnd w:id="36"/>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19">
        <w:r>
          <w:rPr>
            <w:rStyle w:val="InternetLink"/>
          </w:rPr>
          <w:t>https://doi.org/10.1126/science.1185802</w:t>
        </w:r>
      </w:hyperlink>
      <w:r>
        <w:rPr/>
        <w:t>.</w:t>
      </w:r>
      <w:bookmarkStart w:id="37" w:name="ref-fryxell2010"/>
      <w:bookmarkEnd w:id="37"/>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0">
        <w:r>
          <w:rPr>
            <w:rStyle w:val="InternetLink"/>
          </w:rPr>
          <w:t>https://doi.org/10.14512/gaia.25.4.13</w:t>
        </w:r>
      </w:hyperlink>
      <w:r>
        <w:rPr/>
        <w:t>.</w:t>
      </w:r>
      <w:bookmarkStart w:id="38" w:name="ref-garcia2016"/>
      <w:bookmarkEnd w:id="38"/>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1">
        <w:r>
          <w:rPr>
            <w:rStyle w:val="InternetLink"/>
          </w:rPr>
          <w:t>https://doi.org/10.1016/j.ecolmodel.2006.04.023</w:t>
        </w:r>
      </w:hyperlink>
      <w:r>
        <w:rPr/>
        <w:t>.</w:t>
      </w:r>
      <w:bookmarkStart w:id="39" w:name="ref-grimm2006"/>
      <w:bookmarkEnd w:id="39"/>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22">
        <w:r>
          <w:rPr>
            <w:rStyle w:val="InternetLink"/>
          </w:rPr>
          <w:t>https://doi.org/10.1038/s41467-020-17785-2</w:t>
        </w:r>
      </w:hyperlink>
      <w:r>
        <w:rPr/>
        <w:t>.</w:t>
      </w:r>
      <w:bookmarkStart w:id="40" w:name="ref-grimm2020"/>
      <w:bookmarkEnd w:id="40"/>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3">
        <w:r>
          <w:rPr>
            <w:rStyle w:val="InternetLink"/>
          </w:rPr>
          <w:t>https://doi.org/10.1016/j.envsoft.2016.10.008</w:t>
        </w:r>
      </w:hyperlink>
      <w:r>
        <w:rPr/>
        <w:t>.</w:t>
      </w:r>
      <w:bookmarkStart w:id="41" w:name="ref-groeneveld2017"/>
      <w:bookmarkEnd w:id="41"/>
    </w:p>
    <w:p>
      <w:pPr>
        <w:pStyle w:val="Bibliography"/>
        <w:rPr/>
      </w:pPr>
      <w:r>
        <w:rPr/>
        <w:t xml:space="preserve">IPCC. 2021. “Climate Change 2021: The Physical Science Basis. Contribution of Working Group i to the Sixth Assessment Report of the Intergovernmental Panel on Climate Change.” </w:t>
      </w:r>
      <w:hyperlink r:id="rId24">
        <w:r>
          <w:rPr>
            <w:rStyle w:val="InternetLink"/>
          </w:rPr>
          <w:t>https://www.ipcc.ch/report/ar6/wg1/</w:t>
        </w:r>
      </w:hyperlink>
      <w:r>
        <w:rPr/>
        <w:t>.</w:t>
      </w:r>
      <w:bookmarkStart w:id="42" w:name="ref-ipcc2021"/>
      <w:bookmarkEnd w:id="42"/>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5">
        <w:r>
          <w:rPr>
            <w:rStyle w:val="InternetLink"/>
          </w:rPr>
          <w:t>https://doi.org/10.1073/pnas.1115898108</w:t>
        </w:r>
      </w:hyperlink>
      <w:r>
        <w:rPr/>
        <w:t>.</w:t>
      </w:r>
      <w:bookmarkStart w:id="43" w:name="ref-khatib2011"/>
      <w:bookmarkEnd w:id="43"/>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26">
        <w:r>
          <w:rPr>
            <w:rStyle w:val="InternetLink"/>
          </w:rPr>
          <w:t>https://doi.org/10.1007/s11077-016-9250-4</w:t>
        </w:r>
      </w:hyperlink>
      <w:r>
        <w:rPr/>
        <w:t>.</w:t>
      </w:r>
      <w:bookmarkStart w:id="44" w:name="ref-kolkman2016"/>
      <w:bookmarkEnd w:id="44"/>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27">
        <w:r>
          <w:rPr>
            <w:rStyle w:val="InternetLink"/>
          </w:rPr>
          <w:t>https://doi.org/10.1038/536143a</w:t>
        </w:r>
      </w:hyperlink>
      <w:r>
        <w:rPr/>
        <w:t>.</w:t>
      </w:r>
      <w:bookmarkStart w:id="45" w:name="ref-maxwell2016a"/>
      <w:bookmarkEnd w:id="45"/>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28">
        <w:r>
          <w:rPr>
            <w:rStyle w:val="InternetLink"/>
          </w:rPr>
          <w:t>https://doi.org/10.5751/ES-08416-210338</w:t>
        </w:r>
      </w:hyperlink>
      <w:r>
        <w:rPr/>
        <w:t>.</w:t>
      </w:r>
      <w:bookmarkStart w:id="46" w:name="ref-meinzen-dick2016"/>
      <w:bookmarkEnd w:id="46"/>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29">
        <w:r>
          <w:rPr>
            <w:rStyle w:val="InternetLink"/>
          </w:rPr>
          <w:t>https://doi.org/10.1098/rstb.2011.0175</w:t>
        </w:r>
      </w:hyperlink>
      <w:r>
        <w:rPr/>
        <w:t>.</w:t>
      </w:r>
      <w:bookmarkStart w:id="47" w:name="ref-milner-gulland2012"/>
      <w:bookmarkEnd w:id="47"/>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0">
        <w:r>
          <w:rPr>
            <w:rStyle w:val="InternetLink"/>
          </w:rPr>
          <w:t>https://doi.org/10.1038/s41562-020-0885-y</w:t>
        </w:r>
      </w:hyperlink>
      <w:r>
        <w:rPr/>
        <w:t>.</w:t>
      </w:r>
      <w:bookmarkStart w:id="48" w:name="ref-orach2020"/>
      <w:bookmarkEnd w:id="48"/>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1">
        <w:r>
          <w:rPr>
            <w:rStyle w:val="InternetLink"/>
          </w:rPr>
          <w:t>https://doi.org/10.1002/pan3.10155</w:t>
        </w:r>
      </w:hyperlink>
      <w:r>
        <w:rPr/>
        <w:t>.</w:t>
      </w:r>
      <w:bookmarkStart w:id="49" w:name="ref-rakotonarivo2021a"/>
      <w:bookmarkEnd w:id="49"/>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2">
        <w:r>
          <w:rPr>
            <w:rStyle w:val="InternetLink"/>
          </w:rPr>
          <w:t>https://doi.org/10.5751/ES-12306-260208</w:t>
        </w:r>
      </w:hyperlink>
      <w:r>
        <w:rPr/>
        <w:t>.</w:t>
      </w:r>
      <w:bookmarkStart w:id="50" w:name="ref-rakotonarivo2021"/>
      <w:bookmarkEnd w:id="50"/>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33">
        <w:r>
          <w:rPr>
            <w:rStyle w:val="InternetLink"/>
          </w:rPr>
          <w:t>https://doi.org/10.1016/j.tree.2018.03.005</w:t>
        </w:r>
      </w:hyperlink>
      <w:r>
        <w:rPr/>
        <w:t>.</w:t>
      </w:r>
      <w:bookmarkStart w:id="51" w:name="ref-redpath2018"/>
      <w:bookmarkEnd w:id="51"/>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34">
        <w:r>
          <w:rPr>
            <w:rStyle w:val="InternetLink"/>
          </w:rPr>
          <w:t>https://doi.org/10.1111/conl.12113</w:t>
        </w:r>
      </w:hyperlink>
      <w:r>
        <w:rPr/>
        <w:t>.</w:t>
      </w:r>
      <w:bookmarkStart w:id="52" w:name="ref-sandbrook2015"/>
      <w:bookmarkEnd w:id="52"/>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35">
        <w:r>
          <w:rPr>
            <w:rStyle w:val="InternetLink"/>
          </w:rPr>
          <w:t>https://doi.org/10.1111/j.1939-7445.2011.00108.x</w:t>
        </w:r>
      </w:hyperlink>
      <w:r>
        <w:rPr/>
        <w:t>.</w:t>
      </w:r>
      <w:bookmarkStart w:id="53" w:name="ref-schlüter2012"/>
      <w:bookmarkEnd w:id="53"/>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36">
        <w:r>
          <w:rPr>
            <w:rStyle w:val="InternetLink"/>
          </w:rPr>
          <w:t>https://doi.org/10.1016/j.ecolmodel.2019.108784</w:t>
        </w:r>
      </w:hyperlink>
      <w:r>
        <w:rPr/>
        <w:t>.</w:t>
      </w:r>
      <w:bookmarkStart w:id="54" w:name="ref-schuwirth2019"/>
      <w:bookmarkEnd w:id="54"/>
    </w:p>
    <w:p>
      <w:pPr>
        <w:pStyle w:val="Bibliography"/>
        <w:rPr/>
      </w:pPr>
      <w:r>
        <w:rPr/>
        <w:t xml:space="preserve">Sipper, Moshe, and Jason H. Moore. 2020. “Gamorithm.” </w:t>
      </w:r>
      <w:r>
        <w:rPr>
          <w:i/>
          <w:iCs/>
        </w:rPr>
        <w:t>IEEE Transactions on Games</w:t>
      </w:r>
      <w:r>
        <w:rPr/>
        <w:t xml:space="preserve"> 12 (1): 115–18. </w:t>
      </w:r>
      <w:hyperlink r:id="rId37">
        <w:r>
          <w:rPr>
            <w:rStyle w:val="InternetLink"/>
          </w:rPr>
          <w:t>https://doi.org/10.1109/TG.2018.2867743</w:t>
        </w:r>
      </w:hyperlink>
      <w:r>
        <w:rPr/>
        <w:t>.</w:t>
      </w:r>
      <w:bookmarkStart w:id="55" w:name="ref-sipper2020"/>
      <w:bookmarkEnd w:id="55"/>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38">
        <w:r>
          <w:rPr>
            <w:rStyle w:val="InternetLink"/>
          </w:rPr>
          <w:t>https://doi.org/10.1038/nbt.4225</w:t>
        </w:r>
      </w:hyperlink>
      <w:r>
        <w:rPr/>
        <w:t>.</w:t>
      </w:r>
      <w:bookmarkStart w:id="56" w:name="ref-sullivan2018"/>
      <w:bookmarkEnd w:id="56"/>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39">
        <w:r>
          <w:rPr>
            <w:rStyle w:val="InternetLink"/>
          </w:rPr>
          <w:t>https://doi.org/10.7717/peerj.4509</w:t>
        </w:r>
      </w:hyperlink>
      <w:r>
        <w:rPr/>
        <w:t>.</w:t>
      </w:r>
      <w:bookmarkStart w:id="57" w:name="ref-tan2018"/>
      <w:bookmarkEnd w:id="57"/>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0">
        <w:r>
          <w:rPr>
            <w:rStyle w:val="InternetLink"/>
          </w:rPr>
          <w:t>https://doi.org/10.3389/fmars.2021.645408</w:t>
        </w:r>
      </w:hyperlink>
      <w:r>
        <w:rPr/>
        <w:t>.</w:t>
      </w:r>
      <w:bookmarkStart w:id="58" w:name="ref-vandenbergh2021"/>
      <w:bookmarkEnd w:id="58"/>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1">
        <w:r>
          <w:rPr>
            <w:rStyle w:val="InternetLink"/>
          </w:rPr>
          <w:t>https://doi.org/10.5751/ES-08139-210139</w:t>
        </w:r>
      </w:hyperlink>
      <w:r>
        <w:rPr/>
        <w:t>.</w:t>
      </w:r>
      <w:bookmarkStart w:id="59" w:name="ref-villamor2016"/>
      <w:bookmarkEnd w:id="59"/>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2">
        <w:r>
          <w:rPr>
            <w:rStyle w:val="InternetLink"/>
          </w:rPr>
          <w:t>https://doi.org/10.1002/pan3.10207</w:t>
        </w:r>
      </w:hyperlink>
      <w:r>
        <w:rPr/>
        <w:t>.</w:t>
      </w:r>
      <w:bookmarkStart w:id="60" w:name="ref-will2021"/>
      <w:bookmarkEnd w:id="60"/>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43">
        <w:r>
          <w:rPr>
            <w:rStyle w:val="InternetLink"/>
          </w:rPr>
          <w:t>https://doi.org/10.1021/acs.est.6b05296</w:t>
        </w:r>
      </w:hyperlink>
      <w:r>
        <w:rPr/>
        <w:t>.</w:t>
      </w:r>
      <w:bookmarkStart w:id="61" w:name="ref-wilting2017"/>
      <w:bookmarkEnd w:id="61"/>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44">
        <w:r>
          <w:rPr>
            <w:rStyle w:val="InternetLink"/>
          </w:rPr>
          <w:t>https://doi.org/10.1016/j.envsoft.2017.09.012</w:t>
        </w:r>
      </w:hyperlink>
      <w:r>
        <w:rPr/>
        <w:t>.</w:t>
      </w:r>
    </w:p>
    <w:sectPr>
      <w:footerReference w:type="default" r:id="rId45"/>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 See </w:t>
      </w:r>
      <w:r>
        <w:rPr>
          <w:b/>
          <w:bCs/>
        </w:rPr>
        <w:t>XXX</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github.com/ConFooBio/gmse/tree/man_control" TargetMode="External"/><Relationship Id="rId4" Type="http://schemas.openxmlformats.org/officeDocument/2006/relationships/hyperlink" Target="https://CRAN.R-project.org/package=shiny" TargetMode="External"/><Relationship Id="rId5" Type="http://schemas.openxmlformats.org/officeDocument/2006/relationships/hyperlink" Target="https://CRAN.R-project.org/package=shinyjs" TargetMode="External"/><Relationship Id="rId6" Type="http://schemas.openxmlformats.org/officeDocument/2006/relationships/hyperlink" Target="https://CRAN.R-project.org/package=shinyBS" TargetMode="External"/><Relationship Id="rId7" Type="http://schemas.openxmlformats.org/officeDocument/2006/relationships/hyperlink" Target="https://CRAN.R-project.org/package=wait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doi.org/10.1111/ddi.12054" TargetMode="External"/><Relationship Id="rId12" Type="http://schemas.openxmlformats.org/officeDocument/2006/relationships/hyperlink" Target="https://doi.org/10.1126/sciadv.140025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111/tops.12267" TargetMode="External"/><Relationship Id="rId15" Type="http://schemas.openxmlformats.org/officeDocument/2006/relationships/hyperlink" Target="https://doi.org/10.5751/ES-11552-250213" TargetMode="External"/><Relationship Id="rId16" Type="http://schemas.openxmlformats.org/officeDocument/2006/relationships/hyperlink" Target="https://doi.org/10.1111/2041-210X.13091" TargetMode="External"/><Relationship Id="rId17" Type="http://schemas.openxmlformats.org/officeDocument/2006/relationships/hyperlink" Target="https://doi.org/10.1111/cobi.13633" TargetMode="External"/><Relationship Id="rId18" Type="http://schemas.openxmlformats.org/officeDocument/2006/relationships/hyperlink" Target="https://doi.org/10.3389/fpsyg.2019.02846" TargetMode="External"/><Relationship Id="rId19" Type="http://schemas.openxmlformats.org/officeDocument/2006/relationships/hyperlink" Target="https://doi.org/10.1126/science.1185802" TargetMode="External"/><Relationship Id="rId20" Type="http://schemas.openxmlformats.org/officeDocument/2006/relationships/hyperlink" Target="https://doi.org/10.14512/gaia.25.4.13" TargetMode="External"/><Relationship Id="rId21" Type="http://schemas.openxmlformats.org/officeDocument/2006/relationships/hyperlink" Target="https://doi.org/10.1016/j.ecolmodel.2006.04.023" TargetMode="External"/><Relationship Id="rId22" Type="http://schemas.openxmlformats.org/officeDocument/2006/relationships/hyperlink" Target="https://doi.org/10.1038/s41467-020-17785-2" TargetMode="External"/><Relationship Id="rId23" Type="http://schemas.openxmlformats.org/officeDocument/2006/relationships/hyperlink" Target="https://doi.org/10.1016/j.envsoft.2016.10.008" TargetMode="External"/><Relationship Id="rId24" Type="http://schemas.openxmlformats.org/officeDocument/2006/relationships/hyperlink" Target="https://www.ipcc.ch/report/ar6/wg1/" TargetMode="External"/><Relationship Id="rId25" Type="http://schemas.openxmlformats.org/officeDocument/2006/relationships/hyperlink" Target="https://doi.org/10.1073/pnas.1115898108" TargetMode="External"/><Relationship Id="rId26" Type="http://schemas.openxmlformats.org/officeDocument/2006/relationships/hyperlink" Target="https://doi.org/10.1007/s11077-016-9250-4" TargetMode="External"/><Relationship Id="rId27" Type="http://schemas.openxmlformats.org/officeDocument/2006/relationships/hyperlink" Target="https://doi.org/10.1038/536143a" TargetMode="External"/><Relationship Id="rId28" Type="http://schemas.openxmlformats.org/officeDocument/2006/relationships/hyperlink" Target="https://doi.org/10.5751/ES-08416-210338" TargetMode="External"/><Relationship Id="rId29" Type="http://schemas.openxmlformats.org/officeDocument/2006/relationships/hyperlink" Target="https://doi.org/10.1098/rstb.2011.0175" TargetMode="External"/><Relationship Id="rId30" Type="http://schemas.openxmlformats.org/officeDocument/2006/relationships/hyperlink" Target="https://doi.org/10.1038/s41562-020-0885-y" TargetMode="External"/><Relationship Id="rId31" Type="http://schemas.openxmlformats.org/officeDocument/2006/relationships/hyperlink" Target="https://doi.org/10.1002/pan3.10155" TargetMode="External"/><Relationship Id="rId32" Type="http://schemas.openxmlformats.org/officeDocument/2006/relationships/hyperlink" Target="https://doi.org/10.5751/ES-12306-260208" TargetMode="External"/><Relationship Id="rId33" Type="http://schemas.openxmlformats.org/officeDocument/2006/relationships/hyperlink" Target="https://doi.org/10.1016/j.tree.2018.03.005" TargetMode="External"/><Relationship Id="rId34" Type="http://schemas.openxmlformats.org/officeDocument/2006/relationships/hyperlink" Target="https://doi.org/10.1111/conl.12113" TargetMode="External"/><Relationship Id="rId35" Type="http://schemas.openxmlformats.org/officeDocument/2006/relationships/hyperlink" Target="https://doi.org/10.1111/j.1939-7445.2011.00108.x" TargetMode="External"/><Relationship Id="rId36" Type="http://schemas.openxmlformats.org/officeDocument/2006/relationships/hyperlink" Target="https://doi.org/10.1016/j.ecolmodel.2019.108784" TargetMode="External"/><Relationship Id="rId37" Type="http://schemas.openxmlformats.org/officeDocument/2006/relationships/hyperlink" Target="https://doi.org/10.1109/TG.2018.2867743" TargetMode="External"/><Relationship Id="rId38" Type="http://schemas.openxmlformats.org/officeDocument/2006/relationships/hyperlink" Target="https://doi.org/10.1038/nbt.4225" TargetMode="External"/><Relationship Id="rId39" Type="http://schemas.openxmlformats.org/officeDocument/2006/relationships/hyperlink" Target="https://doi.org/10.7717/peerj.4509" TargetMode="External"/><Relationship Id="rId40" Type="http://schemas.openxmlformats.org/officeDocument/2006/relationships/hyperlink" Target="https://doi.org/10.3389/fmars.2021.645408" TargetMode="External"/><Relationship Id="rId41" Type="http://schemas.openxmlformats.org/officeDocument/2006/relationships/hyperlink" Target="https://doi.org/10.5751/ES-08139-210139" TargetMode="External"/><Relationship Id="rId42" Type="http://schemas.openxmlformats.org/officeDocument/2006/relationships/hyperlink" Target="https://doi.org/10.1002/pan3.10207" TargetMode="External"/><Relationship Id="rId43" Type="http://schemas.openxmlformats.org/officeDocument/2006/relationships/hyperlink" Target="https://doi.org/10.1021/acs.est.6b05296" TargetMode="External"/><Relationship Id="rId44" Type="http://schemas.openxmlformats.org/officeDocument/2006/relationships/hyperlink" Target="https://doi.org/10.1016/j.envsoft.2017.09.012" TargetMode="External"/><Relationship Id="rId45" Type="http://schemas.openxmlformats.org/officeDocument/2006/relationships/footer" Target="footer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2021-08-19T11:58:01Z</dcterms:created>
  <dc:creator/>
  <dc:description/>
  <dc:language>en-GB</dc:language>
  <cp:lastModifiedBy>Jeroen Minderman</cp:lastModifiedBy>
  <dcterms:modified xsi:type="dcterms:W3CDTF">2021-08-19T12:59:16Z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