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Heading1"/>
        <w:rPr/>
      </w:pPr>
      <w:r>
        <w:rPr/>
        <w:t>Summary</w:t>
      </w:r>
      <w:bookmarkStart w:id="0" w:name="summary"/>
      <w:bookmarkEnd w:id="0"/>
    </w:p>
    <w:p>
      <w:pPr>
        <w:pStyle w:val="Heading1"/>
        <w:rPr/>
      </w:pPr>
      <w:r>
        <w:rPr/>
        <w:t>Introduction</w:t>
      </w:r>
    </w:p>
    <w:p>
      <w:pPr>
        <w:pStyle w:val="FirstParagraph"/>
        <w:rPr/>
      </w:pPr>
      <w:r>
        <w:rPr/>
        <w:t>In recent years, the use and application of models has become widespread and indispensable in conservation science, ranging from demonstrating the likely effects of climate change (</w:t>
      </w:r>
      <w:hyperlink w:anchor="ref-ipcc2021">
        <w:r>
          <w:rPr>
            <w:rStyle w:val="InternetLink"/>
          </w:rPr>
          <w:t>IPCC 2021</w:t>
        </w:r>
      </w:hyperlink>
      <w:r>
        <w:rPr/>
        <w:t xml:space="preserve">) to supporting the understanding of fundamental processes in natural resource management (e.g.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Although a number of drivers of biodiversity loss have been identified (e.g. </w:t>
      </w:r>
      <w:hyperlink w:anchor="ref-maxwell2016a">
        <w:r>
          <w:rPr>
            <w:rStyle w:val="InternetLink"/>
          </w:rPr>
          <w:t>Maxwell et al. 2016</w:t>
        </w:r>
      </w:hyperlink>
      <w:r>
        <w:rPr/>
        <w:t xml:space="preserve">), one of the most prevalent and widespread ones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is reliant as much on understanding resource dynamics as it is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Thus, the development of socio-ecological models in which natural resource dynamics and human decision making interact is becoming increasingly urgent.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modelling efforts represent significant progress in modelling complex socio-ecological systems, their increased complexity poses to two, interlinked, challenges. First, models are often difficult to communicate clearly to non-specialist audiences in the first place, and this challenge increases with model complexity (</w:t>
      </w:r>
      <w:hyperlink w:anchor="ref-grimm2006">
        <w:r>
          <w:rPr>
            <w:rStyle w:val="InternetLink"/>
          </w:rPr>
          <w:t>Grimm et al. 2006</w:t>
        </w:r>
      </w:hyperlink>
      <w:r>
        <w:rPr/>
        <w:t xml:space="preserve">). This is particularly important for models for resource use in socio-ecological systems, as they are often specifically intended for use by managers or stakeholders who may lack technical expertise. Much has been said about improving the uptake of models in such settings (e.g.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being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xml:space="preserve">; </w:t>
      </w:r>
      <w:hyperlink w:anchor="ref-fjaellingsdal2019">
        <w:r>
          <w:rPr>
            <w:rStyle w:val="InternetLink"/>
          </w:rPr>
          <w:t>Fjaellingsdal and Kloeckner 2019</w:t>
        </w:r>
      </w:hyperlink>
      <w:r>
        <w:rPr/>
        <w:t>). Given this long history, it is striking that the parallels between games (particularly videogames) and models are not discussed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2"/>
      </w:r>
      <w:r>
        <w:rPr/>
        <w:t>. It is notable that this “gamesourcing” or “Gamorithm” (</w:t>
      </w:r>
      <w:hyperlink w:anchor="ref-sipper2020">
        <w:r>
          <w:rPr>
            <w:rStyle w:val="InternetLink"/>
          </w:rPr>
          <w:t>Sipper and Moore 2020</w:t>
        </w:r>
      </w:hyperlink>
      <w:r>
        <w:rPr/>
        <w:t>) approach has already been widely used in a number of other fields (e.g. crowdsourcing accurate protein-structure models (</w:t>
      </w:r>
      <w:hyperlink w:anchor="ref-khatib2011">
        <w:r>
          <w:rPr>
            <w:rStyle w:val="InternetLink"/>
          </w:rPr>
          <w:t>Khatib et al. 2011</w:t>
        </w:r>
      </w:hyperlink>
      <w:r>
        <w:rPr/>
        <w:t>),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here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rPr/>
      </w:pPr>
      <w:r>
        <w:rPr/>
        <w:t>Outline of approach</w:t>
      </w:r>
    </w:p>
    <w:p>
      <w:pPr>
        <w:pStyle w:val="FirstParagraph"/>
        <w:rPr/>
      </w:pPr>
      <w:hyperlink r:id="rId2">
        <w:r>
          <w:rPr>
            <w:rStyle w:val="InternetLink"/>
          </w:rPr>
          <w:t>A&amp;F is available to play online</w:t>
        </w:r>
      </w:hyperlink>
      <w:r>
        <w:rPr/>
        <w:t>.</w:t>
      </w:r>
    </w:p>
    <w:p>
      <w:pPr>
        <w:pStyle w:val="TextBody"/>
        <w:rPr/>
      </w:pPr>
      <w:r>
        <w:rPr/>
        <w:t>Overall, it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“vanilla” GMSE set up.</w:t>
      </w:r>
    </w:p>
    <w:p>
      <w:pPr>
        <w:pStyle w:val="Heading2"/>
        <w:ind w:left="0" w:right="0" w:hanging="0"/>
        <w:rPr/>
      </w:pPr>
      <w:r>
        <w:rPr/>
        <w:t>Underlying model: GMSE</w:t>
      </w:r>
    </w:p>
    <w:p>
      <w:pPr>
        <w:pStyle w:val="Heading3"/>
        <w:rPr/>
      </w:pPr>
      <w:r>
        <w:rPr/>
        <w:t>Basic introduction of GMSE principles and structures</w:t>
      </w:r>
      <w:bookmarkStart w:id="2" w:name="X661808d150ab65b64bbf7eca0b36a8bee1a312a"/>
      <w:bookmarkEnd w:id="2"/>
    </w:p>
    <w:p>
      <w:pPr>
        <w:pStyle w:val="Heading3"/>
        <w:rPr/>
      </w:pPr>
      <w:r>
        <w:rPr/>
        <w:t>Brief discussion of limitations of GMSE</w:t>
      </w:r>
      <w:bookmarkStart w:id="3" w:name="underlying-model-gmse"/>
      <w:bookmarkStart w:id="4" w:name="brief-discussion-of-limitations-of-gmse"/>
      <w:bookmarkEnd w:id="3"/>
      <w:bookmarkEnd w:id="4"/>
    </w:p>
    <w:p>
      <w:pPr>
        <w:pStyle w:val="Heading2"/>
        <w:ind w:left="0" w:right="0" w:hanging="0"/>
        <w:rPr/>
      </w:pPr>
      <w:r>
        <w:rPr/>
        <w:t>Animal&amp;Farm</w:t>
      </w:r>
    </w:p>
    <w:p>
      <w:pPr>
        <w:pStyle w:val="Heading3"/>
        <w:rPr/>
      </w:pPr>
      <w:r>
        <w:rPr/>
        <w:t>Structure as relating to GMSE</w:t>
      </w:r>
    </w:p>
    <w:p>
      <w:pPr>
        <w:pStyle w:val="FirstParagraph"/>
        <w:rPr/>
      </w:pPr>
      <w:r>
        <w:rPr/>
        <w:t xml:space="preserve">In the default implementation of GMSE 0.6.2.0, a single time </w:t>
      </w:r>
      <w:r>
        <w:rPr/>
      </w:r>
      <m:oMath xmlns:m="http://schemas.openxmlformats.org/officeDocument/2006/math">
        <m:r>
          <w:rPr>
            <w:rFonts w:ascii="Cambria Math" w:hAnsi="Cambria Math"/>
          </w:rPr>
          <m:t xml:space="preserve">t</m:t>
        </m:r>
      </m:oMath>
      <w:r>
        <w:rPr/>
        <w:t xml:space="preserve"> step consists of a series of calls to the resource model, observation model, management model and user model, in that specific order; in other words, a time step ends after user actions have been chosen (by the GA) and implemented [</w:t>
      </w:r>
      <w:r>
        <w:rPr>
          <w:b/>
          <w:bCs/>
        </w:rPr>
        <w:t>FIG Xa</w:t>
      </w:r>
      <w:r>
        <w:rPr/>
        <w:t>]. To allow players to assess the environment and interactively choose management actions, A&amp;F uses a modified version of GMSE.</w:t>
      </w:r>
    </w:p>
    <w:p>
      <w:pPr>
        <w:pStyle w:val="TextBody"/>
        <w:rPr/>
      </w:pPr>
      <w:r>
        <w:rPr/>
        <w:t xml:space="preserve">A&amp;F uses a development version of GMSE (v. 0.6.2.0, implemented in R version 4.1.0 (2021-05-18), code available </w:t>
      </w:r>
      <w:hyperlink r:id="rId3">
        <w:r>
          <w:rPr>
            <w:rStyle w:val="InternetLink"/>
          </w:rPr>
          <w:t>here</w:t>
        </w:r>
      </w:hyperlink>
      <w:r>
        <w:rPr/>
        <w:t xml:space="preserve"> in which the management model is replaced by user (player) inputs, and the order of operations is altered to accommodate this. 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
          <w:bCs/>
        </w:rPr>
        <w:t>see below</w:t>
      </w:r>
      <w:r>
        <w:rPr/>
        <w:t>). These time steps are followed by a “partial” time step where only the resource and observation models are run, skipping the management and user models. As a result, at the end of these initial time steps (</w:t>
      </w:r>
      <w:r>
        <w:fldChar w:fldCharType="begin"/>
      </w:r>
      <w:r>
        <w:rPr>
          <w:rStyle w:val="VerbatimChar"/>
        </w:rPr>
        <w:instrText> HYPERLINK "./%5B%60https://github.com/ConFooBio/gmse/blob/0e8aab2fb325421915a7c3615820812e45f42a74/R/gmse_apply_control.R" \l "L368`%5D(https://github.com/ConFooBio/gmse/blob/0e8aab2fb325421915a7c3615820812e45f42a74/R/gmse_apply_control.R%23L368)"</w:instrText>
      </w:r>
      <w:r>
        <w:rPr>
          <w:rStyle w:val="VerbatimChar"/>
        </w:rPr>
        <w:fldChar w:fldCharType="separate"/>
      </w:r>
      <w:r>
        <w:rPr>
          <w:rStyle w:val="VerbatimChar"/>
        </w:rPr>
        <w:t>init_man_control()</w:t>
      </w:r>
      <w:r>
        <w:rPr>
          <w:rStyle w:val="VerbatimChar"/>
        </w:rPr>
        <w:fldChar w:fldCharType="end"/>
      </w:r>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 input. This is done both to set up all the required GMSE data structures using existing code, as well as to provide the player with a short time series on which to base management decisions going forward.</w:t>
      </w:r>
    </w:p>
    <w:p>
      <w:pPr>
        <w:pStyle w:val="TextBody"/>
        <w:rPr/>
      </w:pPr>
      <w:r>
        <w:rPr/>
        <w:t>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w:t>
      </w:r>
      <w:r>
        <w:rPr>
          <w:b/>
          <w:bCs/>
        </w:rPr>
        <w:t>FIG Xb</w:t>
      </w:r>
      <w:r>
        <w:rPr/>
        <w:t xml:space="preserve">]. </w:t>
      </w:r>
      <w:bookmarkStart w:id="5" w:name="structure-as-relating-to-gmse"/>
      <w:bookmarkEnd w:id="5"/>
    </w:p>
    <w:p>
      <w:pPr>
        <w:pStyle w:val="Heading3"/>
        <w:rPr/>
      </w:pPr>
      <w:r>
        <w:rPr/>
        <w:t>User interface</w:t>
      </w:r>
    </w:p>
    <w:p>
      <w:pPr>
        <w:pStyle w:val="FirstParagraph"/>
        <w:rPr/>
      </w:pPr>
      <w:r>
        <w:rPr/>
        <w:t xml:space="preserve">The user interface for A&amp;F is a web application is coded in R, using </w:t>
      </w:r>
      <w:hyperlink r:id="rId4">
        <w:r>
          <w:rPr>
            <w:rStyle w:val="VerbatimChar"/>
          </w:rPr>
          <w:t>Shiny</w:t>
        </w:r>
      </w:hyperlink>
      <w:r>
        <w:rPr/>
        <w:t xml:space="preserve"> (1.6.0), and packages </w:t>
      </w:r>
      <w:hyperlink r:id="rId5">
        <w:r>
          <w:rPr>
            <w:rStyle w:val="VerbatimChar"/>
          </w:rPr>
          <w:t>shinyjs</w:t>
        </w:r>
      </w:hyperlink>
      <w:r>
        <w:rPr/>
        <w:t xml:space="preserve"> (2.0.0), </w:t>
      </w:r>
      <w:hyperlink r:id="rId6">
        <w:r>
          <w:rPr>
            <w:rStyle w:val="VerbatimChar"/>
          </w:rPr>
          <w:t>shinyBS</w:t>
        </w:r>
      </w:hyperlink>
      <w:r>
        <w:rPr/>
        <w:t xml:space="preserve"> (0.61), and </w:t>
      </w:r>
      <w:hyperlink r:id="rId7">
        <w:r>
          <w:rPr>
            <w:rStyle w:val="VerbatimChar"/>
          </w:rPr>
          <w:t>waiter</w:t>
        </w:r>
      </w:hyperlink>
      <w:r>
        <w:rPr/>
        <w:t xml:space="preserve"> (0.2.2).</w:t>
      </w:r>
    </w:p>
    <w:p>
      <w:pPr>
        <w:pStyle w:val="TextBody"/>
        <w:rPr/>
      </w:pPr>
      <w:r>
        <w:rPr/>
        <w:t>On starting a new game session, the player is presented with a series of introductory screens explaining the background, flow and objective of the game , after which they are asked to enter a player name, which is stored and used to show player scores as the end of a session, compared to previous sessions by other players.</w:t>
      </w:r>
    </w:p>
    <w:p>
      <w:pPr>
        <w:pStyle w:val="TextBody"/>
        <w:rPr/>
      </w:pPr>
      <w:r>
        <w:rPr/>
        <w:t>The main game screen consists of four components (</w:t>
      </w:r>
      <w:r>
        <w:rPr>
          <w:b/>
          <w:bCs/>
        </w:rPr>
        <w:t>FIG X</w:t>
      </w:r>
      <w:r>
        <w:rPr/>
        <w:t>). First, a trajectory plot (</w:t>
      </w:r>
      <w:r>
        <w:rPr>
          <w:b/>
          <w:bCs/>
        </w:rPr>
        <w:t>Fig Xa</w:t>
      </w:r>
      <w:r>
        <w:rPr/>
        <w:t xml:space="preserve">)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w:t>
      </w:r>
      <w:r>
        <w:rPr>
          <w:b/>
          <w:bCs/>
        </w:rPr>
        <w:t>Fig Xb</w:t>
      </w:r>
      <w:r>
        <w:rPr/>
        <w:t xml:space="preserve">)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w:t>
      </w:r>
      <w:r>
        <w:rPr>
          <w:b/>
          <w:bCs/>
        </w:rPr>
        <w:t>Fig Xc</w:t>
      </w:r>
      <w:r>
        <w:rPr/>
        <w:t>). Fourth, a report of the current management budget available (not allocated), player scores (</w:t>
      </w:r>
      <w:r>
        <w:rPr>
          <w:b/>
          <w:bCs/>
        </w:rPr>
        <w:t>see below</w:t>
      </w:r>
      <w:r>
        <w:rPr/>
        <w:t>), and player inputs (</w:t>
      </w:r>
      <w:r>
        <w:rPr>
          <w:b/>
          <w:bCs/>
        </w:rPr>
        <w:t>Fig Xd</w:t>
      </w:r>
      <w:r>
        <w:rPr/>
        <w:t>). The player (manager) inputs consist of two sliders, setting the cost for two out of the three actions available</w:t>
      </w:r>
      <w:r>
        <w:rPr>
          <w:rStyle w:val="FootnoteAnchor"/>
        </w:rPr>
        <w:footnoteReference w:id="3"/>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4"/>
      </w:r>
      <w:r>
        <w:rPr/>
        <w:t xml:space="preserve"> affected by the manager (player), so no input is available for this .</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w:t>
      </w:r>
      <w:r>
        <w:rPr>
          <w:b/>
          <w:bCs/>
        </w:rPr>
        <w:t>see below</w:t>
      </w:r>
      <w:r>
        <w:rPr/>
        <w:t>),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6" w:name="user-interface"/>
      <w:bookmarkEnd w:id="6"/>
    </w:p>
    <w:p>
      <w:pPr>
        <w:pStyle w:val="Heading3"/>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w:t>
      </w:r>
    </w:p>
    <w:p>
      <w:pPr>
        <w:pStyle w:val="TextBody"/>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xml:space="preserve">) on the one hand, and overall agricultural yield (“yield score,”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true size of the animal population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and landscape yield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with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calculated as the mean yield over all landscape cells at time </w:t>
      </w:r>
      <w:r>
        <w:rPr/>
      </w:r>
      <m:oMath xmlns:m="http://schemas.openxmlformats.org/officeDocument/2006/math">
        <m:r>
          <w:rPr>
            <w:rFonts w:ascii="Cambria Math" w:hAnsi="Cambria Math"/>
          </w:rPr>
          <m:t xml:space="preserve">t</m:t>
        </m:r>
      </m:oMath>
      <w:r>
        <w:rPr/>
        <w:t xml:space="preserve"> . Players can choose to either balance both scores, or score highly on one or the other.</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m:t>
            </m:r>
            <m:f>
              <m:num>
                <m:sSub>
                  <m:e>
                    <m:r>
                      <w:rPr>
                        <w:rFonts w:ascii="Cambria Math" w:hAnsi="Cambria Math"/>
                      </w:rPr>
                      <m:t xml:space="preserve">N</m:t>
                    </m:r>
                  </m:e>
                  <m:sub>
                    <m:r>
                      <w:rPr>
                        <w:rFonts w:ascii="Cambria Math" w:hAnsi="Cambria Math"/>
                      </w:rPr>
                      <m:t xml:space="preserve">t</m:t>
                    </m:r>
                  </m:sub>
                </m:sSub>
              </m:num>
              <m:den>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5</m:t>
                    </m:r>
                  </m:sub>
                </m:sSub>
              </m:den>
            </m:f>
          </m:num>
          <m:den>
            <m:r>
              <w:rPr>
                <w:rFonts w:ascii="Cambria Math" w:hAnsi="Cambria Math"/>
              </w:rPr>
              <m:t xml:space="preserve">t</m:t>
            </m:r>
          </m:den>
        </m:f>
      </m:oMath>
      <w:r>
        <w:rPr/>
        <w:t xml:space="preserve"> </w:t>
      </w:r>
      <w:r>
        <w:rPr/>
        <w:t xml:space="preserve">and $S_t=\frac{\sum{y_t}{t}$ 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w:t>
      </w:r>
      <w:bookmarkStart w:id="7" w:name="game-objective-scores-and-scoreboard"/>
      <w:bookmarkEnd w:id="7"/>
    </w:p>
    <w:p>
      <w:pPr>
        <w:pStyle w:val="Heading3"/>
        <w:rPr/>
      </w:pPr>
      <w:r>
        <w:rPr/>
        <w:t>Database “back end”</w:t>
      </w:r>
      <w:bookmarkStart w:id="8" w:name="database-back-end"/>
      <w:bookmarkEnd w:id="8"/>
    </w:p>
    <w:p>
      <w:pPr>
        <w:pStyle w:val="Heading3"/>
        <w:rPr/>
      </w:pPr>
      <w:r>
        <w:rPr/>
        <w:t>“</w:t>
      </w:r>
      <w:r>
        <w:rPr/>
        <w:t xml:space="preserve">Sandbox” for </w:t>
      </w:r>
      <w:r>
        <w:rPr>
          <w:i/>
          <w:iCs/>
        </w:rPr>
        <w:t>in silico</w:t>
      </w:r>
      <w:r>
        <w:rPr/>
        <w:t xml:space="preserve"> experiments</w:t>
      </w:r>
    </w:p>
    <w:p>
      <w:pPr>
        <w:pStyle w:val="FirstParagraph"/>
        <w:rPr/>
      </w:pPr>
      <w:r>
        <w:rPr/>
        <w:t>Expandability of parameter variation</w:t>
      </w:r>
    </w:p>
    <w:p>
      <w:pPr>
        <w:pStyle w:val="TextBody"/>
        <w:rPr/>
      </w:pPr>
      <w:r>
        <w:rPr/>
        <w:t>Setting up “scenarios” to test specific hypotheses/predictions</w:t>
      </w:r>
      <w:bookmarkStart w:id="9" w:name="outline-of-approach"/>
      <w:bookmarkStart w:id="10" w:name="animalfarm"/>
      <w:bookmarkStart w:id="11" w:name="sandbox-for-in-silico-experiments"/>
      <w:bookmarkEnd w:id="9"/>
      <w:bookmarkEnd w:id="10"/>
      <w:bookmarkEnd w:id="11"/>
    </w:p>
    <w:p>
      <w:pPr>
        <w:pStyle w:val="Heading1"/>
        <w:rPr/>
      </w:pPr>
      <w:r>
        <w:rPr/>
        <w:t>Example application</w:t>
      </w:r>
    </w:p>
    <w:p>
      <w:pPr>
        <w:pStyle w:val="Heading2"/>
        <w:ind w:left="0" w:right="0" w:hanging="0"/>
        <w:rPr/>
      </w:pPr>
      <w:r>
        <w:rPr/>
        <w:t>Note on ethics approval</w:t>
      </w:r>
      <w:bookmarkStart w:id="12" w:name="note-on-ethics-approval"/>
      <w:bookmarkEnd w:id="12"/>
    </w:p>
    <w:p>
      <w:pPr>
        <w:pStyle w:val="Heading2"/>
        <w:ind w:left="0" w:right="0" w:hanging="0"/>
        <w:rPr/>
      </w:pPr>
      <w:r>
        <w:rPr/>
        <w:t>Methods/rationale for scenario set up</w:t>
      </w:r>
      <w:bookmarkStart w:id="13" w:name="methodsrationale-for-scenario-set-up"/>
      <w:bookmarkEnd w:id="13"/>
    </w:p>
    <w:p>
      <w:pPr>
        <w:pStyle w:val="Heading2"/>
        <w:ind w:left="0" w:right="0" w:hanging="0"/>
        <w:rPr/>
      </w:pPr>
      <w:r>
        <w:rPr/>
        <w:t>Illustrative results</w:t>
      </w:r>
      <w:bookmarkStart w:id="14" w:name="illustrative-results"/>
      <w:bookmarkEnd w:id="14"/>
    </w:p>
    <w:p>
      <w:pPr>
        <w:pStyle w:val="Heading2"/>
        <w:ind w:left="0" w:right="0" w:hanging="0"/>
        <w:rPr/>
      </w:pPr>
      <w:r>
        <w:rPr/>
        <w:t>Summary of player feedback</w:t>
      </w:r>
    </w:p>
    <w:p>
      <w:pPr>
        <w:pStyle w:val="Heading3"/>
        <w:rPr/>
      </w:pPr>
      <w:r>
        <w:rPr/>
      </w:r>
      <w:bookmarkStart w:id="15" w:name="example-application"/>
      <w:bookmarkStart w:id="16" w:name="summary-of-player-feedback"/>
      <w:bookmarkStart w:id="17" w:name="section"/>
      <w:bookmarkStart w:id="18" w:name="example-application"/>
      <w:bookmarkStart w:id="19" w:name="summary-of-player-feedback"/>
      <w:bookmarkStart w:id="20" w:name="section"/>
      <w:bookmarkEnd w:id="18"/>
      <w:bookmarkEnd w:id="19"/>
      <w:bookmarkEnd w:id="20"/>
    </w:p>
    <w:p>
      <w:pPr>
        <w:pStyle w:val="Heading1"/>
        <w:rPr/>
      </w:pPr>
      <w:r>
        <w:rPr/>
        <w:t>Discussion</w:t>
      </w:r>
    </w:p>
    <w:p>
      <w:pPr>
        <w:pStyle w:val="Heading2"/>
        <w:ind w:left="0" w:right="0" w:hanging="0"/>
        <w:rPr/>
      </w:pPr>
      <w:r>
        <w:rPr/>
        <w:t>Brief summary of aims, process and outcome of example scenarios</w:t>
      </w:r>
      <w:bookmarkStart w:id="21" w:name="Xa9535846b2adfd25e25fac9f5c27e9bf4361617"/>
      <w:bookmarkEnd w:id="21"/>
    </w:p>
    <w:p>
      <w:pPr>
        <w:pStyle w:val="Heading2"/>
        <w:ind w:left="0" w:right="0" w:hanging="0"/>
        <w:rPr/>
      </w:pPr>
      <w:r>
        <w:rPr/>
        <w:t>Revisit player feedback</w:t>
      </w:r>
      <w:bookmarkStart w:id="22" w:name="revisit-player-feedback"/>
      <w:bookmarkEnd w:id="22"/>
    </w:p>
    <w:p>
      <w:pPr>
        <w:pStyle w:val="Heading2"/>
        <w:ind w:left="0" w:right="0" w:hanging="0"/>
        <w:rPr/>
      </w:pPr>
      <w:r>
        <w:rPr/>
        <w:t>Discussion of limitations of overall approach, with reference to player feedback</w:t>
      </w:r>
      <w:bookmarkStart w:id="23" w:name="Xf0fe130512899828161ec518a4f286486541478"/>
      <w:bookmarkEnd w:id="23"/>
    </w:p>
    <w:p>
      <w:pPr>
        <w:pStyle w:val="Heading2"/>
        <w:ind w:left="0" w:right="0" w:hanging="0"/>
        <w:rPr/>
      </w:pPr>
      <w:r>
        <w:rPr/>
        <w:t>(Potentially general discussion of issues with games approach?)</w:t>
      </w:r>
      <w:bookmarkStart w:id="24" w:name="X3f20906c92819e45bf354eb538df34603a1721f"/>
      <w:bookmarkEnd w:id="24"/>
    </w:p>
    <w:p>
      <w:pPr>
        <w:pStyle w:val="Heading2"/>
        <w:ind w:left="0" w:right="0" w:hanging="0"/>
        <w:rPr/>
      </w:pPr>
      <w:r>
        <w:rPr/>
        <w:t>Discussion of potential</w:t>
      </w:r>
    </w:p>
    <w:p>
      <w:pPr>
        <w:pStyle w:val="Heading3"/>
        <w:rPr/>
      </w:pPr>
      <w:r>
        <w:rPr/>
        <w:t>Communication/education: highlight player feedback as very point of approach: game may be abstract, restrictive and not representative of reality, but this is case for any model, yet latter point often “hidden.” By taking game approach, shortcomings more obvious to non-specialists.</w:t>
      </w:r>
      <w:bookmarkStart w:id="25" w:name="X02b85aca5402857f548d73fbc28a4cbb84b051f"/>
      <w:bookmarkEnd w:id="25"/>
    </w:p>
    <w:p>
      <w:pPr>
        <w:pStyle w:val="Heading3"/>
        <w:rPr/>
      </w:pPr>
      <w:r>
        <w:rPr/>
        <w:t>Yes, problematic when expecting direct application to real life, but again this is/should be clear for all models.</w:t>
      </w:r>
      <w:bookmarkStart w:id="26" w:name="Xdd946997f7007cf539ea75c2dc05801b1d23efe"/>
      <w:bookmarkEnd w:id="26"/>
    </w:p>
    <w:p>
      <w:pPr>
        <w:pStyle w:val="Heading3"/>
        <w:rPr/>
      </w:pPr>
      <w:r>
        <w:rPr/>
        <w:t>Highlight expandability of approach, sandboxing ideas in flexible simulated environment</w:t>
      </w:r>
      <w:bookmarkStart w:id="27" w:name="discussion-of-potential"/>
      <w:bookmarkStart w:id="28" w:name="X7e54ea71f1e27e050e97c54af9b9f891788b8b0"/>
      <w:bookmarkEnd w:id="27"/>
      <w:bookmarkEnd w:id="28"/>
    </w:p>
    <w:p>
      <w:pPr>
        <w:pStyle w:val="Heading2"/>
        <w:ind w:left="0" w:right="0" w:hanging="0"/>
        <w:rPr/>
      </w:pPr>
      <w:r>
        <w:rPr/>
      </w:r>
      <w:bookmarkStart w:id="29" w:name="discussion"/>
      <w:bookmarkStart w:id="30" w:name="section-1"/>
      <w:bookmarkStart w:id="31" w:name="discussion"/>
      <w:bookmarkStart w:id="32" w:name="section-1"/>
      <w:bookmarkEnd w:id="31"/>
      <w:bookmarkEnd w:id="32"/>
    </w:p>
    <w:p>
      <w:pPr>
        <w:pStyle w:val="Heading1"/>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8">
        <w:r>
          <w:rPr>
            <w:rStyle w:val="InternetLink"/>
          </w:rPr>
          <w:t>https://doi.org/10.1111/ddi.12054</w:t>
        </w:r>
      </w:hyperlink>
      <w:r>
        <w:rPr/>
        <w:t>.</w:t>
      </w:r>
      <w:bookmarkStart w:id="33" w:name="ref-addison2013"/>
      <w:bookmarkEnd w:id="33"/>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9">
        <w:r>
          <w:rPr>
            <w:rStyle w:val="InternetLink"/>
          </w:rPr>
          <w:t>https://doi.org/10.1126/sciadv.1400253</w:t>
        </w:r>
      </w:hyperlink>
      <w:r>
        <w:rPr/>
        <w:t>.</w:t>
      </w:r>
      <w:bookmarkStart w:id="34" w:name="ref-ceballos2015"/>
      <w:bookmarkEnd w:id="34"/>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10">
        <w:r>
          <w:rPr>
            <w:rStyle w:val="InternetLink"/>
          </w:rPr>
          <w:t>https://doi.org/10.1073/pnas.1704949114</w:t>
        </w:r>
      </w:hyperlink>
      <w:r>
        <w:rPr/>
        <w:t>.</w:t>
      </w:r>
      <w:bookmarkStart w:id="35" w:name="ref-ceballos2017"/>
      <w:bookmarkEnd w:id="35"/>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11">
        <w:r>
          <w:rPr>
            <w:rStyle w:val="InternetLink"/>
          </w:rPr>
          <w:t>https://doi.org/10.1111/tops.12267</w:t>
        </w:r>
      </w:hyperlink>
      <w:r>
        <w:rPr/>
        <w:t>.</w:t>
      </w:r>
      <w:bookmarkStart w:id="36" w:name="ref-chabris2017"/>
      <w:bookmarkEnd w:id="36"/>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12">
        <w:r>
          <w:rPr>
            <w:rStyle w:val="InternetLink"/>
          </w:rPr>
          <w:t>https://doi.org/10.5751/ES-11552-250213</w:t>
        </w:r>
      </w:hyperlink>
      <w:r>
        <w:rPr/>
        <w:t>.</w:t>
      </w:r>
      <w:bookmarkStart w:id="37" w:name="ref-cusack2020"/>
      <w:bookmarkEnd w:id="37"/>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13">
        <w:r>
          <w:rPr>
            <w:rStyle w:val="InternetLink"/>
          </w:rPr>
          <w:t>https://doi.org/10.1111/2041-210X.13091</w:t>
        </w:r>
      </w:hyperlink>
      <w:r>
        <w:rPr/>
        <w:t>.</w:t>
      </w:r>
      <w:bookmarkStart w:id="38" w:name="ref-duthie2018"/>
      <w:bookmarkEnd w:id="38"/>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14">
        <w:r>
          <w:rPr>
            <w:rStyle w:val="InternetLink"/>
          </w:rPr>
          <w:t>https://doi.org/10.1111/cobi.13633</w:t>
        </w:r>
      </w:hyperlink>
      <w:r>
        <w:rPr/>
        <w:t>.</w:t>
      </w:r>
      <w:bookmarkStart w:id="39" w:name="ref-duthie2021"/>
      <w:bookmarkEnd w:id="39"/>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15">
        <w:r>
          <w:rPr>
            <w:rStyle w:val="InternetLink"/>
          </w:rPr>
          <w:t>https://doi.org/10.3389/fpsyg.2019.02846</w:t>
        </w:r>
      </w:hyperlink>
      <w:r>
        <w:rPr/>
        <w:t>.</w:t>
      </w:r>
      <w:bookmarkStart w:id="40" w:name="ref-fjaellingsdal2019"/>
      <w:bookmarkEnd w:id="40"/>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16">
        <w:r>
          <w:rPr>
            <w:rStyle w:val="InternetLink"/>
          </w:rPr>
          <w:t>https://doi.org/10.1126/science.1185802</w:t>
        </w:r>
      </w:hyperlink>
      <w:r>
        <w:rPr/>
        <w:t>.</w:t>
      </w:r>
      <w:bookmarkStart w:id="41" w:name="ref-fryxell2010"/>
      <w:bookmarkEnd w:id="41"/>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17">
        <w:r>
          <w:rPr>
            <w:rStyle w:val="InternetLink"/>
          </w:rPr>
          <w:t>https://doi.org/10.14512/gaia.25.4.13</w:t>
        </w:r>
      </w:hyperlink>
      <w:r>
        <w:rPr/>
        <w:t>.</w:t>
      </w:r>
      <w:bookmarkStart w:id="42" w:name="ref-garcia2016"/>
      <w:bookmarkEnd w:id="42"/>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18">
        <w:r>
          <w:rPr>
            <w:rStyle w:val="InternetLink"/>
          </w:rPr>
          <w:t>https://doi.org/10.1016/j.ecolmodel.2006.04.023</w:t>
        </w:r>
      </w:hyperlink>
      <w:r>
        <w:rPr/>
        <w:t>.</w:t>
      </w:r>
      <w:bookmarkStart w:id="43" w:name="ref-grimm2006"/>
      <w:bookmarkEnd w:id="43"/>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19">
        <w:r>
          <w:rPr>
            <w:rStyle w:val="InternetLink"/>
          </w:rPr>
          <w:t>https://doi.org/10.1038/s41467-020-17785-2</w:t>
        </w:r>
      </w:hyperlink>
      <w:r>
        <w:rPr/>
        <w:t>.</w:t>
      </w:r>
      <w:bookmarkStart w:id="44" w:name="ref-grimm2020"/>
      <w:bookmarkEnd w:id="44"/>
    </w:p>
    <w:p>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20">
        <w:r>
          <w:rPr>
            <w:rStyle w:val="InternetLink"/>
          </w:rPr>
          <w:t>https://doi.org/10.1016/j.envsoft.2016.10.008</w:t>
        </w:r>
      </w:hyperlink>
      <w:r>
        <w:rPr/>
        <w:t>.</w:t>
      </w:r>
      <w:bookmarkStart w:id="45" w:name="ref-groeneveld2017"/>
      <w:bookmarkEnd w:id="45"/>
    </w:p>
    <w:p>
      <w:pPr>
        <w:pStyle w:val="Bibliography"/>
        <w:rPr/>
      </w:pPr>
      <w:r>
        <w:rPr/>
        <w:t xml:space="preserve">IPCC. 2021. “Climate Change 2021: The Physical Science Basis. Contribution of Working Group i to the Sixth Assessment Report of the Intergovernmental Panel on Climate Change.” </w:t>
      </w:r>
      <w:hyperlink r:id="rId21">
        <w:r>
          <w:rPr>
            <w:rStyle w:val="InternetLink"/>
          </w:rPr>
          <w:t>https://www.ipcc.ch/report/ar6/wg1/</w:t>
        </w:r>
      </w:hyperlink>
      <w:r>
        <w:rPr/>
        <w:t>.</w:t>
      </w:r>
      <w:bookmarkStart w:id="46" w:name="ref-ipcc2021"/>
      <w:bookmarkEnd w:id="46"/>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22">
        <w:r>
          <w:rPr>
            <w:rStyle w:val="InternetLink"/>
          </w:rPr>
          <w:t>https://doi.org/10.1073/pnas.1115898108</w:t>
        </w:r>
      </w:hyperlink>
      <w:r>
        <w:rPr/>
        <w:t>.</w:t>
      </w:r>
      <w:bookmarkStart w:id="47" w:name="ref-khatib2011"/>
      <w:bookmarkEnd w:id="47"/>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23">
        <w:r>
          <w:rPr>
            <w:rStyle w:val="InternetLink"/>
          </w:rPr>
          <w:t>https://doi.org/10.1007/s11077-016-9250-4</w:t>
        </w:r>
      </w:hyperlink>
      <w:r>
        <w:rPr/>
        <w:t>.</w:t>
      </w:r>
      <w:bookmarkStart w:id="48" w:name="ref-kolkman2016"/>
      <w:bookmarkEnd w:id="48"/>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24">
        <w:r>
          <w:rPr>
            <w:rStyle w:val="InternetLink"/>
          </w:rPr>
          <w:t>https://doi.org/10.1038/536143a</w:t>
        </w:r>
      </w:hyperlink>
      <w:r>
        <w:rPr/>
        <w:t>.</w:t>
      </w:r>
      <w:bookmarkStart w:id="49" w:name="ref-maxwell2016a"/>
      <w:bookmarkEnd w:id="49"/>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25">
        <w:r>
          <w:rPr>
            <w:rStyle w:val="InternetLink"/>
          </w:rPr>
          <w:t>https://doi.org/10.5751/ES-08416-210338</w:t>
        </w:r>
      </w:hyperlink>
      <w:r>
        <w:rPr/>
        <w:t>.</w:t>
      </w:r>
      <w:bookmarkStart w:id="50" w:name="ref-meinzen-dick2016"/>
      <w:bookmarkEnd w:id="50"/>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26">
        <w:r>
          <w:rPr>
            <w:rStyle w:val="InternetLink"/>
          </w:rPr>
          <w:t>https://doi.org/10.1098/rstb.2011.0175</w:t>
        </w:r>
      </w:hyperlink>
      <w:r>
        <w:rPr/>
        <w:t>.</w:t>
      </w:r>
      <w:bookmarkStart w:id="51" w:name="ref-milner-gulland2012"/>
      <w:bookmarkEnd w:id="51"/>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27">
        <w:r>
          <w:rPr>
            <w:rStyle w:val="InternetLink"/>
          </w:rPr>
          <w:t>https://doi.org/10.1038/s41562-020-0885-y</w:t>
        </w:r>
      </w:hyperlink>
      <w:r>
        <w:rPr/>
        <w:t>.</w:t>
      </w:r>
      <w:bookmarkStart w:id="52" w:name="ref-orach2020"/>
      <w:bookmarkEnd w:id="52"/>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28">
        <w:r>
          <w:rPr>
            <w:rStyle w:val="InternetLink"/>
          </w:rPr>
          <w:t>https://doi.org/10.1002/pan3.10155</w:t>
        </w:r>
      </w:hyperlink>
      <w:r>
        <w:rPr/>
        <w:t>.</w:t>
      </w:r>
      <w:bookmarkStart w:id="53" w:name="ref-rakotonarivo2021a"/>
      <w:bookmarkEnd w:id="53"/>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29">
        <w:r>
          <w:rPr>
            <w:rStyle w:val="InternetLink"/>
          </w:rPr>
          <w:t>https://doi.org/10.5751/ES-12306-260208</w:t>
        </w:r>
      </w:hyperlink>
      <w:r>
        <w:rPr/>
        <w:t>.</w:t>
      </w:r>
      <w:bookmarkStart w:id="54" w:name="ref-rakotonarivo2021"/>
      <w:bookmarkEnd w:id="54"/>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30">
        <w:r>
          <w:rPr>
            <w:rStyle w:val="InternetLink"/>
          </w:rPr>
          <w:t>https://doi.org/10.1016/j.tree.2018.03.005</w:t>
        </w:r>
      </w:hyperlink>
      <w:r>
        <w:rPr/>
        <w:t>.</w:t>
      </w:r>
      <w:bookmarkStart w:id="55" w:name="ref-redpath2018"/>
      <w:bookmarkEnd w:id="55"/>
    </w:p>
    <w:p>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31">
        <w:r>
          <w:rPr>
            <w:rStyle w:val="InternetLink"/>
          </w:rPr>
          <w:t>https://doi.org/10.1111/conl.12113</w:t>
        </w:r>
      </w:hyperlink>
      <w:r>
        <w:rPr/>
        <w:t>.</w:t>
      </w:r>
      <w:bookmarkStart w:id="56" w:name="ref-sandbrook2015"/>
      <w:bookmarkEnd w:id="56"/>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32">
        <w:r>
          <w:rPr>
            <w:rStyle w:val="InternetLink"/>
          </w:rPr>
          <w:t>https://doi.org/10.1111/j.1939-7445.2011.00108.x</w:t>
        </w:r>
      </w:hyperlink>
      <w:r>
        <w:rPr/>
        <w:t>.</w:t>
      </w:r>
      <w:bookmarkStart w:id="57" w:name="ref-schlüter2012"/>
      <w:bookmarkEnd w:id="57"/>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33">
        <w:r>
          <w:rPr>
            <w:rStyle w:val="InternetLink"/>
          </w:rPr>
          <w:t>https://doi.org/10.1016/j.ecolmodel.2019.108784</w:t>
        </w:r>
      </w:hyperlink>
      <w:r>
        <w:rPr/>
        <w:t>.</w:t>
      </w:r>
      <w:bookmarkStart w:id="58" w:name="ref-schuwirth2019"/>
      <w:bookmarkEnd w:id="58"/>
    </w:p>
    <w:p>
      <w:pPr>
        <w:pStyle w:val="Bibliography"/>
        <w:rPr/>
      </w:pPr>
      <w:r>
        <w:rPr/>
        <w:t xml:space="preserve">Sipper, Moshe, and Jason H. Moore. 2020. “Gamorithm.” </w:t>
      </w:r>
      <w:r>
        <w:rPr>
          <w:i/>
          <w:iCs/>
        </w:rPr>
        <w:t>IEEE Transactions on Games</w:t>
      </w:r>
      <w:r>
        <w:rPr/>
        <w:t xml:space="preserve"> 12 (1): 115–18. </w:t>
      </w:r>
      <w:hyperlink r:id="rId34">
        <w:r>
          <w:rPr>
            <w:rStyle w:val="InternetLink"/>
          </w:rPr>
          <w:t>https://doi.org/10.1109/TG.2018.2867743</w:t>
        </w:r>
      </w:hyperlink>
      <w:r>
        <w:rPr/>
        <w:t>.</w:t>
      </w:r>
      <w:bookmarkStart w:id="59" w:name="ref-sipper2020"/>
      <w:bookmarkEnd w:id="59"/>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35">
        <w:r>
          <w:rPr>
            <w:rStyle w:val="InternetLink"/>
          </w:rPr>
          <w:t>https://doi.org/10.1038/nbt.4225</w:t>
        </w:r>
      </w:hyperlink>
      <w:r>
        <w:rPr/>
        <w:t>.</w:t>
      </w:r>
      <w:bookmarkStart w:id="60" w:name="ref-sullivan2018"/>
      <w:bookmarkEnd w:id="60"/>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36">
        <w:r>
          <w:rPr>
            <w:rStyle w:val="InternetLink"/>
          </w:rPr>
          <w:t>https://doi.org/10.7717/peerj.4509</w:t>
        </w:r>
      </w:hyperlink>
      <w:r>
        <w:rPr/>
        <w:t>.</w:t>
      </w:r>
      <w:bookmarkStart w:id="61" w:name="ref-tan2018"/>
      <w:bookmarkEnd w:id="61"/>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37">
        <w:r>
          <w:rPr>
            <w:rStyle w:val="InternetLink"/>
          </w:rPr>
          <w:t>https://doi.org/10.3389/fmars.2021.645408</w:t>
        </w:r>
      </w:hyperlink>
      <w:r>
        <w:rPr/>
        <w:t>.</w:t>
      </w:r>
      <w:bookmarkStart w:id="62" w:name="ref-vandenbergh2021"/>
      <w:bookmarkEnd w:id="62"/>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38">
        <w:r>
          <w:rPr>
            <w:rStyle w:val="InternetLink"/>
          </w:rPr>
          <w:t>https://doi.org/10.5751/ES-08139-210139</w:t>
        </w:r>
      </w:hyperlink>
      <w:r>
        <w:rPr/>
        <w:t>.</w:t>
      </w:r>
      <w:bookmarkStart w:id="63" w:name="ref-villamor2016"/>
      <w:bookmarkEnd w:id="63"/>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39">
        <w:r>
          <w:rPr>
            <w:rStyle w:val="InternetLink"/>
          </w:rPr>
          <w:t>https://doi.org/10.1002/pan3.10207</w:t>
        </w:r>
      </w:hyperlink>
      <w:r>
        <w:rPr/>
        <w:t>.</w:t>
      </w:r>
      <w:bookmarkStart w:id="64" w:name="ref-will2021"/>
      <w:bookmarkEnd w:id="64"/>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40">
        <w:r>
          <w:rPr>
            <w:rStyle w:val="InternetLink"/>
          </w:rPr>
          <w:t>https://doi.org/10.1021/acs.est.6b05296</w:t>
        </w:r>
      </w:hyperlink>
      <w:r>
        <w:rPr/>
        <w:t>.</w:t>
      </w:r>
      <w:bookmarkStart w:id="65" w:name="ref-wilting2017"/>
      <w:bookmarkEnd w:id="65"/>
    </w:p>
    <w:p>
      <w:pPr>
        <w:pStyle w:val="Bibliography"/>
        <w:spacing w:lineRule="auto" w:line="360"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41">
        <w:r>
          <w:rPr>
            <w:rStyle w:val="InternetLink"/>
          </w:rPr>
          <w:t>https://doi.org/10.1016/j.envsoft.2017.09.012</w:t>
        </w:r>
      </w:hyperlink>
      <w:r>
        <w:rPr/>
        <w:t>.</w:t>
      </w:r>
    </w:p>
    <w:sectPr>
      <w:footerReference w:type="default" r:id="rId42"/>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360" w:before="0" w:after="200"/>
        <w:rPr/>
      </w:pPr>
      <w:r>
        <w:rPr>
          <w:rStyle w:val="FootnoteCharacters"/>
        </w:rPr>
        <w:footnoteRef/>
      </w:r>
      <w:r>
        <w:rPr/>
        <w:t xml:space="preserve"> </w:t>
      </w:r>
      <w:r>
        <w:rPr/>
        <w:t>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 w:id="3">
    <w:p>
      <w:pPr>
        <w:pStyle w:val="Footnote"/>
        <w:spacing w:lineRule="auto" w:line="360" w:before="0" w:after="200"/>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4">
    <w:p>
      <w:pPr>
        <w:pStyle w:val="Footnote"/>
        <w:spacing w:lineRule="auto" w:line="360" w:before="0" w:after="200"/>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 See </w:t>
      </w:r>
      <w:r>
        <w:rPr>
          <w:b/>
          <w:bCs/>
        </w:rPr>
        <w:t>XXX</w:t>
      </w:r>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hyperlink" Target="https://github.com/ConFooBio/gmse/tree/man_control" TargetMode="External"/><Relationship Id="rId4" Type="http://schemas.openxmlformats.org/officeDocument/2006/relationships/hyperlink" Target="https://CRAN.R-project.org/package=shiny" TargetMode="External"/><Relationship Id="rId5" Type="http://schemas.openxmlformats.org/officeDocument/2006/relationships/hyperlink" Target="https://CRAN.R-project.org/package=shinyjs" TargetMode="External"/><Relationship Id="rId6" Type="http://schemas.openxmlformats.org/officeDocument/2006/relationships/hyperlink" Target="https://CRAN.R-project.org/package=shinyBS" TargetMode="External"/><Relationship Id="rId7" Type="http://schemas.openxmlformats.org/officeDocument/2006/relationships/hyperlink" Target="https://CRAN.R-project.org/package=waiter" TargetMode="External"/><Relationship Id="rId8" Type="http://schemas.openxmlformats.org/officeDocument/2006/relationships/hyperlink" Target="https://doi.org/10.1111/ddi.12054" TargetMode="External"/><Relationship Id="rId9" Type="http://schemas.openxmlformats.org/officeDocument/2006/relationships/hyperlink" Target="https://doi.org/10.1126/sciadv.1400253" TargetMode="External"/><Relationship Id="rId10" Type="http://schemas.openxmlformats.org/officeDocument/2006/relationships/hyperlink" Target="https://doi.org/10.1073/pnas.1704949114" TargetMode="External"/><Relationship Id="rId11" Type="http://schemas.openxmlformats.org/officeDocument/2006/relationships/hyperlink" Target="https://doi.org/10.1111/tops.12267" TargetMode="External"/><Relationship Id="rId12" Type="http://schemas.openxmlformats.org/officeDocument/2006/relationships/hyperlink" Target="https://doi.org/10.5751/ES-11552-250213" TargetMode="External"/><Relationship Id="rId13" Type="http://schemas.openxmlformats.org/officeDocument/2006/relationships/hyperlink" Target="https://doi.org/10.1111/2041-210X.13091" TargetMode="External"/><Relationship Id="rId14" Type="http://schemas.openxmlformats.org/officeDocument/2006/relationships/hyperlink" Target="https://doi.org/10.1111/cobi.13633" TargetMode="External"/><Relationship Id="rId15" Type="http://schemas.openxmlformats.org/officeDocument/2006/relationships/hyperlink" Target="https://doi.org/10.3389/fpsyg.2019.02846" TargetMode="External"/><Relationship Id="rId16" Type="http://schemas.openxmlformats.org/officeDocument/2006/relationships/hyperlink" Target="https://doi.org/10.1126/science.1185802" TargetMode="External"/><Relationship Id="rId17" Type="http://schemas.openxmlformats.org/officeDocument/2006/relationships/hyperlink" Target="https://doi.org/10.14512/gaia.25.4.13" TargetMode="External"/><Relationship Id="rId18" Type="http://schemas.openxmlformats.org/officeDocument/2006/relationships/hyperlink" Target="https://doi.org/10.1016/j.ecolmodel.2006.04.023" TargetMode="External"/><Relationship Id="rId19" Type="http://schemas.openxmlformats.org/officeDocument/2006/relationships/hyperlink" Target="https://doi.org/10.1038/s41467-020-17785-2" TargetMode="External"/><Relationship Id="rId20" Type="http://schemas.openxmlformats.org/officeDocument/2006/relationships/hyperlink" Target="https://doi.org/10.1016/j.envsoft.2016.10.008" TargetMode="External"/><Relationship Id="rId21" Type="http://schemas.openxmlformats.org/officeDocument/2006/relationships/hyperlink" Target="https://www.ipcc.ch/report/ar6/wg1/" TargetMode="External"/><Relationship Id="rId22" Type="http://schemas.openxmlformats.org/officeDocument/2006/relationships/hyperlink" Target="https://doi.org/10.1073/pnas.1115898108" TargetMode="External"/><Relationship Id="rId23" Type="http://schemas.openxmlformats.org/officeDocument/2006/relationships/hyperlink" Target="https://doi.org/10.1007/s11077-016-9250-4" TargetMode="External"/><Relationship Id="rId24" Type="http://schemas.openxmlformats.org/officeDocument/2006/relationships/hyperlink" Target="https://doi.org/10.1038/536143a" TargetMode="External"/><Relationship Id="rId25" Type="http://schemas.openxmlformats.org/officeDocument/2006/relationships/hyperlink" Target="https://doi.org/10.5751/ES-08416-210338" TargetMode="External"/><Relationship Id="rId26" Type="http://schemas.openxmlformats.org/officeDocument/2006/relationships/hyperlink" Target="https://doi.org/10.1098/rstb.2011.0175" TargetMode="External"/><Relationship Id="rId27" Type="http://schemas.openxmlformats.org/officeDocument/2006/relationships/hyperlink" Target="https://doi.org/10.1038/s41562-020-0885-y" TargetMode="External"/><Relationship Id="rId28" Type="http://schemas.openxmlformats.org/officeDocument/2006/relationships/hyperlink" Target="https://doi.org/10.1002/pan3.10155" TargetMode="External"/><Relationship Id="rId29" Type="http://schemas.openxmlformats.org/officeDocument/2006/relationships/hyperlink" Target="https://doi.org/10.5751/ES-12306-260208" TargetMode="External"/><Relationship Id="rId30" Type="http://schemas.openxmlformats.org/officeDocument/2006/relationships/hyperlink" Target="https://doi.org/10.1016/j.tree.2018.03.005" TargetMode="External"/><Relationship Id="rId31" Type="http://schemas.openxmlformats.org/officeDocument/2006/relationships/hyperlink" Target="https://doi.org/10.1111/conl.12113" TargetMode="External"/><Relationship Id="rId32" Type="http://schemas.openxmlformats.org/officeDocument/2006/relationships/hyperlink" Target="https://doi.org/10.1111/j.1939-7445.2011.00108.x" TargetMode="External"/><Relationship Id="rId33" Type="http://schemas.openxmlformats.org/officeDocument/2006/relationships/hyperlink" Target="https://doi.org/10.1016/j.ecolmodel.2019.108784" TargetMode="External"/><Relationship Id="rId34" Type="http://schemas.openxmlformats.org/officeDocument/2006/relationships/hyperlink" Target="https://doi.org/10.1109/TG.2018.2867743" TargetMode="External"/><Relationship Id="rId35" Type="http://schemas.openxmlformats.org/officeDocument/2006/relationships/hyperlink" Target="https://doi.org/10.1038/nbt.4225" TargetMode="External"/><Relationship Id="rId36" Type="http://schemas.openxmlformats.org/officeDocument/2006/relationships/hyperlink" Target="https://doi.org/10.7717/peerj.4509" TargetMode="External"/><Relationship Id="rId37" Type="http://schemas.openxmlformats.org/officeDocument/2006/relationships/hyperlink" Target="https://doi.org/10.3389/fmars.2021.645408" TargetMode="External"/><Relationship Id="rId38" Type="http://schemas.openxmlformats.org/officeDocument/2006/relationships/hyperlink" Target="https://doi.org/10.5751/ES-08139-210139" TargetMode="External"/><Relationship Id="rId39" Type="http://schemas.openxmlformats.org/officeDocument/2006/relationships/hyperlink" Target="https://doi.org/10.1002/pan3.10207" TargetMode="External"/><Relationship Id="rId40" Type="http://schemas.openxmlformats.org/officeDocument/2006/relationships/hyperlink" Target="https://doi.org/10.1021/acs.est.6b05296" TargetMode="External"/><Relationship Id="rId41" Type="http://schemas.openxmlformats.org/officeDocument/2006/relationships/hyperlink" Target="https://doi.org/10.1016/j.envsoft.2017.09.012" TargetMode="External"/><Relationship Id="rId42" Type="http://schemas.openxmlformats.org/officeDocument/2006/relationships/footer" Target="footer1.xml"/><Relationship Id="rId43" Type="http://schemas.openxmlformats.org/officeDocument/2006/relationships/footnotes" Target="footnotes.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2021-08-13T12:56:27Z</dcterms:created>
  <dc:creator/>
  <dc:description/>
  <dc:language>en-GB</dc:language>
  <cp:lastModifiedBy>Jeroen Minderman</cp:lastModifiedBy>
  <dcterms:modified xsi:type="dcterms:W3CDTF">2021-08-13T14:50:38Z</dcterms:modified>
  <cp:revision>1</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output">
    <vt:lpwstr/>
  </property>
</Properties>
</file>