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15.4. Eiropas ilgtspējīga attīstība</w:t>
      </w:r>
    </w:p>
    <w:p>
      <w:pPr>
        <w:pStyle w:val="Author"/>
      </w:pPr>
      <w:r>
        <w:t xml:space="preserve">Jekaterīna Butkeviča</w:t>
      </w:r>
    </w:p>
    <w:p>
      <w:pPr>
        <w:pStyle w:val="Date"/>
      </w:pPr>
      <w:r>
        <w:t xml:space="preserve">2026. gads 21. janvāris</w:t>
      </w:r>
    </w:p>
    <w:bookmarkStart w:id="20" w:name="uzdevums"/>
    <w:p>
      <w:pPr>
        <w:pStyle w:val="Heading2"/>
      </w:pPr>
      <w:r>
        <w:t xml:space="preserve">Uzdevums</w:t>
      </w:r>
    </w:p>
    <w:p>
      <w:pPr>
        <w:numPr>
          <w:ilvl w:val="0"/>
          <w:numId w:val="1001"/>
        </w:numPr>
      </w:pPr>
      <w:r>
        <w:t xml:space="preserve">Izpētiet piedāvātos datus, izmantojot pēc iespējas vairāk no datizraces kursā apgūtajām metodēm.</w:t>
      </w:r>
    </w:p>
    <w:p>
      <w:pPr>
        <w:numPr>
          <w:ilvl w:val="0"/>
          <w:numId w:val="1001"/>
        </w:numPr>
      </w:pPr>
      <w:r>
        <w:t xml:space="preserve">Kolonā BA ir dots t.s. Advanced Human Development Index (AHDI, detaļas - publikācijā). Viens no Jūsu pētījuma mērķiem varētu būtu pēc iespējas mazākas raksturlielumu apakškopas atrašana, no kuras katrai valstij AHDI varētu pietiekami precīzi aprēķināt.</w:t>
      </w:r>
    </w:p>
    <w:bookmarkEnd w:id="20"/>
    <w:bookmarkStart w:id="21" w:name="dati"/>
    <w:p>
      <w:pPr>
        <w:pStyle w:val="Heading2"/>
      </w:pPr>
      <w:r>
        <w:t xml:space="preserve">Dati</w:t>
      </w:r>
    </w:p>
    <w:p>
      <w:pPr>
        <w:pStyle w:val="FirstParagraph"/>
      </w:pPr>
      <w:r>
        <w:t xml:space="preserve">Datu kopa ir izveidota, lai atbalstītu matemātiskā modeļa izstrādi pilsētu ilgtspējīgas attīstības mērīšanai, kas atbilst ANO noteiktajiem standartiem. Dati ir strukturēti divās galvenajās tabulās (lapās):</w:t>
      </w:r>
    </w:p>
    <w:p>
      <w:pPr>
        <w:numPr>
          <w:ilvl w:val="0"/>
          <w:numId w:val="1002"/>
        </w:numPr>
      </w:pPr>
      <w:r>
        <w:t xml:space="preserve">lapa satur specifiskus ilgtspējīgas attīstības mērķu (Sustainable Development Goals - SDG) indikatori. Sāja lapā dati ir apkopoti par 27 ES valstim.</w:t>
      </w:r>
    </w:p>
    <w:p>
      <w:pPr>
        <w:numPr>
          <w:ilvl w:val="0"/>
          <w:numId w:val="1002"/>
        </w:numPr>
      </w:pPr>
      <w:r>
        <w:t xml:space="preserve">lapa satur aprēķinātos globālos indeksus. Tā sastāv no 5 kolonnām (Valsts, HDI 2020, EPI 2020 un aprēķinātais AHDI). Šaja sarakstā ir iekļāuti arī valsti ārpus ES</w:t>
      </w:r>
    </w:p>
    <w:bookmarkEnd w:id="21"/>
    <w:bookmarkStart w:id="22" w:name="indeksa-prognozēšana"/>
    <w:p>
      <w:pPr>
        <w:pStyle w:val="Heading2"/>
      </w:pPr>
      <w:r>
        <w:t xml:space="preserve">Indeksa prognozēšana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15.4. Eiropas ilgtspējīga attīstība</dc:title>
  <dc:creator>Jekaterīna Butkeviča</dc:creator>
  <cp:keywords/>
  <dcterms:created xsi:type="dcterms:W3CDTF">2026-01-21T17:23:32Z</dcterms:created>
  <dcterms:modified xsi:type="dcterms:W3CDTF">2026-01-21T17:23:32Z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2026. gads 21. janvāris</vt:lpwstr>
  </property>
  <property fmtid="{D5CDD505-2E9C-101B-9397-08002B2CF9AE}" pid="3" name="output">
    <vt:lpwstr>word_document</vt:lpwstr>
  </property>
</Properties>
</file>