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792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792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174398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792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792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 w:rsidR="00E73683" w:rsidRPr="00B2792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792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792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792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736553E" w14:textId="77777777" w:rsidR="00404AE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174398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A7105E3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8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CFBB18D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ED75121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502FD6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047FE35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4F00C72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81A5F69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6CB0B7F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684E47F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EC269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9B53419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79C89E2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B628509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D966D41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EEA3F49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данных: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B8ACA35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67C224F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CD603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FEB1C77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9AFBFDE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660A229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439B1B3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462D95A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390372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9461DA2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EB94F1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BD80CC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5" w:history="1">
            <w:r w:rsidR="00404AE5" w:rsidRPr="006A5C24">
              <w:rPr>
                <w:rStyle w:val="a5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202E223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8.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3AA22E6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097E4B" w14:textId="77777777" w:rsidR="00404AE5" w:rsidRDefault="0017429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8" w:history="1">
            <w:r w:rsidR="00404AE5" w:rsidRPr="006A5C24">
              <w:rPr>
                <w:rStyle w:val="a5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43EA137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9.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1BBADFF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80EEDF9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13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CC373B" w14:textId="77777777" w:rsidR="00404AE5" w:rsidRDefault="0017429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86FC11A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24FE726" w14:textId="77777777" w:rsidR="00404AE5" w:rsidRDefault="0017429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E637B71" w14:textId="77777777" w:rsidR="00404AE5" w:rsidRDefault="00174298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9836157" w14:textId="77777777" w:rsidR="00404AE5" w:rsidRDefault="00174298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1743989"/>
      <w:r w:rsidRPr="004A3184">
        <w:rPr>
          <w:rFonts w:cs="Times New Roman"/>
          <w:lang w:val="ru-RU"/>
        </w:rPr>
        <w:lastRenderedPageBreak/>
        <w:t>Введение</w:t>
      </w:r>
      <w:bookmarkEnd w:id="4"/>
      <w:bookmarkEnd w:id="5"/>
      <w:bookmarkEnd w:id="6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1743990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1743991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3" w:name="_Toc432970660"/>
      <w:bookmarkStart w:id="14" w:name="_Toc434960438"/>
      <w:bookmarkStart w:id="15" w:name="_Toc441743992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3"/>
      <w:bookmarkEnd w:id="14"/>
      <w:bookmarkEnd w:id="15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6" w:name="_Toc432970661"/>
      <w:bookmarkStart w:id="17" w:name="_Toc434960439"/>
      <w:bookmarkStart w:id="18" w:name="_Toc441743993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6"/>
      <w:bookmarkEnd w:id="17"/>
      <w:bookmarkEnd w:id="18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9" w:name="_Toc432970662"/>
      <w:bookmarkStart w:id="20" w:name="_Toc434960440"/>
      <w:bookmarkStart w:id="21" w:name="_Toc441743994"/>
      <w:r w:rsidRPr="004A3184">
        <w:rPr>
          <w:rFonts w:cs="Times New Roman"/>
          <w:lang w:val="ru-RU"/>
        </w:rPr>
        <w:t>Наименование темы разработки</w:t>
      </w:r>
      <w:bookmarkEnd w:id="19"/>
      <w:bookmarkEnd w:id="20"/>
      <w:bookmarkEnd w:id="21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2" w:name="_Toc432970663"/>
      <w:bookmarkStart w:id="23" w:name="_Toc434960441"/>
      <w:bookmarkStart w:id="24" w:name="_Toc441743995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2"/>
      <w:bookmarkEnd w:id="23"/>
      <w:bookmarkEnd w:id="24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5" w:name="_Toc434960442"/>
      <w:bookmarkStart w:id="26" w:name="_Toc441743996"/>
      <w:bookmarkStart w:id="27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5"/>
      <w:bookmarkEnd w:id="26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8" w:name="_Toc432970665"/>
      <w:bookmarkStart w:id="29" w:name="_Toc434960443"/>
      <w:bookmarkStart w:id="30" w:name="_Toc441743997"/>
      <w:r w:rsidRPr="004A3184">
        <w:rPr>
          <w:rFonts w:cs="Times New Roman"/>
          <w:lang w:val="ru-RU"/>
        </w:rPr>
        <w:t>Эксплуатационное назначение</w:t>
      </w:r>
      <w:bookmarkEnd w:id="28"/>
      <w:bookmarkEnd w:id="29"/>
      <w:bookmarkEnd w:id="30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1" w:name="_Toc432970666"/>
      <w:bookmarkStart w:id="32" w:name="_Toc434960444"/>
      <w:bookmarkStart w:id="33" w:name="_Toc441743998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1"/>
      <w:bookmarkEnd w:id="32"/>
      <w:bookmarkEnd w:id="33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4" w:name="_Toc432970667"/>
      <w:bookmarkStart w:id="35" w:name="_Toc434960445"/>
      <w:bookmarkStart w:id="36" w:name="_Toc441743999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4"/>
      <w:bookmarkEnd w:id="35"/>
      <w:bookmarkEnd w:id="36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7" w:name="_Toc432970669"/>
      <w:bookmarkStart w:id="38" w:name="_Toc434960447"/>
      <w:bookmarkStart w:id="39" w:name="_Toc441744000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7"/>
      <w:bookmarkEnd w:id="38"/>
      <w:bookmarkEnd w:id="39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Указанного удаленного репозитория.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Списка директорий и/или репозиториев,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>должен определять расположение «.</w:t>
      </w:r>
      <w:r w:rsidR="002618C8">
        <w:rPr>
          <w:rFonts w:ascii="Times New Roman" w:hAnsi="Times New Roman" w:cs="Times New Roman"/>
        </w:rPr>
        <w:t>desktop</w:t>
      </w:r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7D1B1306" w14:textId="58BDA9A3" w:rsidR="00351A91" w:rsidRDefault="00351A91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Первичный импорт</w:t>
      </w:r>
    </w:p>
    <w:p w14:paraId="049EBCCD" w14:textId="55087A55" w:rsidR="00351A91" w:rsidRDefault="00A17947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Содержит нелокализованные описания в «</w:t>
      </w:r>
      <w:r w:rsidRPr="00A17947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A17947">
        <w:rPr>
          <w:lang w:val="ru-RU"/>
        </w:rPr>
        <w:t>-</w:t>
      </w:r>
      <w:r>
        <w:rPr>
          <w:lang w:val="ru-RU"/>
        </w:rPr>
        <w:t>файле</w:t>
      </w:r>
    </w:p>
    <w:p w14:paraId="5276F948" w14:textId="02DE040D" w:rsidR="00351A91" w:rsidRDefault="00351A91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Не найден 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</w:t>
      </w:r>
    </w:p>
    <w:p w14:paraId="4455CD14" w14:textId="67A77876" w:rsidR="00351A91" w:rsidRDefault="00351A91" w:rsidP="00FA70FF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 уже локализован</w:t>
      </w:r>
    </w:p>
    <w:p w14:paraId="007F2085" w14:textId="6C4165CB" w:rsidR="00351A91" w:rsidRDefault="00D72CA8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П</w:t>
      </w:r>
      <w:r w:rsidR="00351A91">
        <w:rPr>
          <w:lang w:val="ru-RU"/>
        </w:rPr>
        <w:t>атч для локализации</w:t>
      </w:r>
      <w:r>
        <w:rPr>
          <w:lang w:val="ru-RU"/>
        </w:rPr>
        <w:t xml:space="preserve"> сохранен в системе контроля версий (сделан коммит)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осуществлять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r w:rsidR="000F054F">
        <w:t>Yandex</w:t>
      </w:r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>) разработки для отправки коммита</w:t>
      </w:r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формировать список изменений в виде патча (коммита)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r w:rsidR="00774BEE">
        <w:t>Git</w:t>
      </w:r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0" w:name="_Toc432970670"/>
      <w:bookmarkStart w:id="41" w:name="_Toc434960448"/>
      <w:bookmarkStart w:id="42" w:name="_Toc441744001"/>
      <w:r w:rsidRPr="004A3184">
        <w:rPr>
          <w:rFonts w:cs="Times New Roman"/>
          <w:lang w:val="ru-RU"/>
        </w:rPr>
        <w:lastRenderedPageBreak/>
        <w:t>Требования к входным данным</w:t>
      </w:r>
      <w:bookmarkEnd w:id="40"/>
      <w:bookmarkEnd w:id="41"/>
      <w:bookmarkEnd w:id="42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r w:rsidR="000F497F">
        <w:rPr>
          <w:rFonts w:ascii="Times New Roman" w:hAnsi="Times New Roman" w:cs="Times New Roman"/>
        </w:rPr>
        <w:t>yaml</w:t>
      </w:r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удаленного репозитория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&lt;Имя_переменной_описания&gt;[&lt;обозначение_локали_(например_</w:t>
      </w:r>
      <w:r>
        <w:t>ru</w:t>
      </w:r>
      <w:r w:rsidRPr="0029166A">
        <w:rPr>
          <w:lang w:val="ru-RU"/>
        </w:rPr>
        <w:t>)&gt;]&lt;текст_описания&gt;</w:t>
      </w:r>
      <w:r w:rsidR="00414CF5">
        <w:rPr>
          <w:lang w:val="ru-RU"/>
        </w:rPr>
        <w:t xml:space="preserve">. Обозначение локали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3" w:name="_Toc432970671"/>
      <w:bookmarkStart w:id="44" w:name="_Toc434960449"/>
      <w:bookmarkStart w:id="45" w:name="_Toc441744002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3"/>
      <w:bookmarkEnd w:id="44"/>
      <w:bookmarkEnd w:id="45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r>
        <w:rPr>
          <w:rFonts w:ascii="Times New Roman" w:hAnsi="Times New Roman" w:cs="Times New Roman"/>
        </w:rPr>
        <w:t>git</w:t>
      </w:r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>» патча</w:t>
      </w:r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 для локализации приложения.</w:t>
      </w:r>
    </w:p>
    <w:p w14:paraId="35A38830" w14:textId="3109CB62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6" w:name="_Toc432970672"/>
      <w:bookmarkStart w:id="47" w:name="_Toc434960450"/>
      <w:bookmarkStart w:id="48" w:name="_Toc441744003"/>
      <w:r w:rsidRPr="004A3184">
        <w:rPr>
          <w:rFonts w:cs="Times New Roman"/>
          <w:lang w:val="ru-RU"/>
        </w:rPr>
        <w:t>Требования к хранилищу данных:</w:t>
      </w:r>
      <w:bookmarkEnd w:id="46"/>
      <w:bookmarkEnd w:id="47"/>
      <w:bookmarkEnd w:id="48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49" w:name="_Toc432970673"/>
      <w:bookmarkStart w:id="50" w:name="_Toc434960451"/>
      <w:bookmarkStart w:id="51" w:name="_Toc441744004"/>
      <w:r w:rsidRPr="004A3184">
        <w:rPr>
          <w:rFonts w:cs="Times New Roman"/>
          <w:lang w:val="ru-RU"/>
        </w:rPr>
        <w:t>Требования к надежности</w:t>
      </w:r>
      <w:bookmarkEnd w:id="49"/>
      <w:bookmarkEnd w:id="50"/>
      <w:bookmarkEnd w:id="51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2" w:name="_Toc434960452"/>
      <w:bookmarkStart w:id="53" w:name="_Toc441744005"/>
      <w:r w:rsidRPr="004A3184">
        <w:rPr>
          <w:rFonts w:cs="Times New Roman"/>
          <w:lang w:val="ru-RU"/>
        </w:rPr>
        <w:t>Требования к устойчивости</w:t>
      </w:r>
      <w:bookmarkEnd w:id="52"/>
      <w:bookmarkEnd w:id="53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4" w:name="_Toc434960453"/>
      <w:bookmarkStart w:id="55" w:name="_Toc441744006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4"/>
      <w:bookmarkEnd w:id="55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6" w:name="_Toc434960454"/>
      <w:bookmarkStart w:id="57" w:name="_Toc441744007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6"/>
      <w:bookmarkEnd w:id="57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8" w:name="_Toc432970674"/>
      <w:bookmarkStart w:id="59" w:name="_Toc434960455"/>
      <w:bookmarkStart w:id="60" w:name="_Toc441744008"/>
      <w:r w:rsidRPr="004A3184">
        <w:rPr>
          <w:rFonts w:cs="Times New Roman"/>
          <w:lang w:val="ru-RU"/>
        </w:rPr>
        <w:t>Условия эксплуатации</w:t>
      </w:r>
      <w:bookmarkEnd w:id="58"/>
      <w:bookmarkEnd w:id="59"/>
      <w:bookmarkEnd w:id="60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1" w:name="_Toc432970675"/>
      <w:bookmarkStart w:id="62" w:name="_Toc434960456"/>
      <w:bookmarkStart w:id="63" w:name="_Toc441744009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1"/>
      <w:bookmarkEnd w:id="62"/>
      <w:bookmarkEnd w:id="63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4" w:name="_Toc432970676"/>
      <w:bookmarkStart w:id="65" w:name="_Toc434960457"/>
      <w:bookmarkStart w:id="66" w:name="_Toc441744010"/>
      <w:r w:rsidRPr="004A3184">
        <w:rPr>
          <w:rFonts w:cs="Times New Roman"/>
          <w:lang w:val="ru-RU"/>
        </w:rPr>
        <w:t>Состав технических средств</w:t>
      </w:r>
      <w:bookmarkEnd w:id="64"/>
      <w:bookmarkEnd w:id="65"/>
      <w:bookmarkEnd w:id="66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7" w:name="_Toc432970677"/>
      <w:bookmarkStart w:id="68" w:name="_Toc434960458"/>
      <w:bookmarkStart w:id="69" w:name="_Toc441744011"/>
      <w:r w:rsidRPr="004A3184">
        <w:rPr>
          <w:rFonts w:cs="Times New Roman"/>
          <w:lang w:val="ru-RU"/>
        </w:rPr>
        <w:t>Минимальные требования</w:t>
      </w:r>
      <w:bookmarkEnd w:id="67"/>
      <w:bookmarkEnd w:id="68"/>
      <w:bookmarkEnd w:id="69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0" w:name="_Toc432970678"/>
      <w:bookmarkStart w:id="71" w:name="_Toc434960459"/>
      <w:bookmarkStart w:id="72" w:name="_Toc441744012"/>
      <w:r w:rsidRPr="004A3184">
        <w:rPr>
          <w:rFonts w:cs="Times New Roman"/>
          <w:lang w:val="ru-RU"/>
        </w:rPr>
        <w:t>Оптимальные требования</w:t>
      </w:r>
      <w:bookmarkEnd w:id="70"/>
      <w:bookmarkEnd w:id="71"/>
      <w:bookmarkEnd w:id="72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3" w:name="_Toc432970679"/>
      <w:bookmarkStart w:id="74" w:name="_Toc434960460"/>
      <w:bookmarkStart w:id="75" w:name="_Toc441744013"/>
      <w:r w:rsidRPr="004A3184">
        <w:rPr>
          <w:rFonts w:cs="Times New Roman"/>
          <w:lang w:val="ru-RU"/>
        </w:rPr>
        <w:lastRenderedPageBreak/>
        <w:t>Требования к информационной совместимости</w:t>
      </w:r>
      <w:bookmarkEnd w:id="73"/>
      <w:bookmarkEnd w:id="74"/>
      <w:bookmarkEnd w:id="75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6" w:name="_Toc432970680"/>
      <w:bookmarkStart w:id="77" w:name="_Toc434960463"/>
      <w:bookmarkStart w:id="78" w:name="_Toc441744014"/>
      <w:r w:rsidRPr="004A3184">
        <w:rPr>
          <w:rFonts w:cs="Times New Roman"/>
          <w:lang w:val="ru-RU"/>
        </w:rPr>
        <w:t>Требования к маркировке и упаковке</w:t>
      </w:r>
      <w:bookmarkEnd w:id="76"/>
      <w:bookmarkEnd w:id="77"/>
      <w:bookmarkEnd w:id="78"/>
    </w:p>
    <w:p w14:paraId="2F867CBC" w14:textId="716B63DD" w:rsidR="00AE6157" w:rsidRPr="004A3184" w:rsidRDefault="00DC3181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Программа будет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распространяться</w:t>
      </w:r>
      <w:r w:rsidRPr="004A3184">
        <w:rPr>
          <w:rFonts w:ascii="Times New Roman" w:hAnsi="Times New Roman" w:cs="Times New Roman"/>
          <w:lang w:val="ru-RU"/>
        </w:rPr>
        <w:t xml:space="preserve"> на </w:t>
      </w:r>
      <w:r w:rsidRPr="004A3184">
        <w:rPr>
          <w:rFonts w:ascii="Times New Roman" w:hAnsi="Times New Roman" w:cs="Times New Roman"/>
        </w:rPr>
        <w:t>USB</w:t>
      </w:r>
      <w:r w:rsidR="000A5C9E">
        <w:rPr>
          <w:rFonts w:ascii="Times New Roman" w:hAnsi="Times New Roman" w:cs="Times New Roman"/>
          <w:lang w:val="ru-RU"/>
        </w:rPr>
        <w:t>-накопителе.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79" w:name="_Toc432970681"/>
      <w:bookmarkStart w:id="80" w:name="_Toc434960464"/>
      <w:bookmarkStart w:id="81" w:name="_Toc441744015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79"/>
      <w:bookmarkEnd w:id="80"/>
      <w:bookmarkEnd w:id="81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2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3" w:name="_Toc434960465"/>
      <w:bookmarkStart w:id="84" w:name="_Toc441744016"/>
      <w:r w:rsidRPr="004A3184">
        <w:rPr>
          <w:rFonts w:cs="Times New Roman"/>
          <w:lang w:val="ru-RU"/>
        </w:rPr>
        <w:t>Специальные требования</w:t>
      </w:r>
      <w:bookmarkEnd w:id="82"/>
      <w:bookmarkEnd w:id="83"/>
      <w:bookmarkEnd w:id="84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5" w:name="_Toc434960466"/>
      <w:bookmarkStart w:id="86" w:name="_Toc441744017"/>
      <w:r w:rsidRPr="004A3184">
        <w:rPr>
          <w:rFonts w:cs="Times New Roman"/>
          <w:lang w:val="ru-RU"/>
        </w:rPr>
        <w:t xml:space="preserve">Требования к </w:t>
      </w:r>
      <w:bookmarkEnd w:id="85"/>
      <w:r w:rsidR="00C470AD">
        <w:rPr>
          <w:rFonts w:cs="Times New Roman"/>
          <w:lang w:val="ru-RU"/>
        </w:rPr>
        <w:t>пользовательскому интерфейсу</w:t>
      </w:r>
      <w:bookmarkEnd w:id="86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r>
        <w:rPr>
          <w:rFonts w:ascii="Times New Roman" w:hAnsi="Times New Roman" w:cs="Times New Roman"/>
        </w:rPr>
        <w:t>git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r>
        <w:rPr>
          <w:rFonts w:ascii="Times New Roman" w:hAnsi="Times New Roman" w:cs="Times New Roman"/>
        </w:rPr>
        <w:t>git</w:t>
      </w:r>
      <w:r w:rsidRPr="00716857">
        <w:rPr>
          <w:rFonts w:ascii="Times New Roman" w:hAnsi="Times New Roman" w:cs="Times New Roman"/>
          <w:lang w:val="ru-RU"/>
        </w:rPr>
        <w:t>.</w:t>
      </w:r>
      <w:bookmarkStart w:id="87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8" w:name="_Toc441744018"/>
      <w:r>
        <w:rPr>
          <w:lang w:val="ru-RU"/>
        </w:rPr>
        <w:t>Требования к программной реализации</w:t>
      </w:r>
      <w:bookmarkEnd w:id="88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Приложение локализатора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«Ядро» - основная функциональная часть ло</w:t>
      </w:r>
      <w:r w:rsidR="00782A6F">
        <w:rPr>
          <w:rFonts w:ascii="Times New Roman" w:hAnsi="Times New Roman" w:cs="Times New Roman"/>
          <w:lang w:val="ru-RU"/>
        </w:rPr>
        <w:t>кализатора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89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0" w:name="_Toc441744019"/>
      <w:r w:rsidRPr="004A3184">
        <w:rPr>
          <w:rFonts w:cs="Times New Roman"/>
          <w:lang w:val="ru-RU"/>
        </w:rPr>
        <w:lastRenderedPageBreak/>
        <w:t>Требования к программной документации</w:t>
      </w:r>
      <w:bookmarkEnd w:id="87"/>
      <w:bookmarkEnd w:id="89"/>
      <w:bookmarkEnd w:id="90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1" w:name="_Toc432970684"/>
      <w:bookmarkStart w:id="92" w:name="_Toc434960470"/>
      <w:bookmarkStart w:id="93" w:name="_Toc441744020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1"/>
      <w:bookmarkEnd w:id="92"/>
      <w:bookmarkEnd w:id="93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r w:rsidRPr="00FB7F92">
        <w:rPr>
          <w:rFonts w:ascii="Times New Roman" w:hAnsi="Times New Roman" w:cs="Times New Roman"/>
          <w:lang w:val="ru-RU"/>
        </w:rPr>
        <w:t xml:space="preserve"> «.</w:t>
      </w:r>
      <w:r w:rsidRPr="00FB7F92">
        <w:rPr>
          <w:rFonts w:ascii="Times New Roman" w:hAnsi="Times New Roman" w:cs="Times New Roman"/>
        </w:rPr>
        <w:t>desktop</w:t>
      </w:r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4" w:name="_Toc432970687"/>
      <w:bookmarkStart w:id="95" w:name="_Toc434960473"/>
      <w:bookmarkStart w:id="96" w:name="_Toc441744021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4"/>
      <w:bookmarkEnd w:id="95"/>
      <w:bookmarkEnd w:id="96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Qt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видов различных расположений «.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bookmarkStart w:id="97" w:name="_GoBack"/>
      <w:bookmarkEnd w:id="97"/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репозиториях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8" w:name="_Toc432970688"/>
      <w:bookmarkStart w:id="99" w:name="_Toc434960474"/>
      <w:bookmarkStart w:id="100" w:name="_Toc441744022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8"/>
      <w:bookmarkEnd w:id="99"/>
      <w:bookmarkEnd w:id="100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1" w:name="_Toc432970689"/>
      <w:bookmarkStart w:id="102" w:name="_Toc434960475"/>
      <w:bookmarkStart w:id="103" w:name="_Toc441744023"/>
      <w:r w:rsidRPr="004A3184">
        <w:rPr>
          <w:rFonts w:cs="Times New Roman"/>
          <w:lang w:val="ru-RU"/>
        </w:rPr>
        <w:t>Виды испытаний</w:t>
      </w:r>
      <w:bookmarkEnd w:id="101"/>
      <w:bookmarkEnd w:id="102"/>
      <w:bookmarkEnd w:id="103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4" w:name="_Toc432970690"/>
      <w:bookmarkStart w:id="105" w:name="_Toc434960476"/>
      <w:bookmarkStart w:id="106" w:name="_Toc441744024"/>
      <w:r w:rsidRPr="004A3184">
        <w:rPr>
          <w:rFonts w:cs="Times New Roman"/>
          <w:lang w:val="ru-RU"/>
        </w:rPr>
        <w:t>Общие условия приемки</w:t>
      </w:r>
      <w:bookmarkEnd w:id="104"/>
      <w:bookmarkEnd w:id="105"/>
      <w:bookmarkEnd w:id="106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r w:rsidRPr="00623FFE">
        <w:rPr>
          <w:lang w:val="ru-RU"/>
        </w:rPr>
        <w:lastRenderedPageBreak/>
        <w:t>Приложения</w:t>
      </w:r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локализатор desktop-файлов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в Linux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Многие приложения в Linux сопровождаются desktop-файлами,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desktop-файлы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Comment=Test application</w:t>
      </w:r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Comment[ru]=Тестовое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 Росы, вычленяющий те из них, где есть desktop-файлы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русском языке, и формирующий для них обновленные desktop-файлы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описаниями. Необходимо предусмотреть ситуации, когда desktop-файл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исходным кодом приложения (в этом случае необходимо формировать патч,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автоматизацию: на входе — набор пакетов приложений в формате rpm с desktop-файлами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исходный код к ним, на выходе — набор патчей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нелокализованных desktop-файлов.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 выбор — Perl, Python или Shell,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использовать Qt.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сорцами в проекте </w:t>
      </w:r>
      <w:r>
        <w:t>ABF</w:t>
      </w:r>
      <w:r w:rsidRPr="0043351B">
        <w:rPr>
          <w:lang w:val="ru-RU"/>
        </w:rPr>
        <w:t xml:space="preserve"> (и соответсвенно внутри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тарболлом)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тарболла с сорцами - </w:t>
      </w:r>
      <w:hyperlink r:id="rId19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патчить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>-файла лежит вместе с остальными локализацимями в *</w:t>
      </w:r>
      <w:r>
        <w:t>po</w:t>
      </w:r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патчи вам надо готовить для проектов в </w:t>
      </w:r>
      <w:r>
        <w:t>Git</w:t>
      </w:r>
      <w:r w:rsidRPr="0043351B">
        <w:rPr>
          <w:lang w:val="ru-RU"/>
        </w:rPr>
        <w:t xml:space="preserve">. Соответсвенно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r>
        <w:t>qp</w:t>
      </w:r>
      <w:r w:rsidRPr="0043351B">
        <w:rPr>
          <w:lang w:val="ru-RU"/>
        </w:rPr>
        <w:t xml:space="preserve"> --</w:t>
      </w:r>
      <w:r>
        <w:t>qf</w:t>
      </w:r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r>
        <w:t>rosa</w:t>
      </w:r>
      <w:r w:rsidRPr="0043351B">
        <w:rPr>
          <w:lang w:val="ru-RU"/>
        </w:rPr>
        <w:t>2014.1.</w:t>
      </w:r>
      <w:r>
        <w:t>noarch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соответсвующий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r>
        <w:t>rosa</w:t>
      </w:r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107" w:name="_Toc432970692"/>
      <w:bookmarkStart w:id="108" w:name="_Toc434960480"/>
      <w:bookmarkStart w:id="109" w:name="_Toc441744025"/>
      <w:r w:rsidRPr="004A3184">
        <w:rPr>
          <w:rFonts w:cs="Times New Roman"/>
          <w:lang w:val="ru-RU"/>
        </w:rPr>
        <w:lastRenderedPageBreak/>
        <w:t>Составили</w:t>
      </w:r>
      <w:bookmarkEnd w:id="107"/>
      <w:bookmarkEnd w:id="108"/>
      <w:bookmarkEnd w:id="10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0" w:name="_Toc432970693"/>
      <w:bookmarkStart w:id="111" w:name="_Toc434960481"/>
      <w:bookmarkStart w:id="112" w:name="_Toc441744026"/>
      <w:r w:rsidRPr="004A3184">
        <w:rPr>
          <w:rFonts w:cs="Times New Roman"/>
          <w:lang w:val="ru-RU"/>
        </w:rPr>
        <w:t>Согласовано</w:t>
      </w:r>
      <w:bookmarkEnd w:id="110"/>
      <w:bookmarkEnd w:id="111"/>
      <w:bookmarkEnd w:id="11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13" w:name="_Toc432970694"/>
      <w:bookmarkStart w:id="114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13"/>
      <w:bookmarkEnd w:id="114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E854" w14:textId="77777777" w:rsidR="00174298" w:rsidRDefault="00174298" w:rsidP="007171DF">
      <w:pPr>
        <w:spacing w:after="0" w:line="240" w:lineRule="auto"/>
      </w:pPr>
      <w:r>
        <w:separator/>
      </w:r>
    </w:p>
  </w:endnote>
  <w:endnote w:type="continuationSeparator" w:id="0">
    <w:p w14:paraId="043001FA" w14:textId="77777777" w:rsidR="00174298" w:rsidRDefault="00174298" w:rsidP="007171DF">
      <w:pPr>
        <w:spacing w:after="0" w:line="240" w:lineRule="auto"/>
      </w:pPr>
      <w:r>
        <w:continuationSeparator/>
      </w:r>
    </w:p>
  </w:endnote>
  <w:endnote w:type="continuationNotice" w:id="1">
    <w:p w14:paraId="656EBDA3" w14:textId="77777777" w:rsidR="00174298" w:rsidRDefault="001742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DA1510" w:rsidRDefault="00DA1510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DA1510" w:rsidRDefault="00DA151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DA1510" w:rsidRDefault="00DA1510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DA1510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</w:tr>
    <w:tr w:rsidR="00DA1510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DA1510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DA1510" w:rsidRPr="00115F6C" w:rsidRDefault="00DA1510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</w:tr>
    <w:tr w:rsidR="00DA1510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Взам. инв. №</w:t>
          </w:r>
        </w:p>
      </w:tc>
      <w:tc>
        <w:tcPr>
          <w:tcW w:w="2012" w:type="dxa"/>
        </w:tcPr>
        <w:p w14:paraId="4511BD0B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дубл.</w:t>
          </w:r>
        </w:p>
      </w:tc>
      <w:tc>
        <w:tcPr>
          <w:tcW w:w="1910" w:type="dxa"/>
        </w:tcPr>
        <w:p w14:paraId="548E2A1C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DA1510" w:rsidRPr="00C225BD" w:rsidRDefault="00DA1510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0934A" w14:textId="77777777" w:rsidR="00174298" w:rsidRDefault="00174298" w:rsidP="007171DF">
      <w:pPr>
        <w:spacing w:after="0" w:line="240" w:lineRule="auto"/>
      </w:pPr>
      <w:r>
        <w:separator/>
      </w:r>
    </w:p>
  </w:footnote>
  <w:footnote w:type="continuationSeparator" w:id="0">
    <w:p w14:paraId="4090F1FB" w14:textId="77777777" w:rsidR="00174298" w:rsidRDefault="00174298" w:rsidP="007171DF">
      <w:pPr>
        <w:spacing w:after="0" w:line="240" w:lineRule="auto"/>
      </w:pPr>
      <w:r>
        <w:continuationSeparator/>
      </w:r>
    </w:p>
  </w:footnote>
  <w:footnote w:type="continuationNotice" w:id="1">
    <w:p w14:paraId="7A96A511" w14:textId="77777777" w:rsidR="00174298" w:rsidRDefault="001742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DA1510" w:rsidRDefault="00DA1510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DA1510" w:rsidRDefault="00DA1510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DA1510" w:rsidRDefault="00DA1510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DA1510" w:rsidRPr="00511030" w:rsidRDefault="00DA1510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DA1510" w:rsidRDefault="00DA1510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DA1510" w:rsidRDefault="00DA1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938" w:rsidRPr="00017938">
          <w:rPr>
            <w:noProof/>
            <w:lang w:val="ru-RU"/>
          </w:rPr>
          <w:t>15</w:t>
        </w:r>
        <w:r>
          <w:fldChar w:fldCharType="end"/>
        </w:r>
      </w:p>
    </w:sdtContent>
  </w:sdt>
  <w:p w14:paraId="03527506" w14:textId="7B43342F" w:rsidR="00DA1510" w:rsidRPr="00BC0B24" w:rsidRDefault="00DA1510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DA1510" w:rsidRDefault="00DA15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0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7"/>
  </w:num>
  <w:num w:numId="7">
    <w:abstractNumId w:val="42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0"/>
  </w:num>
  <w:num w:numId="20">
    <w:abstractNumId w:val="14"/>
  </w:num>
  <w:num w:numId="21">
    <w:abstractNumId w:val="10"/>
  </w:num>
  <w:num w:numId="22">
    <w:abstractNumId w:val="41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39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8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yperlink" Target="https://abf.io/import/rosa-freeze-ui/blob/rosa2014.1/rosa-freeze-ui.spec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hpmyadm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iki.rosalab.ru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abf.io/import/pid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711792F1-2DCA-4289-B793-08CABBE0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2</cp:revision>
  <dcterms:created xsi:type="dcterms:W3CDTF">2016-02-16T11:13:00Z</dcterms:created>
  <dcterms:modified xsi:type="dcterms:W3CDTF">2016-02-16T11:13:00Z</dcterms:modified>
</cp:coreProperties>
</file>