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DA" w:rsidRPr="00057C5B" w:rsidRDefault="00E75AF6">
      <w:pPr>
        <w:pStyle w:val="1"/>
        <w:tabs>
          <w:tab w:val="left" w:pos="3810"/>
          <w:tab w:val="center" w:pos="5315"/>
        </w:tabs>
        <w:ind w:right="141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Опись отправления заказа № </w:t>
      </w:r>
      <w:r w:rsidR="00057C5B" w:rsidRPr="00057C5B">
        <w:rPr>
          <w:rFonts w:ascii="Century Gothic" w:eastAsia="Century Gothic" w:hAnsi="Century Gothic" w:cs="Century Gothic"/>
          <w:b/>
          <w:color w:val="000000"/>
        </w:rPr>
        <w:t>${</w:t>
      </w:r>
      <w:r w:rsidR="00057C5B">
        <w:rPr>
          <w:rFonts w:ascii="Century Gothic" w:eastAsia="Century Gothic" w:hAnsi="Century Gothic" w:cs="Century Gothic"/>
          <w:b/>
          <w:color w:val="000000"/>
          <w:lang w:val="en-US"/>
        </w:rPr>
        <w:t>shipment</w:t>
      </w:r>
      <w:r w:rsidR="00057C5B" w:rsidRPr="00057C5B">
        <w:rPr>
          <w:rFonts w:ascii="Century Gothic" w:eastAsia="Century Gothic" w:hAnsi="Century Gothic" w:cs="Century Gothic"/>
          <w:b/>
          <w:color w:val="000000"/>
        </w:rPr>
        <w:t>_</w:t>
      </w:r>
      <w:r w:rsidR="00057C5B">
        <w:rPr>
          <w:rFonts w:ascii="Century Gothic" w:eastAsia="Century Gothic" w:hAnsi="Century Gothic" w:cs="Century Gothic"/>
          <w:b/>
          <w:color w:val="000000"/>
          <w:lang w:val="en-US"/>
        </w:rPr>
        <w:t>number</w:t>
      </w:r>
      <w:r w:rsidR="00057C5B" w:rsidRPr="00057C5B">
        <w:rPr>
          <w:rFonts w:ascii="Century Gothic" w:eastAsia="Century Gothic" w:hAnsi="Century Gothic" w:cs="Century Gothic"/>
          <w:b/>
          <w:color w:val="000000"/>
        </w:rPr>
        <w:t>}</w:t>
      </w:r>
    </w:p>
    <w:p w:rsidR="00287EDA" w:rsidRDefault="00287EDA">
      <w:pPr>
        <w:ind w:right="141"/>
        <w:jc w:val="center"/>
        <w:rPr>
          <w:b/>
        </w:rPr>
      </w:pPr>
    </w:p>
    <w:p w:rsidR="00287EDA" w:rsidRDefault="00287EDA">
      <w:pPr>
        <w:ind w:right="141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f0"/>
        <w:tblW w:w="1040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417"/>
        <w:gridCol w:w="5244"/>
        <w:gridCol w:w="709"/>
        <w:gridCol w:w="1336"/>
        <w:gridCol w:w="1276"/>
      </w:tblGrid>
      <w:tr w:rsidR="00287EDA" w:rsidTr="00B13EA9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Артикул товара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Наименование товара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-162" w:firstLine="110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Кол-во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EDA" w:rsidRDefault="00E75AF6">
            <w:pPr>
              <w:ind w:left="-110" w:right="141" w:firstLine="110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Стоимость</w:t>
            </w:r>
          </w:p>
        </w:tc>
      </w:tr>
      <w:tr w:rsidR="00B13EA9" w:rsidTr="00B13EA9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Pr="00B13EA9" w:rsidRDefault="006257C9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${table.row}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Default="00B13EA9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${table.product_article}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Default="00B13EA9" w:rsidP="00B13EA9">
            <w:pPr>
              <w:ind w:right="141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${table.product_name}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Default="00B13EA9" w:rsidP="00B13EA9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${table.product_qty}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Pr="0029419A" w:rsidRDefault="00B13EA9" w:rsidP="00B13EA9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${table.product_price_per_unit}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EA9" w:rsidRPr="0029419A" w:rsidRDefault="00B13EA9" w:rsidP="00B13EA9">
            <w:pPr>
              <w:jc w:val="center"/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sz w:val="14"/>
                <w:szCs w:val="14"/>
                <w:lang w:val="en-US"/>
              </w:rPr>
              <w:t>${table.product_price}</w:t>
            </w:r>
          </w:p>
        </w:tc>
      </w:tr>
      <w:tr w:rsidR="00B13EA9" w:rsidTr="00B13EA9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Default="00B13EA9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Default="00B13EA9" w:rsidP="00B13EA9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Default="00B13EA9" w:rsidP="00B13EA9">
            <w:pPr>
              <w:ind w:right="141"/>
              <w:jc w:val="right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Pr="00B13EA9" w:rsidRDefault="00914D54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</w:t>
            </w:r>
            <w:bookmarkStart w:id="0" w:name="_GoBack"/>
            <w:bookmarkEnd w:id="0"/>
            <w:r w:rsidR="00B13EA9"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{table.total_product_qty}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Pr="00B13EA9" w:rsidRDefault="00B13EA9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${table.total_product_price_per_unit}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EA9" w:rsidRPr="00B13EA9" w:rsidRDefault="00B13EA9" w:rsidP="00B13EA9">
            <w:pPr>
              <w:ind w:right="141"/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  <w:lang w:val="en-US"/>
              </w:rPr>
              <w:t>${table.total_product_price}</w:t>
            </w:r>
          </w:p>
        </w:tc>
      </w:tr>
    </w:tbl>
    <w:p w:rsidR="00287EDA" w:rsidRDefault="00287EDA">
      <w:pPr>
        <w:ind w:right="141"/>
        <w:rPr>
          <w:rFonts w:ascii="Century Gothic" w:eastAsia="Century Gothic" w:hAnsi="Century Gothic" w:cs="Century Gothic"/>
          <w:sz w:val="16"/>
          <w:szCs w:val="16"/>
        </w:rPr>
      </w:pPr>
    </w:p>
    <w:p w:rsidR="00287EDA" w:rsidRDefault="00E75AF6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СПАСИБО ЗА ПОКУПКУ В ИНТЕРНЕТ-МАГАЗИНЕ</w:t>
      </w:r>
    </w:p>
    <w:p w:rsidR="00287EDA" w:rsidRDefault="00287EDA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Мы надеемся, что вам понравится ваша новая покупка. Если вам не понравились приобретенные товары, у вас есть 7 дней с момента получения вашего заказа для его обмена или возврата. Мы заберем ваши товары бесплатно, в удобный для вас день. </w:t>
      </w:r>
    </w:p>
    <w:p w:rsidR="00287EDA" w:rsidRDefault="00287EDA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287EDA" w:rsidRDefault="00E75AF6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ОБМЕН</w:t>
      </w: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Для того чтобы обменять товар, вам необходимо заказать на нашем сайте новый товар и оформить возврат не подошедшего.</w:t>
      </w:r>
    </w:p>
    <w:p w:rsidR="00287EDA" w:rsidRDefault="00287EDA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287EDA" w:rsidRDefault="00E75AF6">
      <w:pPr>
        <w:tabs>
          <w:tab w:val="left" w:pos="1853"/>
        </w:tabs>
        <w:spacing w:before="60"/>
        <w:ind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ВОЗВРАТ</w:t>
      </w: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Вы можете вернуть товар, если указанный товар не был в употреблении и сохранил свой первоначальный вид. Для возврата должны быть с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охранены фабричные ярлыки и пломбы оригинальной упаковки. Если к товару был приложен подарок, он должен быть передан вместе с товаром. При возникновении спора о факте употребления товара и сохранности его товарного вида производится независимая экспертиза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товара. </w:t>
      </w: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Для оформления возврата вам необходимо: </w:t>
      </w:r>
    </w:p>
    <w:p w:rsidR="00287EDA" w:rsidRDefault="00E75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Заполнить и подписать заявление на возврат на обратной стороне данного документа или в вашем Личном кабинете в разделе </w:t>
      </w:r>
      <w:r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Мои заказы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на сайте </w:t>
      </w:r>
      <w:hyperlink r:id="rId8">
        <w:r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https://ibt.studio</w:t>
        </w:r>
      </w:hyperlink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</w:p>
    <w:p w:rsidR="00287EDA" w:rsidRDefault="00E75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Выбрать один из способов передачи возвратного товара:</w:t>
      </w:r>
    </w:p>
    <w:p w:rsidR="00287EDA" w:rsidRDefault="00E75AF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Курьеру;</w:t>
      </w:r>
    </w:p>
    <w:p w:rsidR="00287EDA" w:rsidRDefault="00E75AF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Пункт Выдачи Заказов (ПВЗ).</w:t>
      </w:r>
    </w:p>
    <w:p w:rsidR="00287EDA" w:rsidRDefault="00E75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Приготовить товар на возврат и приложить к нему заполненное и подписанное заявление на возврат, копию паспорта (страницы с общими данными и регистрацией), кассовый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чек.</w:t>
      </w:r>
    </w:p>
    <w:p w:rsidR="00287EDA" w:rsidRDefault="00E75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Передать товар и документацию, описанную выше, курьеру, либо сотруднику Пункта Выдачи Заказов;</w:t>
      </w:r>
    </w:p>
    <w:p w:rsidR="00287EDA" w:rsidRDefault="00E75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Дождаться уведомления о переводе денежных средств.</w:t>
      </w:r>
    </w:p>
    <w:p w:rsidR="00287EDA" w:rsidRDefault="00287EDA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ВОЗВРАТ ДЕНЕЖНЫХ СРЕДСТВ</w:t>
      </w: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Возврат денежных средств осуществляется в соответствии с указанными банковскими реквизитами.</w:t>
      </w:r>
    </w:p>
    <w:p w:rsidR="00287EDA" w:rsidRDefault="00E75AF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Возврат денежных средств осуществляется в течение 10 рабочих дней с момента получения корректно заполненного и подписанного заявления на возврат. Срок зачисления д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енежных средств на расчетный счет зависит от внутреннего регламента банка-получателя.</w:t>
      </w:r>
    </w:p>
    <w:p w:rsidR="00287EDA" w:rsidRDefault="00287EDA">
      <w:pPr>
        <w:tabs>
          <w:tab w:val="left" w:pos="1853"/>
        </w:tabs>
        <w:spacing w:before="60"/>
        <w:ind w:left="74"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287EDA" w:rsidRDefault="00E75AF6">
      <w:pPr>
        <w:tabs>
          <w:tab w:val="left" w:pos="1853"/>
        </w:tabs>
        <w:spacing w:before="60"/>
        <w:ind w:left="74" w:right="141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ОГРАНИЧЕНИЯ ВОЗВРАТА ТОВАРОВ, В ТОМ ЧИСЛЕ ПО ПРИЧИНЕ ЕГО ОБМЕНА</w:t>
      </w:r>
    </w:p>
    <w:p w:rsidR="00287EDA" w:rsidRDefault="00E75AF6">
      <w:pPr>
        <w:tabs>
          <w:tab w:val="left" w:pos="1853"/>
        </w:tabs>
        <w:spacing w:before="60"/>
        <w:ind w:right="14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Согласно утвержденному Постановлению №55 от 1998 года, не все товары надлежащего качества можно вернуть о</w:t>
      </w:r>
      <w:r>
        <w:rPr>
          <w:rFonts w:ascii="Times New Roman" w:eastAsia="Times New Roman" w:hAnsi="Times New Roman" w:cs="Times New Roman"/>
          <w:sz w:val="16"/>
          <w:szCs w:val="16"/>
        </w:rPr>
        <w:t>братно в магазин. Так, возврату не    подлежат следующие категории товаров надлежащего качества:</w:t>
      </w:r>
    </w:p>
    <w:p w:rsidR="00287EDA" w:rsidRDefault="00E75A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Предметы личной гигиены,</w:t>
      </w:r>
    </w:p>
    <w:p w:rsidR="00287EDA" w:rsidRDefault="00E75A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Духи,</w:t>
      </w:r>
    </w:p>
    <w:p w:rsidR="00287EDA" w:rsidRDefault="00E75A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Косметическая продукция,</w:t>
      </w:r>
    </w:p>
    <w:p w:rsidR="00287EDA" w:rsidRDefault="00E75A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Бытовая химия,</w:t>
      </w:r>
    </w:p>
    <w:p w:rsidR="00287EDA" w:rsidRDefault="00E75A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right="141" w:hanging="36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 другие категории товаров.</w:t>
      </w:r>
    </w:p>
    <w:p w:rsidR="00287EDA" w:rsidRDefault="00E75AF6">
      <w:pPr>
        <w:tabs>
          <w:tab w:val="left" w:pos="1853"/>
        </w:tabs>
        <w:spacing w:before="60"/>
        <w:ind w:right="141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                                                                                                           ИНФОРМАЦИЯ О ПРОДАВЦЕ:</w:t>
      </w:r>
    </w:p>
    <w:p w:rsidR="00287EDA" w:rsidRDefault="00287EDA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 w:right="141" w:hanging="7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Название организации ООО «Бессовестно Талантливый»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ИНН 9709054789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КПП 770901001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ОГРН 1197746589556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Юр. адрес: 105120, г. Москва, 4-ый Сыромятнический переулок д. 8/1,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стр. 7, эт 2, пом. I, ком. 18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 Телефоны клиентской поддержки:</w:t>
      </w:r>
    </w:p>
    <w:p w:rsidR="00287EDA" w:rsidRDefault="00E75AF6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ind w:left="434" w:right="141" w:hanging="72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E-mail : professional@ibt.studio</w:t>
      </w:r>
    </w:p>
    <w:p w:rsidR="00287EDA" w:rsidRDefault="00287EDA">
      <w:pPr>
        <w:spacing w:after="120"/>
        <w:ind w:right="141"/>
        <w:rPr>
          <w:rFonts w:ascii="Century Gothic" w:eastAsia="Century Gothic" w:hAnsi="Century Gothic" w:cs="Century Gothic"/>
          <w:b/>
          <w:sz w:val="18"/>
          <w:szCs w:val="18"/>
        </w:rPr>
      </w:pPr>
      <w:bookmarkStart w:id="1" w:name="_heading=h.gjdgxs" w:colFirst="0" w:colLast="0"/>
      <w:bookmarkEnd w:id="1"/>
    </w:p>
    <w:sectPr w:rsidR="00287EDA">
      <w:headerReference w:type="default" r:id="rId9"/>
      <w:footerReference w:type="even" r:id="rId10"/>
      <w:pgSz w:w="11900" w:h="16840"/>
      <w:pgMar w:top="12" w:right="418" w:bottom="993" w:left="851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F6" w:rsidRDefault="00E75AF6">
      <w:r>
        <w:separator/>
      </w:r>
    </w:p>
  </w:endnote>
  <w:endnote w:type="continuationSeparator" w:id="0">
    <w:p w:rsidR="00E75AF6" w:rsidRDefault="00E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DA" w:rsidRDefault="00E75A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end"/>
    </w:r>
  </w:p>
  <w:p w:rsidR="00287EDA" w:rsidRDefault="00287E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F6" w:rsidRDefault="00E75AF6">
      <w:r>
        <w:separator/>
      </w:r>
    </w:p>
  </w:footnote>
  <w:footnote w:type="continuationSeparator" w:id="0">
    <w:p w:rsidR="00E75AF6" w:rsidRDefault="00E7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DA" w:rsidRDefault="00287E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/>
        <w:color w:val="000000"/>
      </w:rPr>
    </w:pPr>
  </w:p>
  <w:p w:rsidR="00287EDA" w:rsidRDefault="00E75A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/>
        <w:color w:val="000000"/>
      </w:rPr>
    </w:pPr>
    <w:r>
      <w:rPr>
        <w:rFonts w:eastAsia="Calibri"/>
        <w:b/>
        <w:noProof/>
        <w:color w:val="FFFFFF"/>
        <w:sz w:val="28"/>
        <w:szCs w:val="28"/>
      </w:rPr>
      <w:drawing>
        <wp:inline distT="0" distB="0" distL="0" distR="0">
          <wp:extent cx="1303972" cy="471413"/>
          <wp:effectExtent l="0" t="0" r="0" b="0"/>
          <wp:docPr id="2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972" cy="471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87EDA" w:rsidRDefault="00287E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5AC7"/>
    <w:multiLevelType w:val="multilevel"/>
    <w:tmpl w:val="76DA1A98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4B795A"/>
    <w:multiLevelType w:val="multilevel"/>
    <w:tmpl w:val="8C228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DA"/>
    <w:rsid w:val="00057C5B"/>
    <w:rsid w:val="00287EDA"/>
    <w:rsid w:val="006257C9"/>
    <w:rsid w:val="00914D54"/>
    <w:rsid w:val="00B13EA9"/>
    <w:rsid w:val="00E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1915"/>
  <w15:docId w15:val="{5653D5EB-F193-4318-AEEA-EE1F3B04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DA4"/>
    <w:rPr>
      <w:rFonts w:eastAsia="SimSun"/>
    </w:rPr>
  </w:style>
  <w:style w:type="paragraph" w:styleId="1">
    <w:name w:val="heading 1"/>
    <w:basedOn w:val="a"/>
    <w:next w:val="a"/>
    <w:link w:val="10"/>
    <w:qFormat/>
    <w:rsid w:val="00332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332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2D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2DA4"/>
    <w:rPr>
      <w:rFonts w:eastAsia="SimSu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32D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2DA4"/>
    <w:rPr>
      <w:rFonts w:eastAsia="SimSun"/>
      <w:sz w:val="24"/>
      <w:szCs w:val="24"/>
    </w:rPr>
  </w:style>
  <w:style w:type="paragraph" w:styleId="a8">
    <w:name w:val="List Paragraph"/>
    <w:basedOn w:val="a"/>
    <w:link w:val="a9"/>
    <w:uiPriority w:val="1"/>
    <w:qFormat/>
    <w:rsid w:val="00332DA4"/>
    <w:pPr>
      <w:ind w:left="720"/>
      <w:contextualSpacing/>
    </w:pPr>
  </w:style>
  <w:style w:type="character" w:styleId="aa">
    <w:name w:val="page number"/>
    <w:basedOn w:val="a0"/>
    <w:unhideWhenUsed/>
    <w:rsid w:val="00332DA4"/>
  </w:style>
  <w:style w:type="character" w:styleId="ab">
    <w:name w:val="Hyperlink"/>
    <w:basedOn w:val="a0"/>
    <w:uiPriority w:val="99"/>
    <w:unhideWhenUsed/>
    <w:rsid w:val="00332DA4"/>
    <w:rPr>
      <w:color w:val="0000FF"/>
      <w:u w:val="single"/>
    </w:rPr>
  </w:style>
  <w:style w:type="table" w:styleId="ac">
    <w:name w:val="Table Grid"/>
    <w:basedOn w:val="a1"/>
    <w:rsid w:val="00332DA4"/>
    <w:rPr>
      <w:rFonts w:ascii="Liberation Serif" w:eastAsia="SimSun" w:hAnsi="Liberation Serif" w:cs="Arial"/>
      <w:kern w:val="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332DA4"/>
    <w:rPr>
      <w:rFonts w:eastAsia="SimSun"/>
      <w:sz w:val="24"/>
      <w:szCs w:val="24"/>
    </w:rPr>
  </w:style>
  <w:style w:type="paragraph" w:styleId="ad">
    <w:name w:val="annotation text"/>
    <w:basedOn w:val="a"/>
    <w:link w:val="ae"/>
    <w:uiPriority w:val="99"/>
    <w:unhideWhenUsed/>
    <w:rsid w:val="009779B9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character" w:customStyle="1" w:styleId="ae">
    <w:name w:val="Текст примечания Знак"/>
    <w:basedOn w:val="a0"/>
    <w:link w:val="ad"/>
    <w:uiPriority w:val="99"/>
    <w:rsid w:val="009779B9"/>
    <w:rPr>
      <w:rFonts w:ascii="Arial" w:eastAsia="Arial" w:hAnsi="Arial" w:cs="Arial"/>
      <w:sz w:val="20"/>
      <w:szCs w:val="20"/>
      <w:lang w:val="en-US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rPr>
      <w:rFonts w:ascii="Liberation Serif" w:eastAsia="Liberation Serif" w:hAnsi="Liberation Serif" w:cs="Liberation Seri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t.st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1IcfvTaBPMZI+SFgMvOCkraMaQ==">AMUW2mXWz4vQaYacC4rClxbb7hMjEFFoCANf07ZXTWqd9kF4kYApnnNtZsIsaGGhocRDfZDNMyz3poq8JXJw3nsPeX1t60QKdC1Dy3t65JcLSHAoG6rT/Ts=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Дмитрий Викторович</dc:creator>
  <cp:lastModifiedBy>Evgeny Bereza</cp:lastModifiedBy>
  <cp:revision>5</cp:revision>
  <dcterms:created xsi:type="dcterms:W3CDTF">2020-03-04T13:59:00Z</dcterms:created>
  <dcterms:modified xsi:type="dcterms:W3CDTF">2020-04-08T14:52:00Z</dcterms:modified>
</cp:coreProperties>
</file>