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E32F" w14:textId="77777777" w:rsidR="00535853" w:rsidRPr="006D1D57" w:rsidRDefault="00535853" w:rsidP="00535853">
      <w:pPr>
        <w:jc w:val="center"/>
        <w:rPr>
          <w:rFonts w:ascii="Apple Chancery" w:hAnsi="Apple Chancery" w:cs="Apple Chancery"/>
          <w:sz w:val="28"/>
        </w:rPr>
      </w:pPr>
      <w:r w:rsidRPr="006D1D57">
        <w:rPr>
          <w:rFonts w:ascii="Apple Chancery" w:hAnsi="Apple Chancery" w:cs="Apple Chancery"/>
          <w:sz w:val="28"/>
        </w:rPr>
        <w:t>Robin Fogarty &amp; Associates</w:t>
      </w:r>
    </w:p>
    <w:p w14:paraId="25D16EDF" w14:textId="77777777" w:rsidR="00110A6D" w:rsidRPr="006D1D57" w:rsidRDefault="00535853" w:rsidP="00535853">
      <w:pPr>
        <w:jc w:val="center"/>
        <w:rPr>
          <w:rFonts w:ascii="Gill Sans" w:hAnsi="Gill Sans" w:cs="Gill Sans"/>
          <w:sz w:val="40"/>
          <w:szCs w:val="36"/>
        </w:rPr>
      </w:pPr>
      <w:r w:rsidRPr="006D1D57">
        <w:rPr>
          <w:rFonts w:ascii="Gill Sans" w:hAnsi="Gill Sans" w:cs="Gill Sans"/>
          <w:sz w:val="40"/>
          <w:szCs w:val="36"/>
        </w:rPr>
        <w:t>Professional Development</w:t>
      </w:r>
    </w:p>
    <w:p w14:paraId="6E9730F5" w14:textId="77777777" w:rsidR="00901B86" w:rsidRPr="00DE0A4F" w:rsidRDefault="00901B86">
      <w:pPr>
        <w:rPr>
          <w:sz w:val="10"/>
        </w:rPr>
      </w:pPr>
    </w:p>
    <w:p w14:paraId="393E1FF0" w14:textId="77777777" w:rsidR="00901B86" w:rsidRPr="00431CF3" w:rsidRDefault="00901B86" w:rsidP="00431CF3">
      <w:pPr>
        <w:widowControl w:val="0"/>
        <w:autoSpaceDE w:val="0"/>
        <w:autoSpaceDN w:val="0"/>
        <w:adjustRightInd w:val="0"/>
        <w:jc w:val="center"/>
        <w:rPr>
          <w:rFonts w:ascii="Gill Sans" w:hAnsi="Gill Sans" w:cs="Gill Sans"/>
          <w:b/>
          <w:bCs/>
          <w:i/>
          <w:sz w:val="32"/>
        </w:rPr>
      </w:pPr>
      <w:r w:rsidRPr="00431CF3">
        <w:rPr>
          <w:rFonts w:ascii="Gill Sans" w:hAnsi="Gill Sans" w:cs="Gill Sans"/>
          <w:b/>
          <w:bCs/>
          <w:i/>
          <w:sz w:val="32"/>
        </w:rPr>
        <w:t>High Tech, High Touch, High Thought Classrooms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tblGrid>
      <w:tr w:rsidR="006D1D57" w14:paraId="2B7616D6" w14:textId="77777777" w:rsidTr="00431CF3">
        <w:tc>
          <w:tcPr>
            <w:tcW w:w="8100" w:type="dxa"/>
          </w:tcPr>
          <w:p w14:paraId="1F5C1A9F" w14:textId="77777777" w:rsidR="00535853" w:rsidRDefault="00535853" w:rsidP="00535853">
            <w:pPr>
              <w:widowControl w:val="0"/>
              <w:autoSpaceDE w:val="0"/>
              <w:autoSpaceDN w:val="0"/>
              <w:adjustRightInd w:val="0"/>
              <w:jc w:val="center"/>
              <w:rPr>
                <w:rFonts w:ascii="Gill Sans" w:hAnsi="Gill Sans" w:cs="Gill Sans"/>
                <w:b/>
              </w:rPr>
            </w:pPr>
            <w:r>
              <w:rPr>
                <w:rFonts w:ascii="Gill Sans" w:hAnsi="Gill Sans" w:cs="Gill Sans"/>
                <w:b/>
                <w:noProof/>
              </w:rPr>
              <w:drawing>
                <wp:inline distT="0" distB="0" distL="0" distR="0" wp14:anchorId="6B8DB46D" wp14:editId="211A6E60">
                  <wp:extent cx="3713268" cy="2197018"/>
                  <wp:effectExtent l="25400" t="2540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ciousUnconcious.jpg"/>
                          <pic:cNvPicPr/>
                        </pic:nvPicPr>
                        <pic:blipFill>
                          <a:blip r:embed="rId8">
                            <a:extLst>
                              <a:ext uri="{28A0092B-C50C-407E-A947-70E740481C1C}">
                                <a14:useLocalDpi xmlns:a14="http://schemas.microsoft.com/office/drawing/2010/main" val="0"/>
                              </a:ext>
                            </a:extLst>
                          </a:blip>
                          <a:stretch>
                            <a:fillRect/>
                          </a:stretch>
                        </pic:blipFill>
                        <pic:spPr>
                          <a:xfrm>
                            <a:off x="0" y="0"/>
                            <a:ext cx="3714098" cy="2197509"/>
                          </a:xfrm>
                          <a:prstGeom prst="rect">
                            <a:avLst/>
                          </a:prstGeom>
                          <a:ln>
                            <a:solidFill>
                              <a:schemeClr val="tx1"/>
                            </a:solidFill>
                          </a:ln>
                        </pic:spPr>
                      </pic:pic>
                    </a:graphicData>
                  </a:graphic>
                </wp:inline>
              </w:drawing>
            </w:r>
          </w:p>
        </w:tc>
      </w:tr>
    </w:tbl>
    <w:p w14:paraId="6C56D7BF" w14:textId="77777777" w:rsidR="00535853" w:rsidRPr="00D8380E" w:rsidRDefault="00535853" w:rsidP="00901B86">
      <w:pPr>
        <w:widowControl w:val="0"/>
        <w:autoSpaceDE w:val="0"/>
        <w:autoSpaceDN w:val="0"/>
        <w:adjustRightInd w:val="0"/>
        <w:rPr>
          <w:rFonts w:ascii="Gill Sans" w:hAnsi="Gill Sans" w:cs="Gill Sans"/>
          <w:b/>
        </w:rPr>
      </w:pPr>
    </w:p>
    <w:p w14:paraId="5A9FA994" w14:textId="77777777" w:rsidR="00901B86" w:rsidRPr="006D1D57" w:rsidRDefault="00901B86" w:rsidP="00933426">
      <w:pPr>
        <w:widowControl w:val="0"/>
        <w:autoSpaceDE w:val="0"/>
        <w:autoSpaceDN w:val="0"/>
        <w:adjustRightInd w:val="0"/>
        <w:rPr>
          <w:rFonts w:ascii="Gill Sans" w:hAnsi="Gill Sans" w:cs="Gill Sans"/>
          <w:sz w:val="22"/>
          <w:szCs w:val="22"/>
        </w:rPr>
      </w:pPr>
      <w:r w:rsidRPr="006D1D57">
        <w:rPr>
          <w:rFonts w:ascii="Gill Sans" w:hAnsi="Gill Sans" w:cs="Gill Sans"/>
          <w:sz w:val="22"/>
          <w:szCs w:val="22"/>
        </w:rPr>
        <w:t xml:space="preserve">Real world application drives 21st Century, academic learning. In this generation, students don’t to </w:t>
      </w:r>
      <w:r w:rsidRPr="006D1D57">
        <w:rPr>
          <w:rFonts w:ascii="Gill Sans" w:hAnsi="Gill Sans" w:cs="Gill Sans"/>
          <w:i/>
          <w:iCs/>
          <w:sz w:val="22"/>
          <w:szCs w:val="22"/>
        </w:rPr>
        <w:t>learn to do</w:t>
      </w:r>
      <w:r w:rsidRPr="006D1D57">
        <w:rPr>
          <w:rFonts w:ascii="Gill Sans" w:hAnsi="Gill Sans" w:cs="Gill Sans"/>
          <w:sz w:val="22"/>
          <w:szCs w:val="22"/>
        </w:rPr>
        <w:t xml:space="preserve"> they </w:t>
      </w:r>
      <w:r w:rsidRPr="006D1D57">
        <w:rPr>
          <w:rFonts w:ascii="Gill Sans" w:hAnsi="Gill Sans" w:cs="Gill Sans"/>
          <w:i/>
          <w:iCs/>
          <w:sz w:val="22"/>
          <w:szCs w:val="22"/>
        </w:rPr>
        <w:t>do to learn.</w:t>
      </w:r>
      <w:r w:rsidRPr="006D1D57">
        <w:rPr>
          <w:rFonts w:ascii="Gill Sans" w:hAnsi="Gill Sans" w:cs="Gill Sans"/>
          <w:sz w:val="22"/>
          <w:szCs w:val="22"/>
        </w:rPr>
        <w:t xml:space="preserve"> They live in a fast-paced society and are impatient with the slow and steady rhythm of the traditional classroom. How do significant curriculum shifts toward a more relevant, inquiry-oriented approach to more rigorous, learning model occur within this assessment-driven culture? How do teachers guide kids to dig into authentic problems? How do they support “high-tech” applications in a digital-rich classroom? How do they foster collegial, “high-touch” teamwork on projects and papers? How do they challenge students with rigor in “high-thought” explorations, investigations, and experimentations? “</w:t>
      </w:r>
      <w:r w:rsidRPr="006D1D57">
        <w:rPr>
          <w:rFonts w:ascii="Gill Sans" w:hAnsi="Gill Sans" w:cs="Gill Sans"/>
          <w:i/>
          <w:sz w:val="22"/>
          <w:szCs w:val="22"/>
        </w:rPr>
        <w:t>The times, they are a changing</w:t>
      </w:r>
      <w:r w:rsidRPr="006D1D57">
        <w:rPr>
          <w:rFonts w:ascii="Gill Sans" w:hAnsi="Gill Sans" w:cs="Gill Sans"/>
          <w:sz w:val="22"/>
          <w:szCs w:val="22"/>
        </w:rPr>
        <w:t>”, and they are changing at breakneck speed. How do we, as leaders, retool schools to meet the challenges in relevant ways?</w:t>
      </w:r>
    </w:p>
    <w:p w14:paraId="3A3981E3" w14:textId="77777777" w:rsidR="00901B86" w:rsidRPr="006D1D57" w:rsidRDefault="00901B86" w:rsidP="006D1D57">
      <w:pPr>
        <w:widowControl w:val="0"/>
        <w:autoSpaceDE w:val="0"/>
        <w:autoSpaceDN w:val="0"/>
        <w:adjustRightInd w:val="0"/>
        <w:spacing w:line="276" w:lineRule="auto"/>
        <w:rPr>
          <w:rFonts w:ascii="Gill Sans" w:hAnsi="Gill Sans" w:cs="Gill Sans"/>
          <w:sz w:val="16"/>
          <w:szCs w:val="22"/>
        </w:rPr>
      </w:pPr>
    </w:p>
    <w:p w14:paraId="4B38A340" w14:textId="77777777" w:rsidR="00901B86" w:rsidRPr="006D1D57" w:rsidRDefault="00901B86" w:rsidP="00933426">
      <w:pPr>
        <w:rPr>
          <w:rFonts w:ascii="Gill Sans" w:hAnsi="Gill Sans" w:cs="Gill Sans"/>
          <w:sz w:val="22"/>
          <w:szCs w:val="22"/>
        </w:rPr>
      </w:pPr>
      <w:r w:rsidRPr="006D1D57">
        <w:rPr>
          <w:rFonts w:ascii="Gill Sans" w:hAnsi="Gill Sans" w:cs="Gill Sans"/>
          <w:sz w:val="22"/>
          <w:szCs w:val="22"/>
        </w:rPr>
        <w:t>High Tech - Communication</w:t>
      </w:r>
    </w:p>
    <w:p w14:paraId="56DBBA85" w14:textId="77777777" w:rsidR="00901B86" w:rsidRPr="006D1D57" w:rsidRDefault="00901B86" w:rsidP="00933426">
      <w:pPr>
        <w:rPr>
          <w:rFonts w:ascii="Gill Sans" w:hAnsi="Gill Sans" w:cs="Gill Sans"/>
          <w:sz w:val="22"/>
          <w:szCs w:val="22"/>
        </w:rPr>
      </w:pPr>
      <w:r w:rsidRPr="006D1D57">
        <w:rPr>
          <w:rFonts w:ascii="Gill Sans" w:hAnsi="Gill Sans" w:cs="Gill Sans"/>
          <w:sz w:val="22"/>
          <w:szCs w:val="22"/>
        </w:rPr>
        <w:t>High Touch - Collaboration</w:t>
      </w:r>
    </w:p>
    <w:p w14:paraId="0737430A" w14:textId="2948BEBD" w:rsidR="00901B86" w:rsidRPr="006D1D57" w:rsidRDefault="00901B86" w:rsidP="00933426">
      <w:pPr>
        <w:rPr>
          <w:rFonts w:ascii="Gill Sans" w:hAnsi="Gill Sans" w:cs="Gill Sans"/>
          <w:sz w:val="22"/>
          <w:szCs w:val="22"/>
        </w:rPr>
      </w:pPr>
      <w:r w:rsidRPr="006D1D57">
        <w:rPr>
          <w:rFonts w:ascii="Gill Sans" w:hAnsi="Gill Sans" w:cs="Gill Sans"/>
          <w:sz w:val="22"/>
          <w:szCs w:val="22"/>
        </w:rPr>
        <w:t>High Thought - Creative &amp; Critical Thinking</w:t>
      </w:r>
    </w:p>
    <w:p w14:paraId="6E138DED" w14:textId="77777777" w:rsidR="00901B86" w:rsidRPr="00431CF3" w:rsidRDefault="00901B86" w:rsidP="00933426">
      <w:pPr>
        <w:widowControl w:val="0"/>
        <w:autoSpaceDE w:val="0"/>
        <w:autoSpaceDN w:val="0"/>
        <w:adjustRightInd w:val="0"/>
        <w:rPr>
          <w:rFonts w:ascii="Gill Sans" w:hAnsi="Gill Sans" w:cs="Gill Sans"/>
          <w:sz w:val="18"/>
          <w:szCs w:val="22"/>
        </w:rPr>
      </w:pPr>
    </w:p>
    <w:p w14:paraId="7F38BF3F" w14:textId="77777777" w:rsidR="00901B86" w:rsidRPr="006D1D57" w:rsidRDefault="00901B86" w:rsidP="00933426">
      <w:pPr>
        <w:widowControl w:val="0"/>
        <w:autoSpaceDE w:val="0"/>
        <w:autoSpaceDN w:val="0"/>
        <w:adjustRightInd w:val="0"/>
        <w:rPr>
          <w:rFonts w:ascii="Gill Sans" w:hAnsi="Gill Sans" w:cs="Gill Sans"/>
          <w:b/>
          <w:bCs/>
          <w:sz w:val="22"/>
          <w:szCs w:val="22"/>
        </w:rPr>
      </w:pPr>
      <w:r w:rsidRPr="006D1D57">
        <w:rPr>
          <w:rFonts w:ascii="Gill Sans" w:hAnsi="Gill Sans" w:cs="Gill Sans"/>
          <w:b/>
          <w:bCs/>
          <w:sz w:val="22"/>
          <w:szCs w:val="22"/>
        </w:rPr>
        <w:t>Books: </w:t>
      </w:r>
    </w:p>
    <w:p w14:paraId="3F0DC15B" w14:textId="77777777" w:rsidR="00901B86" w:rsidRPr="006D1D57" w:rsidRDefault="00901B86" w:rsidP="00933426">
      <w:pPr>
        <w:widowControl w:val="0"/>
        <w:autoSpaceDE w:val="0"/>
        <w:autoSpaceDN w:val="0"/>
        <w:adjustRightInd w:val="0"/>
        <w:rPr>
          <w:rFonts w:ascii="Gill Sans" w:hAnsi="Gill Sans" w:cs="Gill Sans"/>
          <w:bCs/>
          <w:sz w:val="22"/>
          <w:szCs w:val="22"/>
        </w:rPr>
      </w:pPr>
      <w:r w:rsidRPr="006D1D57">
        <w:rPr>
          <w:rFonts w:ascii="Gill Sans" w:hAnsi="Gill Sans" w:cs="Gill Sans"/>
          <w:bCs/>
          <w:i/>
          <w:sz w:val="22"/>
          <w:szCs w:val="22"/>
        </w:rPr>
        <w:t>The Right to Be Literate – 6 Essential Skills for the 21</w:t>
      </w:r>
      <w:r w:rsidRPr="006D1D57">
        <w:rPr>
          <w:rFonts w:ascii="Gill Sans" w:hAnsi="Gill Sans" w:cs="Gill Sans"/>
          <w:bCs/>
          <w:i/>
          <w:sz w:val="22"/>
          <w:szCs w:val="22"/>
          <w:vertAlign w:val="superscript"/>
        </w:rPr>
        <w:t>st</w:t>
      </w:r>
      <w:r w:rsidRPr="006D1D57">
        <w:rPr>
          <w:rFonts w:ascii="Gill Sans" w:hAnsi="Gill Sans" w:cs="Gill Sans"/>
          <w:bCs/>
          <w:i/>
          <w:sz w:val="22"/>
          <w:szCs w:val="22"/>
        </w:rPr>
        <w:t xml:space="preserve"> Century Learner</w:t>
      </w:r>
      <w:r w:rsidRPr="006D1D57">
        <w:rPr>
          <w:rFonts w:ascii="Gill Sans" w:hAnsi="Gill Sans" w:cs="Gill Sans"/>
          <w:bCs/>
          <w:sz w:val="22"/>
          <w:szCs w:val="22"/>
        </w:rPr>
        <w:t xml:space="preserve"> - Pete &amp; Fogarty</w:t>
      </w:r>
    </w:p>
    <w:p w14:paraId="0CAD8524" w14:textId="77777777" w:rsidR="00901B86" w:rsidRPr="006D1D57" w:rsidRDefault="00901B86" w:rsidP="00933426">
      <w:pPr>
        <w:widowControl w:val="0"/>
        <w:autoSpaceDE w:val="0"/>
        <w:autoSpaceDN w:val="0"/>
        <w:adjustRightInd w:val="0"/>
        <w:rPr>
          <w:rFonts w:ascii="Gill Sans" w:hAnsi="Gill Sans" w:cs="Gill Sans"/>
          <w:sz w:val="22"/>
          <w:szCs w:val="22"/>
        </w:rPr>
      </w:pPr>
      <w:bookmarkStart w:id="0" w:name="_GoBack"/>
      <w:bookmarkEnd w:id="0"/>
      <w:r w:rsidRPr="006D1D57">
        <w:rPr>
          <w:rFonts w:ascii="Gill Sans" w:hAnsi="Gill Sans" w:cs="Gill Sans"/>
          <w:i/>
          <w:sz w:val="22"/>
          <w:szCs w:val="22"/>
        </w:rPr>
        <w:t xml:space="preserve">How to Teach Thinking Within the Common Core: 7 Student Proficiencies </w:t>
      </w:r>
      <w:r w:rsidRPr="006D1D57">
        <w:rPr>
          <w:rFonts w:ascii="Gill Sans" w:hAnsi="Gill Sans" w:cs="Gill Sans"/>
          <w:sz w:val="22"/>
          <w:szCs w:val="22"/>
        </w:rPr>
        <w:t>- Fogarty &amp; Pete</w:t>
      </w:r>
    </w:p>
    <w:p w14:paraId="77D96F3F" w14:textId="77777777" w:rsidR="00901B86" w:rsidRPr="00431CF3" w:rsidRDefault="00901B86" w:rsidP="00933426">
      <w:pPr>
        <w:rPr>
          <w:sz w:val="18"/>
          <w:szCs w:val="22"/>
        </w:rPr>
      </w:pPr>
    </w:p>
    <w:p w14:paraId="66CA1F8A" w14:textId="081BE8E7" w:rsidR="006D1D57" w:rsidRPr="006D1D57" w:rsidRDefault="006D1D57" w:rsidP="00933426">
      <w:pPr>
        <w:rPr>
          <w:rFonts w:ascii="Gill Sans" w:hAnsi="Gill Sans" w:cs="Gill Sans"/>
          <w:b/>
          <w:sz w:val="22"/>
          <w:szCs w:val="22"/>
        </w:rPr>
      </w:pPr>
      <w:r w:rsidRPr="006D1D57">
        <w:rPr>
          <w:rFonts w:ascii="Gill Sans" w:hAnsi="Gill Sans" w:cs="Gill Sans"/>
          <w:b/>
          <w:sz w:val="22"/>
          <w:szCs w:val="22"/>
        </w:rPr>
        <w:t>Professional Development Options:</w:t>
      </w:r>
    </w:p>
    <w:p w14:paraId="28816C13" w14:textId="055C4965" w:rsidR="006D1D57" w:rsidRPr="006D1D57" w:rsidRDefault="006D1D57" w:rsidP="00933426">
      <w:pPr>
        <w:rPr>
          <w:rFonts w:ascii="Gill Sans" w:hAnsi="Gill Sans" w:cs="Gill Sans"/>
          <w:sz w:val="22"/>
          <w:szCs w:val="22"/>
        </w:rPr>
      </w:pPr>
      <w:r>
        <w:rPr>
          <w:rFonts w:ascii="Gill Sans" w:hAnsi="Gill Sans" w:cs="Gill Sans"/>
          <w:sz w:val="22"/>
          <w:szCs w:val="22"/>
        </w:rPr>
        <w:t>1 - D</w:t>
      </w:r>
      <w:r w:rsidRPr="006D1D57">
        <w:rPr>
          <w:rFonts w:ascii="Gill Sans" w:hAnsi="Gill Sans" w:cs="Gill Sans"/>
          <w:sz w:val="22"/>
          <w:szCs w:val="22"/>
        </w:rPr>
        <w:t>ay on-site Teacher Training – up to 65 participants</w:t>
      </w:r>
    </w:p>
    <w:p w14:paraId="23EB6C6F" w14:textId="334879AD" w:rsidR="006D1D57" w:rsidRDefault="006D1D57" w:rsidP="00933426">
      <w:pPr>
        <w:rPr>
          <w:rFonts w:ascii="Gill Sans" w:hAnsi="Gill Sans" w:cs="Gill Sans"/>
          <w:sz w:val="22"/>
          <w:szCs w:val="22"/>
        </w:rPr>
      </w:pPr>
      <w:r>
        <w:rPr>
          <w:rFonts w:ascii="Gill Sans" w:hAnsi="Gill Sans" w:cs="Gill Sans"/>
          <w:sz w:val="22"/>
          <w:szCs w:val="22"/>
        </w:rPr>
        <w:t xml:space="preserve">3 - </w:t>
      </w:r>
      <w:r w:rsidRPr="006D1D57">
        <w:rPr>
          <w:rFonts w:ascii="Gill Sans" w:hAnsi="Gill Sans" w:cs="Gill Sans"/>
          <w:sz w:val="22"/>
          <w:szCs w:val="22"/>
        </w:rPr>
        <w:t xml:space="preserve">Day Series </w:t>
      </w:r>
      <w:r>
        <w:rPr>
          <w:rFonts w:ascii="Gill Sans" w:hAnsi="Gill Sans" w:cs="Gill Sans"/>
          <w:sz w:val="22"/>
          <w:szCs w:val="22"/>
        </w:rPr>
        <w:t xml:space="preserve">Customized with District Generated Data – </w:t>
      </w:r>
    </w:p>
    <w:p w14:paraId="176720AE" w14:textId="2EF817E6" w:rsidR="006D1D57" w:rsidRDefault="006D1D57" w:rsidP="00933426">
      <w:pPr>
        <w:rPr>
          <w:rFonts w:ascii="Gill Sans" w:hAnsi="Gill Sans" w:cs="Gill Sans"/>
          <w:sz w:val="22"/>
          <w:szCs w:val="22"/>
        </w:rPr>
      </w:pPr>
      <w:r>
        <w:rPr>
          <w:rFonts w:ascii="Gill Sans" w:hAnsi="Gill Sans" w:cs="Gill Sans"/>
          <w:sz w:val="22"/>
          <w:szCs w:val="22"/>
        </w:rPr>
        <w:t>1 - Hour Video Conferencing</w:t>
      </w:r>
    </w:p>
    <w:p w14:paraId="1354E12F" w14:textId="02C504EF" w:rsidR="006D1D57" w:rsidRPr="006D1D57" w:rsidRDefault="006D1D57" w:rsidP="00933426">
      <w:pPr>
        <w:rPr>
          <w:rFonts w:ascii="Gill Sans" w:hAnsi="Gill Sans" w:cs="Gill Sans"/>
          <w:sz w:val="22"/>
          <w:szCs w:val="22"/>
        </w:rPr>
      </w:pPr>
      <w:r>
        <w:rPr>
          <w:rFonts w:ascii="Gill Sans" w:hAnsi="Gill Sans" w:cs="Gill Sans"/>
          <w:sz w:val="22"/>
          <w:szCs w:val="22"/>
        </w:rPr>
        <w:t>2 – Day Staff Developers Event – Designing, Presenting, Facilitating &amp; Coaching for Transfer</w:t>
      </w:r>
    </w:p>
    <w:p w14:paraId="4DBE7EB7" w14:textId="21C12275" w:rsidR="00933426" w:rsidRDefault="00933426">
      <w:r>
        <w:rPr>
          <w:noProof/>
        </w:rPr>
        <mc:AlternateContent>
          <mc:Choice Requires="wps">
            <w:drawing>
              <wp:anchor distT="0" distB="0" distL="114300" distR="114300" simplePos="0" relativeHeight="251659264" behindDoc="0" locked="0" layoutInCell="1" allowOverlap="1" wp14:anchorId="09539A8E" wp14:editId="2C98FC4E">
                <wp:simplePos x="0" y="0"/>
                <wp:positionH relativeFrom="column">
                  <wp:posOffset>-62865</wp:posOffset>
                </wp:positionH>
                <wp:positionV relativeFrom="paragraph">
                  <wp:posOffset>191770</wp:posOffset>
                </wp:positionV>
                <wp:extent cx="5486400" cy="932180"/>
                <wp:effectExtent l="0" t="0" r="25400" b="3302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93218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D27EE9" w14:textId="77777777" w:rsidR="00E6766A" w:rsidRPr="0072177C" w:rsidRDefault="00DE0A4F" w:rsidP="00E6766A">
                            <w:pPr>
                              <w:rPr>
                                <w:rFonts w:ascii="Gill Sans" w:hAnsi="Gill Sans" w:cs="Gill Sans"/>
                                <w:b/>
                                <w:i/>
                                <w:sz w:val="16"/>
                                <w:szCs w:val="16"/>
                              </w:rPr>
                            </w:pPr>
                            <w:r w:rsidRPr="00431CF3">
                              <w:rPr>
                                <w:rFonts w:ascii="Gill Sans" w:hAnsi="Gill Sans" w:cs="Gill Sans"/>
                                <w:i/>
                                <w:sz w:val="18"/>
                              </w:rPr>
                              <w:t xml:space="preserve"> </w:t>
                            </w:r>
                            <w:r w:rsidR="00E6766A" w:rsidRPr="0072177C">
                              <w:rPr>
                                <w:rFonts w:ascii="Gill Sans" w:hAnsi="Gill Sans" w:cs="Gill Sans"/>
                                <w:b/>
                                <w:i/>
                                <w:sz w:val="16"/>
                                <w:szCs w:val="16"/>
                              </w:rPr>
                              <w:t>Making PD Count</w:t>
                            </w:r>
                          </w:p>
                          <w:p w14:paraId="1B5BA3BD" w14:textId="77777777" w:rsidR="00E6766A" w:rsidRPr="0072177C" w:rsidRDefault="00E6766A" w:rsidP="00E6766A">
                            <w:pPr>
                              <w:rPr>
                                <w:rFonts w:ascii="Gill Sans" w:hAnsi="Gill Sans" w:cs="Gill Sans"/>
                                <w:i/>
                                <w:sz w:val="16"/>
                                <w:szCs w:val="16"/>
                              </w:rPr>
                            </w:pPr>
                            <w:r w:rsidRPr="0072177C">
                              <w:rPr>
                                <w:rFonts w:ascii="Gill Sans" w:hAnsi="Gill Sans" w:cs="Gill Sans"/>
                                <w:i/>
                                <w:sz w:val="16"/>
                                <w:szCs w:val="16"/>
                              </w:rPr>
                              <w:t xml:space="preserve">    The success of professional development or professional learning can only be determined by measuring the implementation of strategies, the incorporation of concepts and changes in attitudes that teachers are able to transfer from the staff room to the classroom.</w:t>
                            </w:r>
                          </w:p>
                          <w:p w14:paraId="25A548AD" w14:textId="77777777" w:rsidR="00E6766A" w:rsidRPr="0072177C" w:rsidRDefault="00E6766A" w:rsidP="00E6766A">
                            <w:pPr>
                              <w:rPr>
                                <w:rFonts w:ascii="Gill Sans" w:hAnsi="Gill Sans" w:cs="Gill Sans"/>
                                <w:i/>
                                <w:sz w:val="16"/>
                                <w:szCs w:val="16"/>
                              </w:rPr>
                            </w:pPr>
                            <w:r w:rsidRPr="0072177C">
                              <w:rPr>
                                <w:rFonts w:ascii="Gill Sans" w:hAnsi="Gill Sans" w:cs="Gill Sans"/>
                                <w:i/>
                                <w:sz w:val="16"/>
                                <w:szCs w:val="16"/>
                              </w:rPr>
                              <w:t xml:space="preserve">  Too many times, professional learning is judged based on evaluations filled out by teachers as they are packing up their bags and collecting their car keys.   </w:t>
                            </w:r>
                          </w:p>
                          <w:p w14:paraId="337AC885" w14:textId="2DEC0483" w:rsidR="00DE0A4F" w:rsidRPr="00E6766A" w:rsidRDefault="00E6766A" w:rsidP="00E6766A">
                            <w:pPr>
                              <w:rPr>
                                <w:rFonts w:ascii="Gill Sans" w:hAnsi="Gill Sans" w:cs="Gill Sans"/>
                                <w:i/>
                                <w:sz w:val="16"/>
                                <w:szCs w:val="16"/>
                              </w:rPr>
                            </w:pPr>
                            <w:r w:rsidRPr="0072177C">
                              <w:rPr>
                                <w:rFonts w:ascii="Gill Sans" w:hAnsi="Gill Sans" w:cs="Gill Sans"/>
                                <w:i/>
                                <w:sz w:val="16"/>
                                <w:szCs w:val="16"/>
                              </w:rPr>
                              <w:t xml:space="preserve">  As principals and teachers shift their thinking about the goals of professional learning, they understand that </w:t>
                            </w:r>
                            <w:proofErr w:type="gramStart"/>
                            <w:r w:rsidRPr="0072177C">
                              <w:rPr>
                                <w:rFonts w:ascii="Gill Sans" w:hAnsi="Gill Sans" w:cs="Gill Sans"/>
                                <w:i/>
                                <w:sz w:val="16"/>
                                <w:szCs w:val="16"/>
                              </w:rPr>
                              <w:t>success is measured by the number and level of applications in the classroom following the professional learning sessions</w:t>
                            </w:r>
                            <w:proofErr w:type="gramEnd"/>
                            <w:r w:rsidRPr="0072177C">
                              <w:rPr>
                                <w:rFonts w:ascii="Gill Sans" w:hAnsi="Gill Sans" w:cs="Gill Sans"/>
                                <w:i/>
                                <w:sz w:val="16"/>
                                <w:szCs w:val="16"/>
                              </w:rPr>
                              <w:t xml:space="preserve">. </w:t>
                            </w:r>
                            <w:r w:rsidR="00DE0A4F" w:rsidRPr="00431CF3">
                              <w:rPr>
                                <w:rFonts w:ascii="Gill Sans" w:hAnsi="Gill Sans" w:cs="Gill Sans"/>
                                <w:i/>
                                <w:sz w:val="18"/>
                              </w:rPr>
                              <w:t xml:space="preserve"> </w:t>
                            </w:r>
                          </w:p>
                          <w:p w14:paraId="381D0F33" w14:textId="77777777" w:rsidR="00DE0A4F" w:rsidRPr="00933426" w:rsidRDefault="00DE0A4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9pt;margin-top:15.1pt;width:6in;height: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" filled="f">
                <v:textbox>
                  <w:txbxContent>
                    <w:p w14:paraId="79D27EE9" w14:textId="77777777" w:rsidR="00E6766A" w:rsidRPr="0072177C" w:rsidRDefault="00DE0A4F" w:rsidP="00E6766A">
                      <w:pPr>
                        <w:rPr>
                          <w:rFonts w:ascii="Gill Sans" w:hAnsi="Gill Sans" w:cs="Gill Sans"/>
                          <w:b/>
                          <w:i/>
                          <w:sz w:val="16"/>
                          <w:szCs w:val="16"/>
                        </w:rPr>
                      </w:pPr>
                      <w:bookmarkStart w:id="1" w:name="_GoBack"/>
                      <w:r w:rsidRPr="00431CF3">
                        <w:rPr>
                          <w:rFonts w:ascii="Gill Sans" w:hAnsi="Gill Sans" w:cs="Gill Sans"/>
                          <w:i/>
                          <w:sz w:val="18"/>
                        </w:rPr>
                        <w:t xml:space="preserve"> </w:t>
                      </w:r>
                      <w:r w:rsidR="00E6766A" w:rsidRPr="0072177C">
                        <w:rPr>
                          <w:rFonts w:ascii="Gill Sans" w:hAnsi="Gill Sans" w:cs="Gill Sans"/>
                          <w:b/>
                          <w:i/>
                          <w:sz w:val="16"/>
                          <w:szCs w:val="16"/>
                        </w:rPr>
                        <w:t>Making PD Count</w:t>
                      </w:r>
                    </w:p>
                    <w:p w14:paraId="1B5BA3BD" w14:textId="77777777" w:rsidR="00E6766A" w:rsidRPr="0072177C" w:rsidRDefault="00E6766A" w:rsidP="00E6766A">
                      <w:pPr>
                        <w:rPr>
                          <w:rFonts w:ascii="Gill Sans" w:hAnsi="Gill Sans" w:cs="Gill Sans"/>
                          <w:i/>
                          <w:sz w:val="16"/>
                          <w:szCs w:val="16"/>
                        </w:rPr>
                      </w:pPr>
                      <w:r w:rsidRPr="0072177C">
                        <w:rPr>
                          <w:rFonts w:ascii="Gill Sans" w:hAnsi="Gill Sans" w:cs="Gill Sans"/>
                          <w:i/>
                          <w:sz w:val="16"/>
                          <w:szCs w:val="16"/>
                        </w:rPr>
                        <w:t xml:space="preserve">    The success of professional development or professional learning can only be determined by measuring the implementation of strategies, the incorporation of concepts and changes in attitudes that teachers are able to transfer from the staff room to the classroom.</w:t>
                      </w:r>
                    </w:p>
                    <w:p w14:paraId="25A548AD" w14:textId="77777777" w:rsidR="00E6766A" w:rsidRPr="0072177C" w:rsidRDefault="00E6766A" w:rsidP="00E6766A">
                      <w:pPr>
                        <w:rPr>
                          <w:rFonts w:ascii="Gill Sans" w:hAnsi="Gill Sans" w:cs="Gill Sans"/>
                          <w:i/>
                          <w:sz w:val="16"/>
                          <w:szCs w:val="16"/>
                        </w:rPr>
                      </w:pPr>
                      <w:r w:rsidRPr="0072177C">
                        <w:rPr>
                          <w:rFonts w:ascii="Gill Sans" w:hAnsi="Gill Sans" w:cs="Gill Sans"/>
                          <w:i/>
                          <w:sz w:val="16"/>
                          <w:szCs w:val="16"/>
                        </w:rPr>
                        <w:t xml:space="preserve">  Too many times, professional learning is judged based on evaluations filled out by teachers as they are packing up their bags and collecting their car keys.   </w:t>
                      </w:r>
                    </w:p>
                    <w:p w14:paraId="337AC885" w14:textId="2DEC0483" w:rsidR="00DE0A4F" w:rsidRPr="00E6766A" w:rsidRDefault="00E6766A" w:rsidP="00E6766A">
                      <w:pPr>
                        <w:rPr>
                          <w:rFonts w:ascii="Gill Sans" w:hAnsi="Gill Sans" w:cs="Gill Sans"/>
                          <w:i/>
                          <w:sz w:val="16"/>
                          <w:szCs w:val="16"/>
                        </w:rPr>
                      </w:pPr>
                      <w:r w:rsidRPr="0072177C">
                        <w:rPr>
                          <w:rFonts w:ascii="Gill Sans" w:hAnsi="Gill Sans" w:cs="Gill Sans"/>
                          <w:i/>
                          <w:sz w:val="16"/>
                          <w:szCs w:val="16"/>
                        </w:rPr>
                        <w:t xml:space="preserve">  As principals and teachers shift their thinking about the goals of professional learning, they understand that </w:t>
                      </w:r>
                      <w:proofErr w:type="gramStart"/>
                      <w:r w:rsidRPr="0072177C">
                        <w:rPr>
                          <w:rFonts w:ascii="Gill Sans" w:hAnsi="Gill Sans" w:cs="Gill Sans"/>
                          <w:i/>
                          <w:sz w:val="16"/>
                          <w:szCs w:val="16"/>
                        </w:rPr>
                        <w:t>success is measured by the number and level of applications in the classroom following the professional learning sessions</w:t>
                      </w:r>
                      <w:proofErr w:type="gramEnd"/>
                      <w:r w:rsidRPr="0072177C">
                        <w:rPr>
                          <w:rFonts w:ascii="Gill Sans" w:hAnsi="Gill Sans" w:cs="Gill Sans"/>
                          <w:i/>
                          <w:sz w:val="16"/>
                          <w:szCs w:val="16"/>
                        </w:rPr>
                        <w:t xml:space="preserve">. </w:t>
                      </w:r>
                      <w:r w:rsidR="00DE0A4F" w:rsidRPr="00431CF3">
                        <w:rPr>
                          <w:rFonts w:ascii="Gill Sans" w:hAnsi="Gill Sans" w:cs="Gill Sans"/>
                          <w:i/>
                          <w:sz w:val="18"/>
                        </w:rPr>
                        <w:t xml:space="preserve"> </w:t>
                      </w:r>
                    </w:p>
                    <w:p w14:paraId="381D0F33" w14:textId="77777777" w:rsidR="00DE0A4F" w:rsidRPr="00933426" w:rsidRDefault="00DE0A4F">
                      <w:pPr>
                        <w:rPr>
                          <w:sz w:val="18"/>
                        </w:rPr>
                      </w:pPr>
                    </w:p>
                    <w:bookmarkEnd w:id="1"/>
                  </w:txbxContent>
                </v:textbox>
                <w10:wrap type="square"/>
              </v:shape>
            </w:pict>
          </mc:Fallback>
        </mc:AlternateContent>
      </w:r>
    </w:p>
    <w:sectPr w:rsidR="00933426" w:rsidSect="00CE39A6">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770D2F" w14:textId="77777777" w:rsidR="00B97BDA" w:rsidRDefault="00B97BDA" w:rsidP="00B97BDA">
      <w:r>
        <w:separator/>
      </w:r>
    </w:p>
  </w:endnote>
  <w:endnote w:type="continuationSeparator" w:id="0">
    <w:p w14:paraId="104EDA8E" w14:textId="77777777" w:rsidR="00B97BDA" w:rsidRDefault="00B97BDA" w:rsidP="00B97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37200" w14:textId="77777777" w:rsidR="00B97BDA" w:rsidRDefault="00B97BDA" w:rsidP="00B97BDA">
      <w:r>
        <w:separator/>
      </w:r>
    </w:p>
  </w:footnote>
  <w:footnote w:type="continuationSeparator" w:id="0">
    <w:p w14:paraId="18951A4E" w14:textId="77777777" w:rsidR="00B97BDA" w:rsidRDefault="00B97BDA" w:rsidP="00B97B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4548E" w14:textId="0CE4072B" w:rsidR="00B97BDA" w:rsidRPr="00B97BDA" w:rsidRDefault="008D2E4E" w:rsidP="00B97BDA">
    <w:pPr>
      <w:pStyle w:val="Header"/>
      <w:jc w:val="center"/>
      <w:rPr>
        <w:rFonts w:ascii="Gill Sans" w:hAnsi="Gill Sans" w:cs="Gill Sans"/>
        <w:sz w:val="20"/>
      </w:rPr>
    </w:pPr>
    <w:hyperlink r:id="rId1" w:history="1">
      <w:r w:rsidR="00B97BDA" w:rsidRPr="00B61C3D">
        <w:rPr>
          <w:rStyle w:val="Hyperlink"/>
          <w:rFonts w:ascii="Gill Sans" w:hAnsi="Gill Sans" w:cs="Gill Sans"/>
          <w:sz w:val="20"/>
        </w:rPr>
        <w:t>www.robinfogarty.com</w:t>
      </w:r>
    </w:hyperlink>
    <w:r w:rsidR="00B97BDA">
      <w:rPr>
        <w:rFonts w:ascii="Gill Sans" w:hAnsi="Gill Sans" w:cs="Gill Sans"/>
        <w:sz w:val="20"/>
      </w:rPr>
      <w:t xml:space="preserve"> </w:t>
    </w:r>
    <w:r w:rsidR="00B97BDA">
      <w:rPr>
        <w:rFonts w:ascii="Gill Sans" w:hAnsi="Gill Sans" w:cs="Gill Sans"/>
        <w:sz w:val="20"/>
      </w:rPr>
      <w:tab/>
    </w:r>
    <w:r w:rsidR="00B97BDA">
      <w:rPr>
        <w:rFonts w:ascii="Gill Sans" w:hAnsi="Gill Sans" w:cs="Gill Sans"/>
        <w:sz w:val="20"/>
      </w:rPr>
      <w:tab/>
      <w:t xml:space="preserve"> 800-213-9246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C6570"/>
    <w:multiLevelType w:val="multilevel"/>
    <w:tmpl w:val="B2642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86"/>
    <w:rsid w:val="000727D8"/>
    <w:rsid w:val="00110A6D"/>
    <w:rsid w:val="00431CF3"/>
    <w:rsid w:val="00535853"/>
    <w:rsid w:val="006D1D57"/>
    <w:rsid w:val="00901B86"/>
    <w:rsid w:val="00933426"/>
    <w:rsid w:val="00B97BDA"/>
    <w:rsid w:val="00C70582"/>
    <w:rsid w:val="00CE39A6"/>
    <w:rsid w:val="00DD618E"/>
    <w:rsid w:val="00DE0A4F"/>
    <w:rsid w:val="00E6766A"/>
    <w:rsid w:val="00FA11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0F5B41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86"/>
    <w:rPr>
      <w:rFonts w:ascii="Times" w:eastAsia="Times" w:hAnsi="Time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8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53"/>
    <w:rPr>
      <w:rFonts w:ascii="Lucida Grande" w:eastAsia="Times" w:hAnsi="Lucida Grande" w:cs="Lucida Grande"/>
      <w:sz w:val="18"/>
      <w:szCs w:val="18"/>
      <w:lang w:eastAsia="en-US"/>
    </w:rPr>
  </w:style>
  <w:style w:type="paragraph" w:styleId="Header">
    <w:name w:val="header"/>
    <w:basedOn w:val="Normal"/>
    <w:link w:val="HeaderChar"/>
    <w:uiPriority w:val="99"/>
    <w:unhideWhenUsed/>
    <w:rsid w:val="00B97BDA"/>
    <w:pPr>
      <w:tabs>
        <w:tab w:val="center" w:pos="4320"/>
        <w:tab w:val="right" w:pos="8640"/>
      </w:tabs>
    </w:pPr>
  </w:style>
  <w:style w:type="character" w:customStyle="1" w:styleId="HeaderChar">
    <w:name w:val="Header Char"/>
    <w:basedOn w:val="DefaultParagraphFont"/>
    <w:link w:val="Header"/>
    <w:uiPriority w:val="99"/>
    <w:rsid w:val="00B97BDA"/>
    <w:rPr>
      <w:rFonts w:ascii="Times" w:eastAsia="Times" w:hAnsi="Times"/>
      <w:szCs w:val="20"/>
      <w:lang w:eastAsia="en-US"/>
    </w:rPr>
  </w:style>
  <w:style w:type="paragraph" w:styleId="Footer">
    <w:name w:val="footer"/>
    <w:basedOn w:val="Normal"/>
    <w:link w:val="FooterChar"/>
    <w:uiPriority w:val="99"/>
    <w:unhideWhenUsed/>
    <w:rsid w:val="00B97BDA"/>
    <w:pPr>
      <w:tabs>
        <w:tab w:val="center" w:pos="4320"/>
        <w:tab w:val="right" w:pos="8640"/>
      </w:tabs>
    </w:pPr>
  </w:style>
  <w:style w:type="character" w:customStyle="1" w:styleId="FooterChar">
    <w:name w:val="Footer Char"/>
    <w:basedOn w:val="DefaultParagraphFont"/>
    <w:link w:val="Footer"/>
    <w:uiPriority w:val="99"/>
    <w:rsid w:val="00B97BDA"/>
    <w:rPr>
      <w:rFonts w:ascii="Times" w:eastAsia="Times" w:hAnsi="Times"/>
      <w:szCs w:val="20"/>
      <w:lang w:eastAsia="en-US"/>
    </w:rPr>
  </w:style>
  <w:style w:type="character" w:styleId="Hyperlink">
    <w:name w:val="Hyperlink"/>
    <w:basedOn w:val="DefaultParagraphFont"/>
    <w:uiPriority w:val="99"/>
    <w:unhideWhenUsed/>
    <w:rsid w:val="00B97BD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86"/>
    <w:rPr>
      <w:rFonts w:ascii="Times" w:eastAsia="Times" w:hAnsi="Time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58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8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53"/>
    <w:rPr>
      <w:rFonts w:ascii="Lucida Grande" w:eastAsia="Times" w:hAnsi="Lucida Grande" w:cs="Lucida Grande"/>
      <w:sz w:val="18"/>
      <w:szCs w:val="18"/>
      <w:lang w:eastAsia="en-US"/>
    </w:rPr>
  </w:style>
  <w:style w:type="paragraph" w:styleId="Header">
    <w:name w:val="header"/>
    <w:basedOn w:val="Normal"/>
    <w:link w:val="HeaderChar"/>
    <w:uiPriority w:val="99"/>
    <w:unhideWhenUsed/>
    <w:rsid w:val="00B97BDA"/>
    <w:pPr>
      <w:tabs>
        <w:tab w:val="center" w:pos="4320"/>
        <w:tab w:val="right" w:pos="8640"/>
      </w:tabs>
    </w:pPr>
  </w:style>
  <w:style w:type="character" w:customStyle="1" w:styleId="HeaderChar">
    <w:name w:val="Header Char"/>
    <w:basedOn w:val="DefaultParagraphFont"/>
    <w:link w:val="Header"/>
    <w:uiPriority w:val="99"/>
    <w:rsid w:val="00B97BDA"/>
    <w:rPr>
      <w:rFonts w:ascii="Times" w:eastAsia="Times" w:hAnsi="Times"/>
      <w:szCs w:val="20"/>
      <w:lang w:eastAsia="en-US"/>
    </w:rPr>
  </w:style>
  <w:style w:type="paragraph" w:styleId="Footer">
    <w:name w:val="footer"/>
    <w:basedOn w:val="Normal"/>
    <w:link w:val="FooterChar"/>
    <w:uiPriority w:val="99"/>
    <w:unhideWhenUsed/>
    <w:rsid w:val="00B97BDA"/>
    <w:pPr>
      <w:tabs>
        <w:tab w:val="center" w:pos="4320"/>
        <w:tab w:val="right" w:pos="8640"/>
      </w:tabs>
    </w:pPr>
  </w:style>
  <w:style w:type="character" w:customStyle="1" w:styleId="FooterChar">
    <w:name w:val="Footer Char"/>
    <w:basedOn w:val="DefaultParagraphFont"/>
    <w:link w:val="Footer"/>
    <w:uiPriority w:val="99"/>
    <w:rsid w:val="00B97BDA"/>
    <w:rPr>
      <w:rFonts w:ascii="Times" w:eastAsia="Times" w:hAnsi="Times"/>
      <w:szCs w:val="20"/>
      <w:lang w:eastAsia="en-US"/>
    </w:rPr>
  </w:style>
  <w:style w:type="character" w:styleId="Hyperlink">
    <w:name w:val="Hyperlink"/>
    <w:basedOn w:val="DefaultParagraphFont"/>
    <w:uiPriority w:val="99"/>
    <w:unhideWhenUsed/>
    <w:rsid w:val="00B97B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158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www.robinfogar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1318</Characters>
  <Application>Microsoft Macintosh Word</Application>
  <DocSecurity>0</DocSecurity>
  <Lines>10</Lines>
  <Paragraphs>3</Paragraphs>
  <ScaleCrop>false</ScaleCrop>
  <Company>Robin Fogarty &amp; Associates, Ltd.</Company>
  <LinksUpToDate>false</LinksUpToDate>
  <CharactersWithSpaces>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Pete</dc:creator>
  <cp:keywords/>
  <dc:description/>
  <cp:lastModifiedBy>Brian Pete</cp:lastModifiedBy>
  <cp:revision>2</cp:revision>
  <cp:lastPrinted>2016-09-16T17:44:00Z</cp:lastPrinted>
  <dcterms:created xsi:type="dcterms:W3CDTF">2016-09-16T18:47:00Z</dcterms:created>
  <dcterms:modified xsi:type="dcterms:W3CDTF">2016-09-16T18:47:00Z</dcterms:modified>
</cp:coreProperties>
</file>