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Univerzitet u Banjoj Luci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Elektrotehnički fakultet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Katedra za automatiku</w:t>
      </w:r>
    </w:p>
    <w:p w:rsidR="00E537E8" w:rsidRPr="009050BF" w:rsidRDefault="00E537E8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</w:p>
    <w:p w:rsidR="00B2186D" w:rsidRPr="009050BF" w:rsidRDefault="00361015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P</w:t>
      </w:r>
      <w:r w:rsidR="008E79CA" w:rsidRPr="009050BF">
        <w:rPr>
          <w:rFonts w:asciiTheme="majorHAnsi" w:hAnsiTheme="majorHAnsi" w:cs="Segoe UI"/>
          <w:sz w:val="22"/>
        </w:rPr>
        <w:t>rv</w:t>
      </w:r>
      <w:r w:rsidRPr="009050BF">
        <w:rPr>
          <w:rFonts w:asciiTheme="majorHAnsi" w:hAnsiTheme="majorHAnsi" w:cs="Segoe UI"/>
          <w:sz w:val="22"/>
        </w:rPr>
        <w:t xml:space="preserve">i </w:t>
      </w:r>
      <w:r w:rsidR="008E79CA" w:rsidRPr="009050BF">
        <w:rPr>
          <w:rFonts w:asciiTheme="majorHAnsi" w:hAnsiTheme="majorHAnsi" w:cs="Segoe UI"/>
          <w:sz w:val="22"/>
        </w:rPr>
        <w:t>kolokvijum</w:t>
      </w:r>
      <w:r w:rsidR="00B2186D" w:rsidRPr="009050BF">
        <w:rPr>
          <w:rFonts w:asciiTheme="majorHAnsi" w:hAnsiTheme="majorHAnsi" w:cs="Segoe UI"/>
          <w:sz w:val="22"/>
        </w:rPr>
        <w:t xml:space="preserve"> iz predmeta</w:t>
      </w:r>
    </w:p>
    <w:p w:rsidR="000941B5" w:rsidRPr="009050BF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SISTEMI AUTOMATSKOG UPRAVLJANJA</w:t>
      </w:r>
    </w:p>
    <w:p w:rsidR="00B2186D" w:rsidRPr="009050BF" w:rsidRDefault="007A56AA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17</w:t>
      </w:r>
      <w:r w:rsidR="00B2186D" w:rsidRPr="009050BF">
        <w:rPr>
          <w:rFonts w:asciiTheme="majorHAnsi" w:hAnsiTheme="majorHAnsi" w:cs="Segoe UI"/>
          <w:sz w:val="22"/>
        </w:rPr>
        <w:t>.</w:t>
      </w:r>
      <w:r w:rsidR="008E79CA" w:rsidRPr="009050BF">
        <w:rPr>
          <w:rFonts w:asciiTheme="majorHAnsi" w:hAnsiTheme="majorHAnsi" w:cs="Segoe UI"/>
          <w:sz w:val="22"/>
        </w:rPr>
        <w:t>12</w:t>
      </w:r>
      <w:r w:rsidR="00B2186D" w:rsidRPr="009050BF">
        <w:rPr>
          <w:rFonts w:asciiTheme="majorHAnsi" w:hAnsiTheme="majorHAnsi" w:cs="Segoe UI"/>
          <w:sz w:val="22"/>
        </w:rPr>
        <w:t>.201</w:t>
      </w:r>
      <w:r>
        <w:rPr>
          <w:rFonts w:asciiTheme="majorHAnsi" w:hAnsiTheme="majorHAnsi" w:cs="Segoe UI"/>
          <w:sz w:val="22"/>
        </w:rPr>
        <w:t>4</w:t>
      </w:r>
      <w:r w:rsidR="00B2186D" w:rsidRPr="009050BF">
        <w:rPr>
          <w:rFonts w:asciiTheme="majorHAnsi" w:hAnsiTheme="majorHAnsi" w:cs="Segoe UI"/>
          <w:sz w:val="22"/>
        </w:rPr>
        <w:t>.</w:t>
      </w:r>
    </w:p>
    <w:p w:rsidR="00802E2B" w:rsidRPr="009050BF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  <w:sz w:val="22"/>
        </w:rPr>
      </w:pPr>
    </w:p>
    <w:p w:rsidR="00AE21CC" w:rsidRDefault="00593703" w:rsidP="00A76265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hanging="720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[9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7A56AA">
        <w:rPr>
          <w:rFonts w:asciiTheme="majorHAnsi" w:hAnsiTheme="majorHAnsi" w:cs="Segoe UI"/>
          <w:sz w:val="22"/>
        </w:rPr>
        <w:t>O</w:t>
      </w:r>
      <w:r w:rsidR="00AE21CC" w:rsidRPr="009050BF">
        <w:rPr>
          <w:rFonts w:asciiTheme="majorHAnsi" w:hAnsiTheme="majorHAnsi" w:cs="Segoe UI"/>
          <w:sz w:val="22"/>
        </w:rPr>
        <w:t xml:space="preserve">dskočni odziv sistema </w:t>
      </w:r>
      <w:r w:rsidR="007A56AA">
        <w:rPr>
          <w:rFonts w:asciiTheme="majorHAnsi" w:hAnsiTheme="majorHAnsi" w:cs="Segoe UI"/>
          <w:sz w:val="22"/>
        </w:rPr>
        <w:t>drugog reda je prikazan na slici:</w:t>
      </w:r>
    </w:p>
    <w:p w:rsidR="002D15DE" w:rsidRDefault="007A56AA" w:rsidP="00A76265">
      <w:pPr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ab/>
      </w:r>
      <w:r w:rsidR="002D15DE">
        <w:rPr>
          <w:rFonts w:asciiTheme="majorHAnsi" w:hAnsiTheme="majorHAnsi" w:cs="Segoe UI"/>
          <w:noProof/>
          <w:sz w:val="22"/>
        </w:rPr>
        <w:drawing>
          <wp:inline distT="0" distB="0" distL="0" distR="0" wp14:anchorId="2D22A8EB" wp14:editId="25B715C4">
            <wp:extent cx="6115050" cy="4010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265" w:rsidRDefault="00A76265" w:rsidP="00BC0C12">
      <w:pPr>
        <w:spacing w:after="120"/>
        <w:ind w:left="425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U</w:t>
      </w:r>
      <w:r>
        <w:rPr>
          <w:rFonts w:asciiTheme="majorHAnsi" w:hAnsiTheme="majorHAnsi" w:cs="Segoe UI"/>
          <w:sz w:val="22"/>
        </w:rPr>
        <w:t>z obra</w:t>
      </w:r>
      <w:r>
        <w:rPr>
          <w:rFonts w:asciiTheme="majorHAnsi" w:hAnsiTheme="majorHAnsi" w:cs="Segoe UI"/>
          <w:sz w:val="22"/>
          <w:lang w:val="sr-Latn-BA"/>
        </w:rPr>
        <w:t>zloženje postupka</w:t>
      </w:r>
      <w:r>
        <w:rPr>
          <w:rFonts w:asciiTheme="majorHAnsi" w:hAnsiTheme="majorHAnsi" w:cs="Segoe UI"/>
          <w:sz w:val="22"/>
          <w:lang w:val="sr-Latn-BA"/>
        </w:rPr>
        <w:t xml:space="preserve"> o</w:t>
      </w:r>
      <w:r>
        <w:rPr>
          <w:rFonts w:asciiTheme="majorHAnsi" w:hAnsiTheme="majorHAnsi" w:cs="Segoe UI"/>
          <w:sz w:val="22"/>
        </w:rPr>
        <w:t>drediti funkciju prenosa takvog sistema, te skicirati odskočni odziv sistema koji nastaje kaskadnim povezivanjem datog sistema sa sistemom čija je funkcija prenosa:</w:t>
      </w:r>
    </w:p>
    <w:p w:rsidR="00A76265" w:rsidRPr="00A76265" w:rsidRDefault="00A76265" w:rsidP="00A76265">
      <w:pPr>
        <w:spacing w:after="120"/>
        <w:ind w:left="992"/>
        <w:jc w:val="both"/>
        <w:rPr>
          <w:rFonts w:asciiTheme="majorHAnsi" w:hAnsiTheme="majorHAns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10</m:t>
              </m:r>
            </m:num>
            <m:den>
              <m:r>
                <w:rPr>
                  <w:rFonts w:ascii="Cambria Math" w:hAnsi="Cambria Math" w:cs="Segoe UI"/>
                  <w:sz w:val="22"/>
                </w:rPr>
                <m:t>s+10</m:t>
              </m:r>
            </m:den>
          </m:f>
        </m:oMath>
      </m:oMathPara>
    </w:p>
    <w:p w:rsidR="00C27FCC" w:rsidRDefault="00593703" w:rsidP="0059370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[6</w:t>
      </w:r>
      <w:r w:rsidR="00A76265">
        <w:rPr>
          <w:rFonts w:asciiTheme="majorHAnsi" w:hAnsiTheme="majorHAnsi" w:cs="Segoe UI"/>
          <w:sz w:val="22"/>
        </w:rPr>
        <w:t xml:space="preserve">] </w:t>
      </w:r>
      <w:r>
        <w:rPr>
          <w:rFonts w:asciiTheme="majorHAnsi" w:hAnsiTheme="majorHAnsi" w:cs="Segoe UI"/>
          <w:sz w:val="22"/>
        </w:rPr>
        <w:t>Odrediti funkciju prenosa sistema sa slike:</w:t>
      </w:r>
    </w:p>
    <w:p w:rsidR="00ED3828" w:rsidRPr="00ED3828" w:rsidRDefault="00593703" w:rsidP="00ED3828">
      <w:pPr>
        <w:pStyle w:val="ListParagraph"/>
        <w:ind w:left="426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noProof/>
          <w:sz w:val="22"/>
        </w:rPr>
        <w:drawing>
          <wp:inline distT="0" distB="0" distL="0" distR="0" wp14:anchorId="4F371ACE" wp14:editId="100C408F">
            <wp:extent cx="5686425" cy="2362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703" w:rsidRPr="00ED3828" w:rsidRDefault="00593703" w:rsidP="00053FAB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lastRenderedPageBreak/>
        <w:t xml:space="preserve">[10] </w:t>
      </w:r>
      <w:r w:rsidR="00ED3828">
        <w:rPr>
          <w:rFonts w:asciiTheme="majorHAnsi" w:hAnsiTheme="majorHAnsi" w:cs="Segoe UI"/>
          <w:sz w:val="22"/>
          <w:lang w:val="sr-Latn-BA"/>
        </w:rPr>
        <w:t>Karakteristični polinom sistema je</w:t>
      </w:r>
    </w:p>
    <w:p w:rsidR="00A76265" w:rsidRPr="00053FAB" w:rsidRDefault="00ED3828" w:rsidP="00053FAB">
      <w:pPr>
        <w:pStyle w:val="ListParagraph"/>
        <w:spacing w:after="120"/>
        <w:ind w:left="993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f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sSup>
            <m:sSupPr>
              <m:ctrlPr>
                <w:rPr>
                  <w:rFonts w:ascii="Cambria Math" w:hAnsi="Cambria Math" w:cs="Segoe UI"/>
                  <w:i/>
                  <w:sz w:val="22"/>
                </w:rPr>
              </m:ctrlPr>
            </m:sSup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  <m:sup>
              <m:r>
                <w:rPr>
                  <w:rFonts w:ascii="Cambria Math" w:hAnsi="Cambria Math" w:cs="Segoe UI"/>
                  <w:sz w:val="22"/>
                </w:rPr>
                <m:t>2</m:t>
              </m:r>
            </m:sup>
          </m:sSup>
          <m:r>
            <w:rPr>
              <w:rFonts w:ascii="Cambria Math" w:hAnsi="Cambria Math" w:cs="Segoe UI"/>
              <w:sz w:val="22"/>
            </w:rPr>
            <m:t>+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K-2</m:t>
              </m:r>
            </m:e>
          </m:d>
          <m:r>
            <w:rPr>
              <w:rFonts w:ascii="Cambria Math" w:hAnsi="Cambria Math" w:cs="Segoe UI"/>
              <w:sz w:val="22"/>
            </w:rPr>
            <m:t>s+10+3K</m:t>
          </m:r>
        </m:oMath>
      </m:oMathPara>
    </w:p>
    <w:p w:rsidR="00053FAB" w:rsidRDefault="00053FAB" w:rsidP="00053FAB">
      <w:pPr>
        <w:pStyle w:val="ListParagraph"/>
        <w:ind w:left="426"/>
        <w:jc w:val="both"/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  <w:sz w:val="22"/>
        </w:rPr>
        <w:t xml:space="preserve">Primjenom Nikvistovog kriterijuma ispitati stabilnost sistema u zavisnosti od parametra </w:t>
      </w:r>
      <m:oMath>
        <m:r>
          <w:rPr>
            <w:rFonts w:ascii="Cambria Math" w:eastAsiaTheme="minorEastAsia" w:hAnsi="Cambria Math" w:cs="Segoe UI"/>
            <w:sz w:val="22"/>
          </w:rPr>
          <m:t>K</m:t>
        </m:r>
      </m:oMath>
      <w:r>
        <w:rPr>
          <w:rFonts w:asciiTheme="majorHAnsi" w:eastAsiaTheme="minorEastAsia" w:hAnsiTheme="majorHAnsi" w:cs="Segoe UI"/>
          <w:sz w:val="22"/>
        </w:rPr>
        <w:t>.</w:t>
      </w:r>
    </w:p>
    <w:p w:rsidR="00053FAB" w:rsidRPr="00053FAB" w:rsidRDefault="00053FAB" w:rsidP="00053FAB">
      <w:pPr>
        <w:pStyle w:val="ListParagraph"/>
        <w:ind w:left="426"/>
        <w:jc w:val="both"/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  <w:sz w:val="22"/>
        </w:rPr>
        <w:t xml:space="preserve">Skicirati Bodeove dijagrame, te odrediti pretek faze i pojačanja datog sistema za </w:t>
      </w:r>
      <m:oMath>
        <m:r>
          <w:rPr>
            <w:rFonts w:ascii="Cambria Math" w:eastAsiaTheme="minorEastAsia" w:hAnsi="Cambria Math" w:cs="Segoe UI"/>
            <w:sz w:val="22"/>
          </w:rPr>
          <m:t>K=10</m:t>
        </m:r>
      </m:oMath>
      <w:r>
        <w:rPr>
          <w:rFonts w:asciiTheme="majorHAnsi" w:eastAsiaTheme="minorEastAsia" w:hAnsiTheme="majorHAnsi" w:cs="Segoe UI"/>
          <w:sz w:val="22"/>
        </w:rPr>
        <w:t>.</w:t>
      </w:r>
    </w:p>
    <w:p w:rsidR="00A76265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A76265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A76265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  <w:bookmarkStart w:id="0" w:name="_GoBack"/>
      <w:bookmarkEnd w:id="0"/>
    </w:p>
    <w:p w:rsidR="00A76265" w:rsidRPr="009050BF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9050BF" w:rsidTr="00AE21CC">
        <w:tc>
          <w:tcPr>
            <w:tcW w:w="8364" w:type="dxa"/>
            <w:shd w:val="pct10" w:color="auto" w:fill="auto"/>
          </w:tcPr>
          <w:p w:rsidR="00361015" w:rsidRPr="009050BF" w:rsidRDefault="00361015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Maksimalan broj bodova koje je moguće ostvariti za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 xml:space="preserve">rješenje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svakog 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 xml:space="preserve">od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zadat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>a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je naveden u 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zagradama na </w:t>
            </w:r>
            <w:r w:rsidR="00A76265">
              <w:rPr>
                <w:rFonts w:asciiTheme="majorHAnsi" w:hAnsiTheme="majorHAnsi" w:cs="Segoe UI"/>
                <w:b/>
                <w:sz w:val="22"/>
                <w:lang w:val="sr-Latn-BA"/>
              </w:rPr>
              <w:t>početku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 tog zadatka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902C90" w:rsidRPr="009050BF" w:rsidRDefault="00221D7C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Vrijeme izrade je 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1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>2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0 minuta</w:t>
            </w:r>
            <w:r w:rsidR="00902C90"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</w:tc>
      </w:tr>
    </w:tbl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sectPr w:rsidR="00365DDB" w:rsidRPr="009050BF" w:rsidSect="00ED3828">
      <w:pgSz w:w="11907" w:h="16840" w:code="9"/>
      <w:pgMar w:top="1276" w:right="1134" w:bottom="127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0AFF" w:usb1="4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1C2AD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70043"/>
    <w:rsid w:val="000941B5"/>
    <w:rsid w:val="000D214A"/>
    <w:rsid w:val="000D2675"/>
    <w:rsid w:val="00142CBC"/>
    <w:rsid w:val="0015224A"/>
    <w:rsid w:val="0015409D"/>
    <w:rsid w:val="001869C7"/>
    <w:rsid w:val="00186E69"/>
    <w:rsid w:val="00221D7C"/>
    <w:rsid w:val="0028308E"/>
    <w:rsid w:val="002D15DE"/>
    <w:rsid w:val="00322348"/>
    <w:rsid w:val="00323722"/>
    <w:rsid w:val="00361015"/>
    <w:rsid w:val="00365DDB"/>
    <w:rsid w:val="003746CA"/>
    <w:rsid w:val="003B3D92"/>
    <w:rsid w:val="003E6780"/>
    <w:rsid w:val="003F666B"/>
    <w:rsid w:val="00403F14"/>
    <w:rsid w:val="00413D65"/>
    <w:rsid w:val="004C3662"/>
    <w:rsid w:val="004D306F"/>
    <w:rsid w:val="004F2E5B"/>
    <w:rsid w:val="00547FAE"/>
    <w:rsid w:val="0058390D"/>
    <w:rsid w:val="00593703"/>
    <w:rsid w:val="005E08F7"/>
    <w:rsid w:val="005E228C"/>
    <w:rsid w:val="00662BFD"/>
    <w:rsid w:val="00730A59"/>
    <w:rsid w:val="0079190D"/>
    <w:rsid w:val="007A56AA"/>
    <w:rsid w:val="007D1A3A"/>
    <w:rsid w:val="007D1D34"/>
    <w:rsid w:val="00802E2B"/>
    <w:rsid w:val="008236F4"/>
    <w:rsid w:val="0085790F"/>
    <w:rsid w:val="008E79CA"/>
    <w:rsid w:val="00902C90"/>
    <w:rsid w:val="009050BF"/>
    <w:rsid w:val="00907680"/>
    <w:rsid w:val="00937482"/>
    <w:rsid w:val="009C52BC"/>
    <w:rsid w:val="00A634DE"/>
    <w:rsid w:val="00A76265"/>
    <w:rsid w:val="00AB669D"/>
    <w:rsid w:val="00AE21CC"/>
    <w:rsid w:val="00AF1ECF"/>
    <w:rsid w:val="00B069A6"/>
    <w:rsid w:val="00B2186D"/>
    <w:rsid w:val="00BA2111"/>
    <w:rsid w:val="00BC0C12"/>
    <w:rsid w:val="00BF0934"/>
    <w:rsid w:val="00C27FCC"/>
    <w:rsid w:val="00CD057B"/>
    <w:rsid w:val="00D72CC3"/>
    <w:rsid w:val="00DD6F1C"/>
    <w:rsid w:val="00E537E8"/>
    <w:rsid w:val="00E9692B"/>
    <w:rsid w:val="00ED3828"/>
    <w:rsid w:val="00EF4A6D"/>
    <w:rsid w:val="00F31112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44</cp:revision>
  <cp:lastPrinted>2014-12-16T13:39:00Z</cp:lastPrinted>
  <dcterms:created xsi:type="dcterms:W3CDTF">2011-12-07T09:16:00Z</dcterms:created>
  <dcterms:modified xsi:type="dcterms:W3CDTF">2014-12-16T13:39:00Z</dcterms:modified>
</cp:coreProperties>
</file>