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SISTEMI AUTOMATSKOG UPRAVLJANJA</w:t>
      </w:r>
      <w:r w:rsidR="007F6879">
        <w:rPr>
          <w:rFonts w:asciiTheme="majorHAnsi" w:hAnsiTheme="majorHAnsi" w:cs="Segoe UI"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OSNOVI TEORIJE SISTEMA UPRAVLJANJA</w:t>
      </w: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04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>
        <w:rPr>
          <w:rFonts w:asciiTheme="majorHAnsi" w:hAnsiTheme="majorHAnsi" w:cs="Segoe UI"/>
          <w:sz w:val="22"/>
        </w:rPr>
        <w:t>2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787954" w:rsidRPr="00787954" w:rsidRDefault="00FF2B50" w:rsidP="00787954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</w:t>
      </w:r>
      <w:r w:rsidR="00127C8D">
        <w:rPr>
          <w:rFonts w:asciiTheme="majorHAnsi" w:hAnsiTheme="majorHAnsi" w:cs="Segoe UI"/>
          <w:sz w:val="22"/>
        </w:rPr>
        <w:t>9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787954" w:rsidRPr="00787954">
        <w:rPr>
          <w:rFonts w:asciiTheme="majorHAnsi" w:eastAsiaTheme="minorEastAsia" w:hAnsiTheme="majorHAnsi" w:cs="Segoe UI"/>
        </w:rPr>
        <w:t>Sistem ima funkciju prenosa u otvorenoj sprezi</w:t>
      </w:r>
    </w:p>
    <w:p w:rsidR="00787954" w:rsidRPr="00787954" w:rsidRDefault="00787954" w:rsidP="00787954">
      <w:pPr>
        <w:tabs>
          <w:tab w:val="left" w:pos="426"/>
          <w:tab w:val="right" w:pos="9639"/>
        </w:tabs>
        <w:ind w:left="720"/>
        <w:contextualSpacing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+2s+4</m:t>
              </m:r>
            </m:den>
          </m:f>
        </m:oMath>
      </m:oMathPara>
    </w:p>
    <w:p w:rsidR="00A76265" w:rsidRPr="00787954" w:rsidRDefault="00787954" w:rsidP="00787954">
      <w:pPr>
        <w:tabs>
          <w:tab w:val="left" w:pos="426"/>
          <w:tab w:val="right" w:pos="9639"/>
        </w:tabs>
        <w:ind w:left="425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</w:rPr>
        <w:tab/>
      </w:r>
      <w:r w:rsidRPr="00787954">
        <w:rPr>
          <w:rFonts w:asciiTheme="majorHAnsi" w:eastAsiaTheme="minorEastAsia" w:hAnsiTheme="majorHAnsi" w:cs="Segoe UI"/>
        </w:rPr>
        <w:t xml:space="preserve">Skicirati </w:t>
      </w:r>
      <w:r w:rsidR="00165CAE">
        <w:rPr>
          <w:rFonts w:asciiTheme="majorHAnsi" w:eastAsiaTheme="minorEastAsia" w:hAnsiTheme="majorHAnsi" w:cs="Segoe UI"/>
        </w:rPr>
        <w:t>impulsni i odskočni odziv tog sistema</w:t>
      </w:r>
      <w:r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FF2B50" w:rsidRDefault="00FF2B50" w:rsidP="00FF2B5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[1</w:t>
      </w:r>
      <w:r w:rsidR="00127C8D">
        <w:rPr>
          <w:rFonts w:asciiTheme="majorHAnsi" w:hAnsiTheme="majorHAnsi" w:cs="Segoe UI"/>
          <w:sz w:val="22"/>
        </w:rPr>
        <w:t>6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804B05">
        <w:rPr>
          <w:rFonts w:asciiTheme="majorHAnsi" w:eastAsiaTheme="minorEastAsia" w:hAnsiTheme="majorHAnsi" w:cs="Segoe UI"/>
        </w:rPr>
        <w:t>F</w:t>
      </w:r>
      <w:r>
        <w:rPr>
          <w:rFonts w:asciiTheme="majorHAnsi" w:eastAsiaTheme="minorEastAsia" w:hAnsiTheme="majorHAnsi" w:cs="Segoe UI"/>
        </w:rPr>
        <w:t>unkcij</w:t>
      </w:r>
      <w:r w:rsidR="00804B05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prenosa</w:t>
      </w:r>
      <w:r w:rsidR="00804B05">
        <w:rPr>
          <w:rFonts w:asciiTheme="majorHAnsi" w:eastAsiaTheme="minorEastAsia" w:hAnsiTheme="majorHAnsi" w:cs="Segoe UI"/>
        </w:rPr>
        <w:t xml:space="preserve"> sistema</w:t>
      </w:r>
      <w:r>
        <w:rPr>
          <w:rFonts w:asciiTheme="majorHAnsi" w:eastAsiaTheme="minorEastAsia" w:hAnsiTheme="majorHAnsi" w:cs="Segoe UI"/>
        </w:rPr>
        <w:t xml:space="preserve"> u otvorenoj sprezi</w:t>
      </w:r>
      <w:r w:rsidR="00804B05">
        <w:rPr>
          <w:rFonts w:asciiTheme="majorHAnsi" w:eastAsiaTheme="minorEastAsia" w:hAnsiTheme="majorHAnsi" w:cs="Segoe UI"/>
        </w:rPr>
        <w:t xml:space="preserve"> je</w:t>
      </w:r>
    </w:p>
    <w:p w:rsidR="00FF2B50" w:rsidRPr="00066D88" w:rsidRDefault="00FF2B50" w:rsidP="00FF2B50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-2s+12</m:t>
              </m:r>
            </m:den>
          </m:f>
        </m:oMath>
      </m:oMathPara>
    </w:p>
    <w:p w:rsidR="00ED3828" w:rsidRPr="00ED3828" w:rsidRDefault="00FF2B50" w:rsidP="00FF2B50">
      <w:pPr>
        <w:pStyle w:val="ListParagraph"/>
        <w:spacing w:after="120"/>
        <w:ind w:left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eastAsiaTheme="minorEastAsia" w:hAnsiTheme="majorHAnsi" w:cs="Segoe UI"/>
          <w:lang w:val="sr-Latn-BA"/>
        </w:rPr>
        <w:t>Skicirati Bodeove dijagrame sistema</w:t>
      </w:r>
      <w:r w:rsidR="004E5C18">
        <w:rPr>
          <w:rFonts w:asciiTheme="majorHAnsi" w:eastAsiaTheme="minorEastAsia" w:hAnsiTheme="majorHAnsi" w:cs="Segoe UI"/>
          <w:lang w:val="sr-Latn-BA"/>
        </w:rPr>
        <w:t xml:space="preserve"> i na osno</w:t>
      </w:r>
      <w:r w:rsidR="00D53716">
        <w:rPr>
          <w:rFonts w:asciiTheme="majorHAnsi" w:eastAsiaTheme="minorEastAsia" w:hAnsiTheme="majorHAnsi" w:cs="Segoe UI"/>
          <w:lang w:val="sr-Latn-BA"/>
        </w:rPr>
        <w:t xml:space="preserve">vu njih ispitati stabilnost </w:t>
      </w:r>
      <w:r w:rsidR="004E5C18">
        <w:rPr>
          <w:rFonts w:asciiTheme="majorHAnsi" w:eastAsiaTheme="minorEastAsia" w:hAnsiTheme="majorHAnsi" w:cs="Segoe UI"/>
          <w:lang w:val="sr-Latn-BA"/>
        </w:rPr>
        <w:t>sistema</w:t>
      </w:r>
      <w:r w:rsidR="00D53716">
        <w:rPr>
          <w:rFonts w:asciiTheme="majorHAnsi" w:eastAsiaTheme="minorEastAsia" w:hAnsiTheme="majorHAnsi" w:cs="Segoe UI"/>
          <w:lang w:val="sr-Latn-BA"/>
        </w:rPr>
        <w:t xml:space="preserve"> u zatvorenoj sprezi</w:t>
      </w:r>
      <w:r>
        <w:rPr>
          <w:rFonts w:asciiTheme="majorHAnsi" w:eastAsiaTheme="minorEastAsia" w:hAnsiTheme="majorHAnsi" w:cs="Segoe UI"/>
          <w:lang w:val="sr-Latn-BA"/>
        </w:rPr>
        <w:t>.</w:t>
      </w:r>
      <w:r w:rsidR="00E41305">
        <w:rPr>
          <w:rFonts w:asciiTheme="majorHAnsi" w:eastAsiaTheme="minorEastAsia" w:hAnsiTheme="majorHAnsi" w:cs="Segoe UI"/>
          <w:lang w:val="sr-Latn-BA"/>
        </w:rPr>
        <w:t xml:space="preserve"> Dobijeni zaključak provjeriti primjenom Rausovog kriterijuma stabilnosti.</w:t>
      </w:r>
    </w:p>
    <w:p w:rsidR="00E41305" w:rsidRDefault="00E41305" w:rsidP="00902CC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F14AB3">
        <w:rPr>
          <w:rFonts w:asciiTheme="majorHAnsi" w:eastAsiaTheme="minorEastAsia" w:hAnsiTheme="majorHAnsi" w:cs="Segoe UI"/>
        </w:rPr>
        <w:t>15</w:t>
      </w:r>
      <w:r>
        <w:rPr>
          <w:rFonts w:asciiTheme="majorHAnsi" w:eastAsiaTheme="minorEastAsia" w:hAnsiTheme="majorHAnsi" w:cs="Segoe UI"/>
        </w:rPr>
        <w:t xml:space="preserve">] Približan oblik geometrijskog mjesta korijena sistema je skiciran na Sl. 3.1. Poznato je da je taj sistem stabilan za opseg pojačanja </w:t>
      </w:r>
      <m:oMath>
        <m:r>
          <w:rPr>
            <w:rFonts w:ascii="Cambria Math" w:eastAsiaTheme="minorEastAsia" w:hAnsi="Cambria Math" w:cs="Segoe UI"/>
          </w:rPr>
          <m:t>K∈(0, 60)</m:t>
        </m:r>
      </m:oMath>
      <w:r>
        <w:rPr>
          <w:rFonts w:asciiTheme="majorHAnsi" w:eastAsiaTheme="minorEastAsia" w:hAnsiTheme="majorHAnsi" w:cs="Segoe UI"/>
        </w:rPr>
        <w:t>. Metodom skraćivanja polova projektovati kaskadni kompenzator tako da</w:t>
      </w:r>
      <w:r w:rsidR="00B47B85">
        <w:rPr>
          <w:rFonts w:asciiTheme="majorHAnsi" w:eastAsiaTheme="minorEastAsia" w:hAnsiTheme="majorHAnsi" w:cs="Segoe UI"/>
        </w:rPr>
        <w:t xml:space="preserve">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2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 w:rsidR="00B47B85">
        <w:rPr>
          <w:rFonts w:asciiTheme="majorHAnsi" w:eastAsiaTheme="minorEastAsia" w:hAnsiTheme="majorHAnsi" w:cs="Segoe UI"/>
        </w:rPr>
        <w:t xml:space="preserve">, a da faktor relativnog prigušenja para konjugovano-kompleksnih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2</m:t>
            </m:r>
          </m:den>
        </m:f>
      </m:oMath>
      <w:r w:rsidR="00EC1BBD">
        <w:rPr>
          <w:rFonts w:asciiTheme="majorHAnsi" w:eastAsiaTheme="minorEastAsia" w:hAnsiTheme="majorHAnsi" w:cs="Segoe UI"/>
          <w:lang w:val="sr-Latn-BA"/>
        </w:rPr>
        <w:t>.</w:t>
      </w:r>
    </w:p>
    <w:p w:rsidR="00B47B85" w:rsidRDefault="00B47B85" w:rsidP="00B47B85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noProof/>
        </w:rPr>
        <w:drawing>
          <wp:inline distT="0" distB="0" distL="0" distR="0">
            <wp:extent cx="6115050" cy="4086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B85" w:rsidRDefault="00B47B85" w:rsidP="00B47B85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Slika 3.1 </w:t>
      </w:r>
      <w:r>
        <w:rPr>
          <w:rFonts w:asciiTheme="majorHAnsi" w:eastAsiaTheme="minorEastAsia" w:hAnsiTheme="majorHAnsi" w:cs="Segoe UI"/>
          <w:i/>
          <w:sz w:val="22"/>
        </w:rPr>
        <w:t>Geometrijsko mjesto korijena sistema</w:t>
      </w:r>
    </w:p>
    <w:p w:rsidR="00902CCC" w:rsidRDefault="00F14AB3" w:rsidP="00F22DC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lastRenderedPageBreak/>
        <w:t>[10</w:t>
      </w:r>
      <w:r w:rsidR="00593703">
        <w:rPr>
          <w:rFonts w:asciiTheme="majorHAnsi" w:hAnsiTheme="majorHAnsi" w:cs="Segoe UI"/>
          <w:sz w:val="22"/>
        </w:rPr>
        <w:t xml:space="preserve">] </w:t>
      </w:r>
      <w:r w:rsidR="00F22DC8">
        <w:rPr>
          <w:rFonts w:asciiTheme="majorHAnsi" w:hAnsiTheme="majorHAnsi" w:cs="Segoe UI"/>
          <w:lang w:val="sr-Latn-BA"/>
        </w:rPr>
        <w:t>Za sistem čija je funkcija prenosa</w:t>
      </w:r>
    </w:p>
    <w:p w:rsidR="00F22DC8" w:rsidRPr="00066D88" w:rsidRDefault="00F22DC8" w:rsidP="00F22DC8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-2s+12</m:t>
              </m:r>
            </m:den>
          </m:f>
        </m:oMath>
      </m:oMathPara>
    </w:p>
    <w:p w:rsidR="00B361D6" w:rsidRDefault="00F22DC8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p</w:t>
      </w:r>
      <w:r w:rsidR="00902CCC">
        <w:rPr>
          <w:rFonts w:asciiTheme="majorHAnsi" w:eastAsiaTheme="minorEastAsia" w:hAnsiTheme="majorHAnsi" w:cs="Segoe UI"/>
        </w:rPr>
        <w:t xml:space="preserve">rojektovati povratnu spregu po stanju sistema tako da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2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 w:rsidR="00902CCC">
        <w:rPr>
          <w:rFonts w:asciiTheme="majorHAnsi" w:eastAsiaTheme="minorEastAsia" w:hAnsiTheme="majorHAnsi" w:cs="Segoe UI"/>
        </w:rPr>
        <w:t xml:space="preserve">, a da faktor relativnog prigušenja para konjugovano-kompleksnih dominantnih polova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  <w:lang w:val="sr-Latn-BA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Segoe UI"/>
                    <w:i/>
                    <w:lang w:val="sr-Latn-BA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Segoe UI"/>
                    <w:lang w:val="sr-Latn-BA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Segoe UI"/>
                <w:lang w:val="sr-Latn-BA"/>
              </w:rPr>
              <m:t>2</m:t>
            </m:r>
          </m:den>
        </m:f>
      </m:oMath>
      <w:r w:rsidR="00902CCC">
        <w:rPr>
          <w:rFonts w:asciiTheme="majorHAnsi" w:eastAsiaTheme="minorEastAsia" w:hAnsiTheme="majorHAnsi" w:cs="Segoe UI"/>
          <w:lang w:val="sr-Latn-BA"/>
        </w:rPr>
        <w:t xml:space="preserve">, te da greška u ustaljenom režimu za jedinični odskočni </w:t>
      </w:r>
      <w:r w:rsidR="00804B05">
        <w:rPr>
          <w:rFonts w:asciiTheme="majorHAnsi" w:eastAsiaTheme="minorEastAsia" w:hAnsiTheme="majorHAnsi" w:cs="Segoe UI"/>
          <w:lang w:val="sr-Latn-BA"/>
        </w:rPr>
        <w:t>referentni</w:t>
      </w:r>
      <w:r w:rsidR="00D53716">
        <w:rPr>
          <w:rFonts w:asciiTheme="majorHAnsi" w:eastAsiaTheme="minorEastAsia" w:hAnsiTheme="majorHAnsi" w:cs="Segoe UI"/>
          <w:lang w:val="sr-Latn-BA"/>
        </w:rPr>
        <w:t xml:space="preserve"> signal bude 0. Projektovanje izvršiti tako da se sistem u otvorenoj sprezi prikaže kao veza više podsistema, od kojih jedan ima pol jednak -3, a jedan je integrator</w:t>
      </w:r>
      <w:r w:rsidR="00B361D6">
        <w:rPr>
          <w:rFonts w:asciiTheme="majorHAnsi" w:eastAsiaTheme="minorEastAsia" w:hAnsiTheme="majorHAnsi" w:cs="Segoe UI"/>
          <w:lang w:val="sr-Latn-BA"/>
        </w:rPr>
        <w:t>.</w:t>
      </w:r>
      <w:bookmarkStart w:id="0" w:name="_GoBack"/>
      <w:bookmarkEnd w:id="0"/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Pr="00053FAB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31A281AA"/>
    <w:lvl w:ilvl="0" w:tplc="C6F64C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D214A"/>
    <w:rsid w:val="000D2675"/>
    <w:rsid w:val="00127C8D"/>
    <w:rsid w:val="00142CBC"/>
    <w:rsid w:val="0015224A"/>
    <w:rsid w:val="0015409D"/>
    <w:rsid w:val="00165CAE"/>
    <w:rsid w:val="00185B3A"/>
    <w:rsid w:val="001869C7"/>
    <w:rsid w:val="00186E69"/>
    <w:rsid w:val="001B294B"/>
    <w:rsid w:val="00221D7C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306F"/>
    <w:rsid w:val="004E5C18"/>
    <w:rsid w:val="004F2E5B"/>
    <w:rsid w:val="00547FAE"/>
    <w:rsid w:val="0058390D"/>
    <w:rsid w:val="00593703"/>
    <w:rsid w:val="005E08F7"/>
    <w:rsid w:val="005E228C"/>
    <w:rsid w:val="00662BFD"/>
    <w:rsid w:val="00730A59"/>
    <w:rsid w:val="00787954"/>
    <w:rsid w:val="0079190D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79CA"/>
    <w:rsid w:val="00902C90"/>
    <w:rsid w:val="00902CCC"/>
    <w:rsid w:val="009050BF"/>
    <w:rsid w:val="00907680"/>
    <w:rsid w:val="00937482"/>
    <w:rsid w:val="009C52BC"/>
    <w:rsid w:val="009F12E7"/>
    <w:rsid w:val="00A634DE"/>
    <w:rsid w:val="00A76265"/>
    <w:rsid w:val="00AB669D"/>
    <w:rsid w:val="00AE21CC"/>
    <w:rsid w:val="00AF1ECF"/>
    <w:rsid w:val="00B069A6"/>
    <w:rsid w:val="00B2186D"/>
    <w:rsid w:val="00B361D6"/>
    <w:rsid w:val="00B47B85"/>
    <w:rsid w:val="00BA2111"/>
    <w:rsid w:val="00BC0C12"/>
    <w:rsid w:val="00BF0934"/>
    <w:rsid w:val="00C27FCC"/>
    <w:rsid w:val="00CD057B"/>
    <w:rsid w:val="00D53716"/>
    <w:rsid w:val="00D72CC3"/>
    <w:rsid w:val="00DD6F1C"/>
    <w:rsid w:val="00E41305"/>
    <w:rsid w:val="00E45142"/>
    <w:rsid w:val="00E537E8"/>
    <w:rsid w:val="00E9692B"/>
    <w:rsid w:val="00EC1BBD"/>
    <w:rsid w:val="00ED3828"/>
    <w:rsid w:val="00EF4A6D"/>
    <w:rsid w:val="00F14AB3"/>
    <w:rsid w:val="00F22DC8"/>
    <w:rsid w:val="00F31112"/>
    <w:rsid w:val="00F65385"/>
    <w:rsid w:val="00F70F0D"/>
    <w:rsid w:val="00F83DB7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58</cp:revision>
  <cp:lastPrinted>2014-12-16T13:39:00Z</cp:lastPrinted>
  <dcterms:created xsi:type="dcterms:W3CDTF">2011-12-07T09:16:00Z</dcterms:created>
  <dcterms:modified xsi:type="dcterms:W3CDTF">2015-02-03T14:35:00Z</dcterms:modified>
</cp:coreProperties>
</file>