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TỔNG QUAN HỆ THỐNG VÀ BÀI TOÁN THỰC TẾ</w:t>
      </w:r>
      <w:r>
        <w:rPr>
          <w:rFonts w:ascii="Times New Roman" w:hAnsi="Times New Roman"/>
          <w:sz w:val="26"/>
        </w:rPr>
        <w:tab/>
      </w:r>
      <w:r>
        <w:rPr>
          <w:rFonts w:ascii="Times New Roman" w:hAnsi="Times New Roman"/>
          <w:b/>
          <w:color w:val="1E3A8A"/>
          <w:sz w:val="21"/>
        </w:rPr>
        <w:t>6</w:t>
      </w:r>
    </w:p>
    <w:p>
      <w:pPr>
        <w:tabs>
          <w:tab w:pos="9360" w:val="right" w:leader="dot"/>
        </w:tabs>
        <w:spacing w:line="276" w:lineRule="auto" w:before="20" w:after="20"/>
        <w:ind w:left="288"/>
      </w:pPr>
      <w:r>
        <w:rPr>
          <w:rFonts w:ascii="Times New Roman" w:hAnsi="Times New Roman"/>
          <w:b/>
          <w:color w:val="1F2937"/>
          <w:sz w:val="21"/>
        </w:rPr>
        <w:t>LIÊN KẾT DỰ ÁN TRỰC TUYẾN</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1.1. Lời mở đầu</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9</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10</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13</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15</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17</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19</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21</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22</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24</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30</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30</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30</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32</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32</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33</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33</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33</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34</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39</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40</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43</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44</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47</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47</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49</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49</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53</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53</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56</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59</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59</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59</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60</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60</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60</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63</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63</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67</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70</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70</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70</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71</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71</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72</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72</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73</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74</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74</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74</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75</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76</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76</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76</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77</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TỔNG QUAN HỆ THỐNG VÀ BÀI TOÁN THỰC TẾ</w:t>
      </w:r>
    </w:p>
    <w:p>
      <w:pPr>
        <w:pStyle w:val="Heading2"/>
        <w:keepNext/>
        <w:spacing w:before="240" w:after="80"/>
      </w:pPr>
      <w:r>
        <w:rPr>
          <w:rFonts w:ascii="Times New Roman" w:hAnsi="Times New Roman"/>
          <w:b/>
          <w:color w:val="1E3A8A"/>
          <w:sz w:val="28"/>
        </w:rPr>
        <w:t>LIÊN KẾT DỰ ÁN TRỰC TUYẾN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Web App Đã Triển Khai (Render): </w:t>
      </w:r>
      <w:r>
        <w:rPr>
          <w:rFonts w:ascii="Times New Roman" w:hAnsi="Times New Roman"/>
          <w:color w:val="111827"/>
          <w:sz w:val="26"/>
        </w:rPr>
        <w:t>https://assignment-02-pthttm.onrender.com/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Kho Mã Nguồn (GitHub): </w:t>
      </w:r>
      <w:r>
        <w:rPr>
          <w:rFonts w:ascii="Times New Roman" w:hAnsi="Times New Roman"/>
          <w:color w:val="111827"/>
          <w:sz w:val="26"/>
        </w:rPr>
        <w:t>https://github.com/jellalaz/Assignment_02_PTHTTM</w:t>
      </w:r>
    </w:p>
    <w:p>
      <w:pPr>
        <w:pStyle w:val="Heading2"/>
        <w:keepNext/>
        <w:spacing w:before="240" w:after="80"/>
      </w:pPr>
      <w:r>
        <w:rPr>
          <w:rFonts w:ascii="Times New Roman" w:hAnsi="Times New Roman"/>
          <w:b/>
          <w:color w:val="1E3A8A"/>
          <w:sz w:val="28"/>
        </w:rPr>
        <w:t>1.1. Lời mở đầu</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keepNext/>
        <w:spacing w:before="160" w:after="40"/>
        <w:jc w:val="center"/>
      </w:pPr>
      <w:r>
        <w:rPr>
          <w:rFonts w:ascii="Times New Roman" w:hAnsi="Times New Roman"/>
          <w:b/>
          <w:i/>
          <w:color w:val="1F2937"/>
          <w:sz w:val="22"/>
        </w:rPr>
        <w:t>Đoạn mã 6.1. Khởi tạo và nạp mô hình vào bộ nhớ đệm (Lifespan Context Manager).</w:t>
      </w:r>
    </w:p>
    <w:p>
      <w:pPr>
        <w:spacing w:before="80" w:after="120" w:line="276" w:lineRule="auto"/>
        <w:ind w:left="360" w:right="360"/>
        <w:shd w:fill="F1F5F9"/>
        <w:pBdr>
          <w:left w:val="single" w:sz="18" w:space="8" w:color="0F2C59"/>
        </w:pBdr>
      </w:pPr>
      <w:r>
        <w:rPr>
          <w:rFonts w:ascii="Consolas" w:hAnsi="Consolas"/>
          <w:color w:val="1F2937"/>
          <w:sz w:val="20"/>
        </w:rPr>
        <w:t>@asynccontextmanager</w:t>
        <w:br/>
        <w:t>async def lifespan(app: FastAPI):</w:t>
        <w:br/>
        <w:t xml:space="preserve">    # Load các pipelines học máy đã được huấn luyện (Persisted Models)</w:t>
        <w:br/>
        <w:t xml:space="preserve">    diabetes_model = joblib.load(DIABETES_MODEL_PATH)</w:t>
        <w:br/>
        <w:t xml:space="preserve">    house_model = joblib.load(HOUSE_MODEL_PATH)</w:t>
        <w:br/>
        <w:t xml:space="preserve">    ecommerce_model = joblib.load(ECOMMERCE_MODEL_PATH)</w:t>
        <w:br/>
        <w:t xml:space="preserve">    </w:t>
        <w:br/>
        <w:t xml:space="preserve">    # Nạp vào bộ nhớ RAM toàn cục (Application State)</w:t>
        <w:br/>
        <w:t xml:space="preserve">    app.state.models = {</w:t>
        <w:br/>
        <w:t xml:space="preserve">        "diabetes": diabetes_model,</w:t>
        <w:br/>
        <w:t xml:space="preserve">        "house": house_model,</w:t>
        <w:br/>
        <w:t xml:space="preserve">        "ecommerce": ecommerce_model</w:t>
        <w:br/>
        <w:t xml:space="preserve">    }</w:t>
        <w:br/>
        <w:t xml:space="preserve">    yield</w:t>
        <w:br/>
        <w:t xml:space="preserve">    app.state.models.clear()</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Toàn bộ 3 pipeline mô hình được nạp sẵn vào bộ nhớ RAM ngay tại thời điểm khởi động máy chủ (Startup).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Giúp loại bỏ độ trễ đọc ổ cứng (Disk I/O Latency) cho từng request, bảo đảm thời gian phản hồi API luôn dưới 10 mili-giây.</w:t>
      </w:r>
    </w:p>
    <w:p>
      <w:pPr>
        <w:spacing w:before="0" w:after="80"/>
        <w:ind w:left="360"/>
      </w:pPr>
      <w:r>
        <w:rPr>
          <w:rFonts w:ascii="Times New Roman" w:hAnsi="Times New Roman"/>
          <w:i/>
          <w:sz w:val="22"/>
        </w:rPr>
        <w:t xml:space="preserve">Nguồn: </w:t>
      </w:r>
      <w:r>
        <w:rPr>
          <w:rFonts w:ascii="Consolas" w:hAnsi="Consolas"/>
          <w:color w:val="1F2937"/>
          <w:sz w:val="20"/>
        </w:rPr>
        <w:t>api/main.py</w:t>
      </w:r>
    </w:p>
    <w:p>
      <w:pPr>
        <w:spacing w:after="80"/>
      </w:pPr>
    </w:p>
    <w:p>
      <w:pPr>
        <w:keepNext/>
        <w:spacing w:before="160" w:after="40"/>
        <w:jc w:val="center"/>
      </w:pPr>
      <w:r>
        <w:rPr>
          <w:rFonts w:ascii="Times New Roman" w:hAnsi="Times New Roman"/>
          <w:b/>
          <w:i/>
          <w:color w:val="1F2937"/>
          <w:sz w:val="22"/>
        </w:rPr>
        <w:t>Đoạn mã 6.2. Endpoint dự đoán bệnh tiểu đường bằng REST API.</w:t>
      </w:r>
    </w:p>
    <w:p>
      <w:pPr>
        <w:spacing w:before="80" w:after="120" w:line="276" w:lineRule="auto"/>
        <w:ind w:left="360" w:right="360"/>
        <w:shd w:fill="F1F5F9"/>
        <w:pBdr>
          <w:left w:val="single" w:sz="18" w:space="8" w:color="0F2C59"/>
        </w:pBdr>
      </w:pPr>
      <w:r>
        <w:rPr>
          <w:rFonts w:ascii="Consolas" w:hAnsi="Consolas"/>
          <w:color w:val="1F2937"/>
          <w:sz w:val="20"/>
        </w:rPr>
        <w:t>@app.post("/predict/diabetes")</w:t>
        <w:br/>
        <w:t>async def predict_diabetes(data: DiabetesInput, request: Request):</w:t>
        <w:br/>
        <w:t xml:space="preserve">    model = request.app.state.models.get("diabetes")</w:t>
        <w:br/>
        <w:t xml:space="preserve">    </w:t>
        <w:br/>
        <w:t xml:space="preserve">    # Chuyển đổi dữ liệu JSON từ Client thành pandas DataFrame 1 dòng</w:t>
        <w:br/>
        <w:t xml:space="preserve">    input_df = pd.DataFrame([data.model_dump()])</w:t>
        <w:br/>
        <w:t xml:space="preserve">    </w:t>
        <w:br/>
        <w:t xml:space="preserve">    # Suy luận: Pipeline tự động tiền xử lý (Scale, Encode) và dự đoán</w:t>
        <w:br/>
        <w:t xml:space="preserve">    prob = model.predict_proba(input_df)[0][1]</w:t>
        <w:br/>
        <w:t xml:space="preserve">    pred = model.predict(input_df)[0]</w:t>
        <w:br/>
        <w:t xml:space="preserve">    </w:t>
        <w:br/>
        <w:t xml:space="preserve">    return {</w:t>
        <w:br/>
        <w:t xml:space="preserve">        "prediction": int(pred),</w:t>
        <w:br/>
        <w:t xml:space="preserve">        "probability": float(prob)</w:t>
        <w:br/>
        <w:t xml:space="preserve">    }</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Endpoint tự động xác thực dữ liệu đầu vào thông qua schema `DiabetesInput` (Pydantic).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Chuyển đổi dữ liệu JSON thành pandas DataFrame, truyền qua Pipeline (bao gồm tiền xử lý và suy luận) để trả về xác suất nguy cơ mắc bệnh.</w:t>
      </w:r>
    </w:p>
    <w:p>
      <w:pPr>
        <w:spacing w:before="0" w:after="80"/>
        <w:ind w:left="360"/>
      </w:pPr>
      <w:r>
        <w:rPr>
          <w:rFonts w:ascii="Times New Roman" w:hAnsi="Times New Roman"/>
          <w:i/>
          <w:sz w:val="22"/>
        </w:rPr>
        <w:t xml:space="preserve">Nguồn: </w:t>
      </w:r>
      <w:r>
        <w:rPr>
          <w:rFonts w:ascii="Consolas" w:hAnsi="Consolas"/>
          <w:color w:val="1F2937"/>
          <w:sz w:val="20"/>
        </w:rPr>
        <w:t>api/main.py</w:t>
      </w:r>
    </w:p>
    <w:p>
      <w:pPr>
        <w:spacing w:after="80"/>
      </w:pP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Hệ thống định nghĩa đầy đủ các endpoint chuẩn RESTful: POST /predict/diabetes, POST /predict/house, POST /predict/ecommerce và GET /health.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Trang chủ tích hợp cả 3 ứng dụng thông minh trong một màn hình điều khiển thống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color w:val="111827"/>
          <w:sz w:val="26"/>
        </w:rPr>
        <w:t>Điện thoại và máy tính chỉ cần kết nối cùng một mạng Wi-Fi. Người dùng mở trình duyệt Safari/Chrome trên smartphone và truy cập địa chỉ IP mạng nội bộ của máy chủ (ví dụ http://192.168.0.105:8000/). Do toàn bộ mã JavaScript sử dụng URL tương đối (/predict/...), các lệnh gọi API từ điện thoại tự động chuyển tới đúng máy chủ mà không gặp lỗi kết nối localhost.</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trên điện thoại có thể thực hiện suy luận thời gian thực từ mô hình học máy đang chạy trên máy chủ.</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Thiết kế sử dụng kỹ thuật CSS Flexbox, CSS Grid và Media Queries (@media (max-width: 768px)) cùng các thẻ meta viewport chuẩn.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Dữ liệu được chuyển đổi thành các vector số học trước khi đưa vào mô hình học máy:</w:t>
      </w:r>
    </w:p>
    <w:p>
      <w:pPr>
        <w:keepNext/>
        <w:spacing w:before="160" w:after="40"/>
        <w:jc w:val="center"/>
      </w:pPr>
      <w:r>
        <w:rPr>
          <w:rFonts w:ascii="Times New Roman" w:hAnsi="Times New Roman"/>
          <w:b/>
          <w:i/>
          <w:color w:val="1F2937"/>
          <w:sz w:val="22"/>
        </w:rPr>
        <w:t>Đoạn mã 7.1. Tiền xử lý và biểu diễn dữ liệu cho Diabetes Prediction.</w:t>
      </w:r>
    </w:p>
    <w:p>
      <w:pPr>
        <w:spacing w:before="80" w:after="120" w:line="276" w:lineRule="auto"/>
        <w:ind w:left="360" w:right="360"/>
        <w:shd w:fill="F1F5F9"/>
        <w:pBdr>
          <w:left w:val="single" w:sz="18" w:space="8" w:color="0F2C59"/>
        </w:pBdr>
      </w:pPr>
      <w:r>
        <w:rPr>
          <w:rFonts w:ascii="Consolas" w:hAnsi="Consolas"/>
          <w:color w:val="1F2937"/>
          <w:sz w:val="20"/>
        </w:rPr>
        <w:t>num_transformer = StandardScaler()</w:t>
        <w:br/>
        <w:t>cat_transformer = OneHotEncoder(drop='first', sparse_output=False, handle_unknown='ignore')</w:t>
        <w:br/>
        <w:br/>
        <w:t>preprocessor = ColumnTransformer(transformers=[</w:t>
        <w:br/>
        <w:t xml:space="preserve">    ('num', num_transformer, num_cols),</w:t>
        <w:br/>
        <w:t xml:space="preserve">    ('cat', cat_transformer, cat_cols)</w:t>
        <w:br/>
        <w:t>])</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xây dựng ColumnTransformer để xử lý song song các nhóm biến.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Áp dụng StandardScaler cho các biến số học (tuổi, bmi, glucose) và OneHotEncoder cho các biến danh mục (giới tính, hút thuốc).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của bước này trực tiếp tạo ra không gian vector chuẩn hóa dùng để huấn luyện mô hình.</w:t>
      </w:r>
    </w:p>
    <w:p>
      <w:pPr>
        <w:spacing w:before="0" w:after="80"/>
        <w:ind w:left="360"/>
      </w:pPr>
      <w:r>
        <w:rPr>
          <w:rFonts w:ascii="Times New Roman" w:hAnsi="Times New Roman"/>
          <w:i/>
          <w:sz w:val="22"/>
        </w:rPr>
        <w:t xml:space="preserve">Nguồn: </w:t>
      </w:r>
      <w:r>
        <w:rPr>
          <w:rFonts w:ascii="Consolas" w:hAnsi="Consolas"/>
          <w:color w:val="1F2937"/>
          <w:sz w:val="20"/>
        </w:rPr>
        <w:t>src/diabetes/pipeline.py</w:t>
      </w:r>
    </w:p>
    <w:p>
      <w:pPr>
        <w:spacing w:after="80"/>
      </w:pP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sạch gồm 87,976 mẫu âm tính (Lớp 0 - chiếm 91.5%) và 8,170 mẫu dương tính (Lớp 1 - chiếm 8.5%).</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Tỷ lệ mất cân bằng lớp ở mức cực kỳ nghiêm trọng (~11:1).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Tỷ lệ này phản ánh đúng thực tế dịch tễ học trong cộng đồng, nơi đa số người dân không mắc bệnh.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nhóm không mắc bệnh phân bố đều từ trẻ em đến thanh thiếu niên và giảm dần ở tuổi già.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Đa số bệnh nhân mắc tiểu đường có chỉ số BMI vượt ngưỡng 27 kg/m² (ngưỡng thừa cân và béo phì theo chuẩn WHO).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Nhóm người bình thường có phân bố đỉnh BMI tập trung trong ngưỡng lý tưởng từ 20 – 25 kg/m².</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Có sự phân định cực kỳ rõ rệt giữa hai nhóm: Bệnh nhân tiểu đường có HbA1c vượt ngưỡng 6.5% và Glucose vượt 140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người khỏe mạnh có HbA1c dưới 6.0% và Glucose dưới 120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HbA1c và Glucose là hai tiêu chuẩn vàng trong y khoa lâm sàng để chẩn đoán xác định bệnh tiểu đường.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biến có hệ số tương quan Pearson cao nhất với nhãn diabetes là blood_glucose_level (r = 0.42) và HbA1c_level (r = 0.41).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biến tuổi tác (r = 0.26) và BMI (r = 0.21) cũng có tương quan dương có ý nghĩa thống kê.</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keepNext/>
        <w:spacing w:before="160" w:after="40"/>
        <w:jc w:val="center"/>
      </w:pPr>
      <w:r>
        <w:rPr>
          <w:rFonts w:ascii="Times New Roman" w:hAnsi="Times New Roman"/>
          <w:b/>
          <w:i/>
          <w:color w:val="1F2937"/>
          <w:sz w:val="22"/>
        </w:rPr>
        <w:t>Đoạn mã 7.2. Huấn luyện và đánh giá mô hình phân loại.</w:t>
      </w:r>
    </w:p>
    <w:p>
      <w:pPr>
        <w:spacing w:before="80" w:after="120" w:line="276" w:lineRule="auto"/>
        <w:ind w:left="360" w:right="360"/>
        <w:shd w:fill="F1F5F9"/>
        <w:pBdr>
          <w:left w:val="single" w:sz="18" w:space="8" w:color="0F2C59"/>
        </w:pBdr>
      </w:pPr>
      <w:r>
        <w:rPr>
          <w:rFonts w:ascii="Consolas" w:hAnsi="Consolas"/>
          <w:color w:val="1F2937"/>
          <w:sz w:val="20"/>
        </w:rPr>
        <w:t>model = RandomForestClassifier(n_estimators=100, class_weight='balanced', random_state=42)</w:t>
        <w:br/>
        <w:t>pipeline = Pipeline(steps=[</w:t>
        <w:br/>
        <w:t xml:space="preserve">    ('preprocessor', preprocessor),</w:t>
        <w:br/>
        <w:t xml:space="preserve">    ('classifier', model)</w:t>
        <w:br/>
        <w:t>])</w:t>
        <w:br/>
        <w:br/>
        <w:t># Huấn luyện toàn bộ Pipeline</w:t>
        <w:br/>
        <w:t>pipeline.fit(X_train, y_train)</w:t>
        <w:br/>
        <w:br/>
        <w:t># Dự đoán và Đánh giá trên tập Validation</w:t>
        <w:br/>
        <w:t>y_pred = pipeline.predict(X_val)</w:t>
        <w:br/>
        <w:t>print(classification_report(y_val, y_pred))</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Tích hợp tiền xử lý (preprocessor) và thuật toán (RandomForest) vào chung một Pipeline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Tham số class_weight='balanced' được sử dụng để khắc phục tình trạng mất cân bằng nhãn (Imbalanced Data).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này sinh ra trực tiếp các chỉ số đánh giá Recall, F1-Score được trình bày trong bảng kết quả bên dưới.</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Về tổng thể diện tích dưới đường cong ROC-AUC, Random Forest dẫn đầu toàn diện với chỉ số đạt 0.9757.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tổng số 14,422 bệnh nhân kiểm thử độc lập, mô hình phát hiện chính xác 1,141 ca mắc bệnh thực sự (True Positives).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không mắc bệnh bị cảnh báo nhầm (False Positives) là 1,339 ca (chiếm ~10% tổng ca khỏe mạnh).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gồm các chỉ số: age=45, bmi=28.5, HbA1c=6.8, glucose=155, smoking=never, gender=Male.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phản hồi tức thời: prediction=1 (Cảnh báo nguy cơ tiểu đường), xác suất mắc bệnh 86.4%, mức độ rủi ro 'High Risk'.</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chuẩn hóa dữ liệu đầu vào và chuyển qua Random Forest để xuất ra xác suất hậu nghiệm qua predict_proba.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Trực quan hóa trực tiếp từ dữ liệu JSON trả về bởi 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chẩn đoán hiển thị mượt mà không có hiện tượng giật lag hay vỡ giao diện.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Hoạt động hoàn hảo trên trình duyệt điện thoại kết nối qua Wi-Fi mạng LAN.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tần số và đường cong mật độ thể hiện dạng chuông chuẩn mực hình chuông Gauss.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Giá trị dao động từ $334,635 đến $2,225,409, tập trung chủ yếu quanh mức $1.2M – $1.3M.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Tập dữ liệu đã được tổng hợp cân đối trên các phân khúc thị trường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phân tán thể hiện xu hướng tuyến tính đi lên rất rõ ràng giữa Diện tích sàn và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Vị trí và quy mô diện tích là hai thành tố cấu thành cốt lõi nhất của giá trị đất và nhà ở.</w:t>
      </w:r>
    </w:p>
    <w:p>
      <w:pPr>
        <w:spacing w:line="288" w:lineRule="auto" w:before="0" w:after="60"/>
        <w:ind w:left="360"/>
        <w:jc w:val="both"/>
      </w:pPr>
      <w:r>
        <w:rPr>
          <w:rFonts w:ascii="Times New Roman" w:hAnsi="Times New Roman"/>
          <w:sz w:val="26"/>
        </w:rPr>
        <w:t>•  Ý nghĩa đối với mô hình / ML: 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Nhiều phòng tắm đòi hỏi hạ tầng đường ống và thiết bị vệ sinh đắt tiền, đại diện cho phân khúc nhà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Diện tích (Area) là thuộc tính có tương quan tuyến tính cao nhất với giá nhà (r = 0.58).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 tiếp là Đánh giá vị trí (r = 0.35), Số phòng tắm (r = 0.31), Số phòng ngủ (r = 0.28) và Chỗ đỗ xe (r = 0.26).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Tuổi thọ công trình (Age) có tương quan âm với giá nhà (r = -0.19), nhà càng cũ thì giá trị khấu hao càng lớn.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Hệ số tương quan phản ánh hoàn toàn chính xác các quy luật định giá bất động sản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sz w:val="26"/>
        </w:rPr>
        <w:t>•  Nhận xét: Hai mô hình tuyến tính (Linear Regression và Gradient Boosting Regressor) đạt hiệu năng cao nhất, giải thích được hơn 74.3% phương sai dữ liệu (R² = 0.7431) và giảm sai số MAE xuống chỉ còn ~$125,436.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điểm dự đoán trên đồ thị phân tán bám rất sát đường chéo lý tưởng y = ŷ trải dài từ phân khúc $400k đến $2.2M.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dự đoán công bằng trên cả phân khúc nhà giá thấp, trung bình và biệt thự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thông số căn nhà: Area=2500, Bedrooms=3, Bathrooms=2, City=Mumbai, Furnishing=Furnished...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dự đoán định giá thị trường: $1,446,747.88, thời gian tính toán &lt; 5ms.</w:t>
      </w:r>
    </w:p>
    <w:p>
      <w:pPr>
        <w:spacing w:line="288" w:lineRule="auto" w:before="0" w:after="60"/>
        <w:ind w:left="360"/>
        <w:jc w:val="both"/>
      </w:pPr>
      <w:r>
        <w:rPr>
          <w:rFonts w:ascii="Times New Roman" w:hAnsi="Times New Roman"/>
          <w:sz w:val="26"/>
        </w:rPr>
        <w:t>•  Giải thích: Pipeline tự động chuẩn hóa Z-score và tạo 23 chiều đặc trưng để Gradient Boosting Regressor tính tích vô hướng w^T x + b.</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mức giá ước tính bằng USD có định dạng dấu phẩy ngăn cách hàng nghìn rõ ràng.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Cung cấp khoảng tin cậy tham chiếu cho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trực quan thân thiện với người dùng cá nhân.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Bố cục form co giãn mượt mà trên khung nhìn hẹp của smartphone.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Tận dụng kết nối mạng LAN để phục vụ tính toán di động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có 82.2% lượt đánh giá đi kèm khuyến nghị (Lớp 1) và 17.8% không khuyến nghị (Lớp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Khách hàng cho 5 sao và 4 sao gần như 100% sẽ khuyến nghị; đánh giá 1 sao và 2 sao hầu hết không khuyến nghị.</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Tuy nhiên, nhóm đánh giá 3 sao là vùng ranh giới phân vân đặc biệt: Tỷ lệ khuyến nghị xấp xỉ 50/50.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ngành hàng có số lượng nhận xét áp đảo nhất là Tops (Áo) và Dresses (Váy đầm), chiếm hơn 70% tổng lượng tương tác.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Độ dài nhận xét của khách hàng không hài lòng (Lớp 0) có xu hướng dài hơn đáng kể so với khách hàng hài lòng.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từ khóa mang trọng số tích cực cao nhất: 'love', 'perfect', 'flattering', 'comfortable', 'great fit', 'beautiful'.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từ khóa mang trọng số tiêu cực cao nhất: 'disappointed', 'cheap', 'runs small', 'returned', 'terrible', 'itchy'.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Khách hàng nữ quan tâm hàng đầu đến độ vừa vặn cơ thể (fit, flattering) và chất liệu vải (soft vs cheap/itchy).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Combined Tabular + TF-IDF vươn lên dẫn đầu toàn diện về ROC-AUC đạt đỉnh 0.9877 trên tập Validation.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dự đoán nhầm ở mức rất thấp, đạt Accuracy = 93.41% và ROC-AUC = 0.9737.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có khả năng phân định cực kỳ dứt khoát giữa hai luồng ý kiến của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Title='Love this dress', Review Text='Fabric is soft and flattering', Rating=5, Age=32...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prediction=1 (Recommended), xác suất khuyến nghị 98.2%, độ tin cậy 'High Confidence'.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vector hóa văn bản TF-IDF, ghép nối với dữ liệu bảng và đưa qua mô hình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thông điệp: Sản phẩm được khuyến nghị mạnh mẽ kèm thanh đo xác suất 98%.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cung cấp tóm tắt các đặc trưng ảnh hưởng chính tới quyết định của thuật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thân thiện cho các nhà quản lý sàn thương mại điện tử.</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Cho phép người dùng nhập trực tiếp nhận xét bằng bàn phím ảo trên điện thoại và nhận phản hồi đánh giá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Thiết kế tối ưu hóa tốc độ tải và bố cục trên khung nhìn di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phỏng hoàn hảo trải nghiệm mua sắm trên các ứng dụng di động Shopee/Lazada.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