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GIỚI THIỆU BÀI TOÁN</w:t>
      </w:r>
      <w:r>
        <w:rPr>
          <w:rFonts w:ascii="Times New Roman" w:hAnsi="Times New Roman"/>
          <w:sz w:val="26"/>
        </w:rPr>
        <w:tab/>
      </w:r>
      <w:r>
        <w:rPr>
          <w:rFonts w:ascii="Times New Roman" w:hAnsi="Times New Roman"/>
          <w:b/>
          <w:color w:val="1E3A8A"/>
          <w:sz w:val="21"/>
        </w:rPr>
        <w:t>5</w:t>
      </w:r>
    </w:p>
    <w:p>
      <w:pPr>
        <w:tabs>
          <w:tab w:pos="9360" w:val="right" w:leader="dot"/>
        </w:tabs>
        <w:spacing w:line="276" w:lineRule="auto" w:before="20" w:after="20"/>
        <w:ind w:left="288"/>
      </w:pPr>
      <w:r>
        <w:rPr>
          <w:rFonts w:ascii="Times New Roman" w:hAnsi="Times New Roman"/>
          <w:b/>
          <w:color w:val="1F2937"/>
          <w:sz w:val="21"/>
        </w:rPr>
        <w:t>1.1. Bối cảnh</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8</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11</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13</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14</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18</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20</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20</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22</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27</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29</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36</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39</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51</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65</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67</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68</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69</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72</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GIỚI THIỆU BÀI TOÁN</w:t>
      </w:r>
    </w:p>
    <w:p>
      <w:pPr>
        <w:pStyle w:val="Heading2"/>
        <w:keepNext/>
        <w:spacing w:before="240" w:after="80"/>
      </w:pPr>
      <w:r>
        <w:rPr>
          <w:rFonts w:ascii="Times New Roman" w:hAnsi="Times New Roman"/>
          <w:b/>
          <w:color w:val="1E3A8A"/>
          <w:sz w:val="28"/>
        </w:rPr>
        <w:t>1.1. Bối cảnh</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thông qua Lifespan Context Manager, giúp loại bỏ độ trễ nạp đĩa (Disk I/O Latency) và bảo đảm thời gian phản hồi mỗi request dưới 10 mili-giây.</w:t>
      </w: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rPr>
        <w:t xml:space="preserve">Giao diện Web/App Mobile qua LAN có thể truy cập nội bộ tại địa chỉ: http://172.18.2.105:8000/ </w:t>
        <w:br/>
        <w:t>Mã nguồn toàn bộ dự án đã được lưu trữ và triển khai trên GitHub tại địa chỉ: https://github.com/jellalaz/Assignment_02_PTHTTM</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