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F3" w:rsidRPr="005715CA" w:rsidRDefault="00517044" w:rsidP="00E4455B">
      <w:pPr>
        <w:pStyle w:val="SPortadillaTitulo"/>
        <w:jc w:val="center"/>
        <w:rPr>
          <w:lang w:val="es-ES"/>
        </w:rPr>
      </w:pPr>
      <w:r w:rsidRPr="005715CA">
        <w:rPr>
          <w:lang w:val="es-ES"/>
        </w:rPr>
        <w:t>Cambio climático, crecimiento y pobreza.</w:t>
      </w:r>
    </w:p>
    <w:p w:rsidR="00517044" w:rsidRPr="005720EE" w:rsidRDefault="00517044">
      <w:pPr>
        <w:rPr>
          <w:lang w:val="es-ES"/>
        </w:rPr>
      </w:pPr>
    </w:p>
    <w:p w:rsidR="00237BD1" w:rsidRPr="005720EE" w:rsidRDefault="00237BD1" w:rsidP="00517044">
      <w:pPr>
        <w:pStyle w:val="ListParagraph"/>
        <w:numPr>
          <w:ilvl w:val="0"/>
          <w:numId w:val="1"/>
        </w:numPr>
        <w:rPr>
          <w:lang w:val="es-ES"/>
        </w:rPr>
      </w:pPr>
      <w:r w:rsidRPr="005720EE">
        <w:rPr>
          <w:lang w:val="es-ES"/>
        </w:rPr>
        <w:t>Cambio climático e impactos en el crecimiento</w:t>
      </w:r>
    </w:p>
    <w:p w:rsidR="00237BD1" w:rsidRPr="005720EE" w:rsidRDefault="00237BD1" w:rsidP="00237BD1">
      <w:pPr>
        <w:pStyle w:val="ListParagraph"/>
        <w:numPr>
          <w:ilvl w:val="1"/>
          <w:numId w:val="1"/>
        </w:numPr>
        <w:rPr>
          <w:lang w:val="es-ES"/>
        </w:rPr>
      </w:pPr>
      <w:r w:rsidRPr="005720EE">
        <w:rPr>
          <w:lang w:val="es-ES"/>
        </w:rPr>
        <w:t>Revisión de la literatura (ver BID, CEPAL, WWF, 2013)</w:t>
      </w:r>
    </w:p>
    <w:p w:rsidR="00517044" w:rsidRPr="005720EE" w:rsidRDefault="00237BD1" w:rsidP="00517044">
      <w:pPr>
        <w:pStyle w:val="ListParagraph"/>
        <w:numPr>
          <w:ilvl w:val="0"/>
          <w:numId w:val="1"/>
        </w:numPr>
        <w:rPr>
          <w:lang w:val="es-ES"/>
        </w:rPr>
      </w:pPr>
      <w:r w:rsidRPr="005720EE">
        <w:rPr>
          <w:lang w:val="es-ES"/>
        </w:rPr>
        <w:t>Crecimiento y pobreza.</w:t>
      </w:r>
    </w:p>
    <w:p w:rsidR="00237BD1" w:rsidRPr="005720EE" w:rsidRDefault="00237BD1" w:rsidP="00237BD1">
      <w:pPr>
        <w:pStyle w:val="ListParagraph"/>
        <w:numPr>
          <w:ilvl w:val="1"/>
          <w:numId w:val="1"/>
        </w:numPr>
        <w:rPr>
          <w:lang w:val="es-ES"/>
        </w:rPr>
      </w:pPr>
      <w:r w:rsidRPr="005720EE">
        <w:rPr>
          <w:lang w:val="es-ES"/>
        </w:rPr>
        <w:t>Marco teórico</w:t>
      </w:r>
    </w:p>
    <w:p w:rsidR="00237BD1" w:rsidRPr="005720EE" w:rsidRDefault="00237BD1" w:rsidP="00237BD1">
      <w:pPr>
        <w:pStyle w:val="ListParagraph"/>
        <w:numPr>
          <w:ilvl w:val="1"/>
          <w:numId w:val="1"/>
        </w:numPr>
        <w:rPr>
          <w:lang w:val="es-ES"/>
        </w:rPr>
      </w:pPr>
      <w:r w:rsidRPr="005720EE">
        <w:rPr>
          <w:lang w:val="es-ES"/>
        </w:rPr>
        <w:t>Revisión breve de la literatura</w:t>
      </w:r>
    </w:p>
    <w:p w:rsidR="00517044" w:rsidRPr="005720EE" w:rsidRDefault="00237BD1" w:rsidP="00517044">
      <w:pPr>
        <w:pStyle w:val="ListParagraph"/>
        <w:numPr>
          <w:ilvl w:val="0"/>
          <w:numId w:val="1"/>
        </w:numPr>
        <w:rPr>
          <w:lang w:val="es-ES"/>
        </w:rPr>
      </w:pPr>
      <w:r w:rsidRPr="005720EE">
        <w:rPr>
          <w:lang w:val="es-ES"/>
        </w:rPr>
        <w:t>Crecimiento y pobreza. Datos en América Latina y el Caribe</w:t>
      </w:r>
    </w:p>
    <w:p w:rsidR="00237BD1" w:rsidRPr="005720EE" w:rsidRDefault="00237BD1" w:rsidP="00237BD1">
      <w:pPr>
        <w:pStyle w:val="ListParagraph"/>
        <w:numPr>
          <w:ilvl w:val="1"/>
          <w:numId w:val="1"/>
        </w:numPr>
        <w:rPr>
          <w:lang w:val="es-ES"/>
        </w:rPr>
      </w:pPr>
      <w:r w:rsidRPr="005720EE">
        <w:rPr>
          <w:lang w:val="es-ES"/>
        </w:rPr>
        <w:t>Población, crecimiento y datos de pobreza</w:t>
      </w:r>
    </w:p>
    <w:p w:rsidR="00237BD1" w:rsidRPr="005720EE" w:rsidRDefault="00237BD1" w:rsidP="00237BD1">
      <w:pPr>
        <w:pStyle w:val="ListParagraph"/>
        <w:numPr>
          <w:ilvl w:val="1"/>
          <w:numId w:val="1"/>
        </w:numPr>
        <w:rPr>
          <w:lang w:val="es-ES"/>
        </w:rPr>
      </w:pPr>
      <w:r w:rsidRPr="005720EE">
        <w:rPr>
          <w:lang w:val="es-ES"/>
        </w:rPr>
        <w:t>¿Vulnerabilidad?</w:t>
      </w:r>
    </w:p>
    <w:p w:rsidR="00237BD1" w:rsidRPr="005720EE" w:rsidRDefault="00237BD1" w:rsidP="00517044">
      <w:pPr>
        <w:pStyle w:val="ListParagraph"/>
        <w:numPr>
          <w:ilvl w:val="0"/>
          <w:numId w:val="1"/>
        </w:numPr>
        <w:rPr>
          <w:lang w:val="es-ES"/>
        </w:rPr>
      </w:pPr>
      <w:r w:rsidRPr="005720EE">
        <w:rPr>
          <w:lang w:val="es-ES"/>
        </w:rPr>
        <w:t>Metodología econométrica</w:t>
      </w:r>
    </w:p>
    <w:p w:rsidR="00237BD1" w:rsidRPr="005720EE" w:rsidRDefault="00237BD1" w:rsidP="00237BD1">
      <w:pPr>
        <w:pStyle w:val="ListParagraph"/>
        <w:numPr>
          <w:ilvl w:val="1"/>
          <w:numId w:val="1"/>
        </w:numPr>
        <w:rPr>
          <w:lang w:val="es-ES"/>
        </w:rPr>
      </w:pPr>
      <w:r w:rsidRPr="005720EE">
        <w:rPr>
          <w:lang w:val="es-ES"/>
        </w:rPr>
        <w:t>Descripción de la base de datos</w:t>
      </w:r>
    </w:p>
    <w:p w:rsidR="00237BD1" w:rsidRPr="005720EE" w:rsidRDefault="00237BD1" w:rsidP="00237BD1">
      <w:pPr>
        <w:pStyle w:val="ListParagraph"/>
        <w:numPr>
          <w:ilvl w:val="1"/>
          <w:numId w:val="1"/>
        </w:numPr>
        <w:rPr>
          <w:lang w:val="es-ES"/>
        </w:rPr>
      </w:pPr>
      <w:r w:rsidRPr="005720EE">
        <w:rPr>
          <w:lang w:val="es-ES"/>
        </w:rPr>
        <w:t>Nota precautoria sobre la</w:t>
      </w:r>
      <w:r w:rsidR="00393B88">
        <w:rPr>
          <w:lang w:val="es-ES"/>
        </w:rPr>
        <w:t xml:space="preserve"> metodología de las</w:t>
      </w:r>
      <w:r w:rsidRPr="005720EE">
        <w:rPr>
          <w:lang w:val="es-ES"/>
        </w:rPr>
        <w:t xml:space="preserve"> estimaciones</w:t>
      </w:r>
    </w:p>
    <w:p w:rsidR="00237BD1" w:rsidRPr="005720EE" w:rsidRDefault="00237BD1" w:rsidP="00517044">
      <w:pPr>
        <w:pStyle w:val="ListParagraph"/>
        <w:numPr>
          <w:ilvl w:val="0"/>
          <w:numId w:val="1"/>
        </w:numPr>
        <w:rPr>
          <w:lang w:val="es-ES"/>
        </w:rPr>
      </w:pPr>
      <w:r w:rsidRPr="005720EE">
        <w:rPr>
          <w:lang w:val="es-ES"/>
        </w:rPr>
        <w:t>Estimaciones y principales resultados</w:t>
      </w:r>
    </w:p>
    <w:p w:rsidR="00393B88" w:rsidRPr="00393B88" w:rsidRDefault="00237BD1" w:rsidP="00393B88">
      <w:pPr>
        <w:pStyle w:val="ListParagraph"/>
        <w:numPr>
          <w:ilvl w:val="0"/>
          <w:numId w:val="1"/>
        </w:numPr>
        <w:rPr>
          <w:lang w:val="es-ES"/>
        </w:rPr>
      </w:pPr>
      <w:r w:rsidRPr="005720EE">
        <w:rPr>
          <w:lang w:val="es-ES"/>
        </w:rPr>
        <w:t>Simulaciones e impactos del cambio climático sobre la pobreza</w:t>
      </w:r>
      <w:r w:rsidR="00393B88">
        <w:rPr>
          <w:lang w:val="es-ES"/>
        </w:rPr>
        <w:t>.</w:t>
      </w:r>
    </w:p>
    <w:p w:rsidR="00F74D5A" w:rsidRDefault="00C56AA2" w:rsidP="00C56AA2">
      <w:pPr>
        <w:pStyle w:val="ListParagraph"/>
        <w:numPr>
          <w:ilvl w:val="0"/>
          <w:numId w:val="1"/>
        </w:numPr>
        <w:rPr>
          <w:lang w:val="es-ES"/>
        </w:rPr>
      </w:pPr>
      <w:r>
        <w:rPr>
          <w:lang w:val="es-ES"/>
        </w:rPr>
        <w:t>Conclusiones</w:t>
      </w:r>
    </w:p>
    <w:p w:rsidR="00F74D5A" w:rsidRPr="00F74D5A" w:rsidRDefault="00F74D5A" w:rsidP="00F74D5A">
      <w:pPr>
        <w:rPr>
          <w:lang w:val="en-US"/>
        </w:rPr>
      </w:pPr>
    </w:p>
    <w:p w:rsidR="00F74D5A" w:rsidRDefault="002C32F8">
      <w:pPr>
        <w:jc w:val="left"/>
        <w:rPr>
          <w:noProof/>
          <w:lang w:val="en-US"/>
        </w:rPr>
        <w:sectPr w:rsidR="00F74D5A" w:rsidSect="00F74D5A">
          <w:type w:val="continuous"/>
          <w:pgSz w:w="12240" w:h="15840"/>
          <w:pgMar w:top="1440" w:right="1440" w:bottom="1440" w:left="1440" w:header="720" w:footer="720" w:gutter="0"/>
          <w:cols w:space="720"/>
          <w:docGrid w:linePitch="360"/>
        </w:sectPr>
      </w:pPr>
      <w:r>
        <w:rPr>
          <w:lang w:val="en-US"/>
        </w:rPr>
        <w:fldChar w:fldCharType="begin"/>
      </w:r>
      <w:r w:rsidR="00F74D5A">
        <w:rPr>
          <w:lang w:val="en-US"/>
        </w:rPr>
        <w:instrText xml:space="preserve"> INDEX \e "</w:instrText>
      </w:r>
      <w:r w:rsidR="00F74D5A">
        <w:rPr>
          <w:lang w:val="en-US"/>
        </w:rPr>
        <w:tab/>
        <w:instrText xml:space="preserve">" \c "2" \z "1033" </w:instrText>
      </w:r>
      <w:r>
        <w:rPr>
          <w:lang w:val="en-US"/>
        </w:rPr>
        <w:fldChar w:fldCharType="separate"/>
      </w:r>
    </w:p>
    <w:p w:rsidR="00F74D5A" w:rsidRDefault="00F74D5A">
      <w:pPr>
        <w:jc w:val="left"/>
        <w:rPr>
          <w:noProof/>
          <w:lang w:val="en-US"/>
        </w:rPr>
        <w:sectPr w:rsidR="00F74D5A" w:rsidSect="00F74D5A">
          <w:type w:val="continuous"/>
          <w:pgSz w:w="12240" w:h="15840"/>
          <w:pgMar w:top="1440" w:right="1440" w:bottom="1440" w:left="1440" w:header="720" w:footer="720" w:gutter="0"/>
          <w:cols w:num="2" w:space="720"/>
          <w:docGrid w:linePitch="360"/>
        </w:sectPr>
      </w:pPr>
    </w:p>
    <w:p w:rsidR="00F74D5A" w:rsidRPr="00F74D5A" w:rsidRDefault="002C32F8">
      <w:pPr>
        <w:jc w:val="left"/>
        <w:rPr>
          <w:lang w:val="en-US"/>
        </w:rPr>
      </w:pPr>
      <w:r>
        <w:rPr>
          <w:lang w:val="en-US"/>
        </w:rPr>
        <w:lastRenderedPageBreak/>
        <w:fldChar w:fldCharType="end"/>
      </w:r>
      <w:r w:rsidR="00F74D5A" w:rsidRPr="00F74D5A">
        <w:rPr>
          <w:lang w:val="en-US"/>
        </w:rPr>
        <w:br w:type="page"/>
      </w:r>
    </w:p>
    <w:p w:rsidR="00C56AA2" w:rsidRPr="00F74D5A" w:rsidRDefault="00C56AA2" w:rsidP="00C56AA2">
      <w:pPr>
        <w:pStyle w:val="ListParagraph"/>
        <w:numPr>
          <w:ilvl w:val="0"/>
          <w:numId w:val="1"/>
        </w:numPr>
        <w:rPr>
          <w:lang w:val="en-US"/>
        </w:rPr>
        <w:sectPr w:rsidR="00C56AA2" w:rsidRPr="00F74D5A" w:rsidSect="00F74D5A">
          <w:type w:val="continuous"/>
          <w:pgSz w:w="12240" w:h="15840"/>
          <w:pgMar w:top="1440" w:right="1440" w:bottom="1440" w:left="1440" w:header="720" w:footer="720" w:gutter="0"/>
          <w:cols w:space="720"/>
          <w:docGrid w:linePitch="360"/>
        </w:sectPr>
      </w:pPr>
    </w:p>
    <w:p w:rsidR="000512B9" w:rsidRPr="00733715" w:rsidRDefault="000512B9" w:rsidP="000512B9">
      <w:pPr>
        <w:pStyle w:val="STituloJerarquia1"/>
        <w:rPr>
          <w:lang w:val="pt-BR"/>
        </w:rPr>
      </w:pPr>
      <w:bookmarkStart w:id="0" w:name="_Toc289249988"/>
      <w:r w:rsidRPr="00733715">
        <w:rPr>
          <w:lang w:val="pt-BR"/>
        </w:rPr>
        <w:lastRenderedPageBreak/>
        <w:t>I.</w:t>
      </w:r>
      <w:r w:rsidRPr="00733715">
        <w:rPr>
          <w:lang w:val="pt-BR"/>
        </w:rPr>
        <w:tab/>
      </w:r>
      <w:bookmarkEnd w:id="0"/>
      <w:r>
        <w:rPr>
          <w:lang w:val="pt-BR"/>
        </w:rPr>
        <w:t>Introducción</w:t>
      </w:r>
    </w:p>
    <w:p w:rsidR="00737708" w:rsidRDefault="00737708" w:rsidP="006433A1">
      <w:pPr>
        <w:rPr>
          <w:lang w:val="es-ES"/>
        </w:rPr>
      </w:pPr>
      <w:r>
        <w:rPr>
          <w:lang w:val="es-ES"/>
        </w:rPr>
        <w:t>Los niveles de pobreza e indigencia en América Latina y el Caribe</w:t>
      </w:r>
      <w:r w:rsidR="008A7348">
        <w:rPr>
          <w:lang w:val="es-ES"/>
        </w:rPr>
        <w:t xml:space="preserve"> (ALC)</w:t>
      </w:r>
      <w:r>
        <w:rPr>
          <w:lang w:val="es-ES"/>
        </w:rPr>
        <w:t xml:space="preserve"> han mostrado una reducción en los últimos años, sin embargo, a pesar de los esfuerzos realizados para erradicar la pobreza, su in</w:t>
      </w:r>
      <w:r w:rsidR="00F84172">
        <w:rPr>
          <w:lang w:val="es-ES"/>
        </w:rPr>
        <w:t>cidencia es aún significativa y</w:t>
      </w:r>
      <w:r>
        <w:rPr>
          <w:lang w:val="es-ES"/>
        </w:rPr>
        <w:t xml:space="preserve"> es claro que los esfuerzos necesarios para mejorar los niveles de bienestar de la población son aún considerables. </w:t>
      </w:r>
    </w:p>
    <w:p w:rsidR="008A7348" w:rsidRDefault="008A7348" w:rsidP="008A7348">
      <w:pPr>
        <w:ind w:firstLine="567"/>
        <w:rPr>
          <w:lang w:val="es-ES"/>
        </w:rPr>
      </w:pPr>
    </w:p>
    <w:p w:rsidR="00C56AA2" w:rsidRDefault="00737708" w:rsidP="008A7348">
      <w:pPr>
        <w:ind w:firstLine="567"/>
        <w:rPr>
          <w:lang w:val="es-ES"/>
        </w:rPr>
      </w:pPr>
      <w:r>
        <w:rPr>
          <w:lang w:val="es-ES"/>
        </w:rPr>
        <w:t xml:space="preserve">Actualmente, el combate al </w:t>
      </w:r>
      <w:r w:rsidR="00C56AA2">
        <w:rPr>
          <w:lang w:val="es-ES"/>
        </w:rPr>
        <w:t>cambio climático</w:t>
      </w:r>
      <w:r w:rsidR="00A40C31">
        <w:rPr>
          <w:lang w:val="es-ES"/>
        </w:rPr>
        <w:t xml:space="preserve"> representa un factor </w:t>
      </w:r>
      <w:r w:rsidR="008A7348">
        <w:rPr>
          <w:lang w:val="es-ES"/>
        </w:rPr>
        <w:t>adicional</w:t>
      </w:r>
      <w:r w:rsidR="00A40C31">
        <w:rPr>
          <w:lang w:val="es-ES"/>
        </w:rPr>
        <w:t xml:space="preserve"> a considerar para los países en desarrollo</w:t>
      </w:r>
      <w:r w:rsidR="008A7348">
        <w:rPr>
          <w:lang w:val="es-ES"/>
        </w:rPr>
        <w:t xml:space="preserve"> en general y para ALC en particular ya que e</w:t>
      </w:r>
      <w:r w:rsidR="006E5184">
        <w:rPr>
          <w:lang w:val="es-ES"/>
        </w:rPr>
        <w:t xml:space="preserve">l esfuerzo conjunto de adaptarse a las nuevas condiciones climáticas </w:t>
      </w:r>
      <w:r w:rsidR="005715CA">
        <w:rPr>
          <w:lang w:val="es-ES"/>
        </w:rPr>
        <w:t>mientras</w:t>
      </w:r>
      <w:r w:rsidR="006E5184">
        <w:rPr>
          <w:lang w:val="es-ES"/>
        </w:rPr>
        <w:t xml:space="preserve"> se emprenden tareas de mitigación de las emisiones de gases de efecto invernadero (GEI) condicionarán la senda de desarrollo de los países</w:t>
      </w:r>
      <w:r w:rsidR="008A7348">
        <w:rPr>
          <w:lang w:val="es-ES"/>
        </w:rPr>
        <w:t>, significando una presión adicional sobre los recursos, ya de por sí, escasos</w:t>
      </w:r>
      <w:r w:rsidR="006E5184">
        <w:rPr>
          <w:lang w:val="es-ES"/>
        </w:rPr>
        <w:t xml:space="preserve">. Asimismo, los impactos </w:t>
      </w:r>
      <w:r w:rsidR="005715CA">
        <w:rPr>
          <w:lang w:val="es-ES"/>
        </w:rPr>
        <w:t>esperados tendrán, con algún nivel de certidumbre, efectos negativos sobre el bienestar humano.</w:t>
      </w:r>
      <w:r w:rsidR="0026178A">
        <w:rPr>
          <w:lang w:val="es-ES"/>
        </w:rPr>
        <w:t xml:space="preserve"> </w:t>
      </w:r>
    </w:p>
    <w:p w:rsidR="0026178A" w:rsidRDefault="0026178A" w:rsidP="008A7348">
      <w:pPr>
        <w:ind w:firstLine="567"/>
        <w:rPr>
          <w:lang w:val="es-ES"/>
        </w:rPr>
      </w:pPr>
    </w:p>
    <w:p w:rsidR="0026178A" w:rsidRDefault="0026178A" w:rsidP="008A7348">
      <w:pPr>
        <w:ind w:firstLine="567"/>
        <w:rPr>
          <w:lang w:val="es-ES"/>
        </w:rPr>
      </w:pPr>
      <w:r>
        <w:rPr>
          <w:lang w:val="es-ES"/>
        </w:rPr>
        <w:t xml:space="preserve">Por tanto el cambio climático constituye un riesgo importante para la reducción de la </w:t>
      </w:r>
      <w:proofErr w:type="gramStart"/>
      <w:r>
        <w:rPr>
          <w:lang w:val="es-ES"/>
        </w:rPr>
        <w:t>pobreza</w:t>
      </w:r>
      <w:r w:rsidR="0055767D">
        <w:rPr>
          <w:lang w:val="es-ES"/>
        </w:rPr>
        <w:t xml:space="preserve"> .</w:t>
      </w:r>
      <w:proofErr w:type="gramEnd"/>
    </w:p>
    <w:p w:rsidR="005715CA" w:rsidRDefault="005715CA" w:rsidP="00656BF5">
      <w:pPr>
        <w:rPr>
          <w:lang w:val="es-ES"/>
        </w:rPr>
      </w:pPr>
    </w:p>
    <w:p w:rsidR="0045379A" w:rsidRDefault="00F83CD1" w:rsidP="005715CA">
      <w:pPr>
        <w:ind w:firstLine="567"/>
        <w:rPr>
          <w:lang w:val="es-ES"/>
        </w:rPr>
      </w:pPr>
      <w:r>
        <w:rPr>
          <w:lang w:val="es-ES"/>
        </w:rPr>
        <w:t>La evidencia científica sobre l</w:t>
      </w:r>
      <w:r w:rsidR="006433A1">
        <w:rPr>
          <w:lang w:val="es-ES"/>
        </w:rPr>
        <w:t xml:space="preserve">a incidencia de las actividades humanas </w:t>
      </w:r>
      <w:r>
        <w:rPr>
          <w:lang w:val="es-ES"/>
        </w:rPr>
        <w:t>en</w:t>
      </w:r>
      <w:r w:rsidR="006433A1">
        <w:rPr>
          <w:lang w:val="es-ES"/>
        </w:rPr>
        <w:t xml:space="preserve"> el clima es un hecho</w:t>
      </w:r>
      <w:r>
        <w:rPr>
          <w:lang w:val="es-ES"/>
        </w:rPr>
        <w:t xml:space="preserve"> </w:t>
      </w:r>
      <w:r w:rsidR="002C32F8">
        <w:rPr>
          <w:lang w:val="es-ES"/>
        </w:rPr>
        <w:fldChar w:fldCharType="begin"/>
      </w:r>
      <w:r>
        <w:rPr>
          <w:lang w:val="es-ES"/>
        </w:rPr>
        <w:instrText xml:space="preserve"> ADDIN ZOTERO_ITEM CSL_CITATION {"citationID":"5HJoQlP3","properties":{"formattedCitation":"(IPCC,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Pr="00F83CD1">
        <w:t>(IPCC, 2013)</w:t>
      </w:r>
      <w:r w:rsidR="002C32F8">
        <w:rPr>
          <w:lang w:val="es-ES"/>
        </w:rPr>
        <w:fldChar w:fldCharType="end"/>
      </w:r>
      <w:r w:rsidR="006433A1">
        <w:rPr>
          <w:lang w:val="es-ES"/>
        </w:rPr>
        <w:t xml:space="preserve">. </w:t>
      </w:r>
      <w:r w:rsidR="00656BF5">
        <w:rPr>
          <w:lang w:val="es-ES"/>
        </w:rPr>
        <w:t>Los impactos del cambio clim</w:t>
      </w:r>
      <w:r w:rsidR="006433A1">
        <w:rPr>
          <w:lang w:val="es-ES"/>
        </w:rPr>
        <w:t>ático sobre el bienestar humano.</w:t>
      </w:r>
    </w:p>
    <w:p w:rsidR="0045379A" w:rsidRDefault="0045379A" w:rsidP="00656BF5">
      <w:pPr>
        <w:rPr>
          <w:lang w:val="es-ES"/>
        </w:rPr>
      </w:pPr>
    </w:p>
    <w:p w:rsidR="00F84172" w:rsidRDefault="00F84172" w:rsidP="00656BF5">
      <w:pPr>
        <w:rPr>
          <w:lang w:val="es-ES"/>
        </w:rPr>
      </w:pPr>
    </w:p>
    <w:p w:rsidR="00F84172" w:rsidRDefault="00F84172" w:rsidP="00656BF5">
      <w:pPr>
        <w:rPr>
          <w:lang w:val="es-ES"/>
        </w:rPr>
      </w:pPr>
      <w:r>
        <w:rPr>
          <w:lang w:val="es-ES"/>
        </w:rPr>
        <w:tab/>
        <w:t>Es claro que el crecimiento económico solamente es uno de los factores que inciden en la reducción de los niveles de pobreza. Las políticas de redistribución del ingreso, juegan un papel fundamental. Sin embargo, al enfocarnos en el crecimiento económico, es posible aislar los impactos del cambio climático sobre la pobreza ****.</w:t>
      </w:r>
    </w:p>
    <w:p w:rsidR="00F84172" w:rsidRDefault="00F84172" w:rsidP="00656BF5">
      <w:pPr>
        <w:rPr>
          <w:lang w:val="es-ES"/>
        </w:rPr>
      </w:pPr>
    </w:p>
    <w:p w:rsidR="0055767D" w:rsidRDefault="0055767D" w:rsidP="00656BF5">
      <w:pPr>
        <w:rPr>
          <w:lang w:val="es-ES"/>
        </w:rPr>
      </w:pPr>
      <w:r>
        <w:rPr>
          <w:lang w:val="es-ES"/>
        </w:rPr>
        <w:t xml:space="preserve">Este documento se enfoca en los impactos del cambio climático sobre distintos indicadores de pobreza considerando como mecanismo de transmisión el freno potencial que significa el cambio climático para el crecimiento económico. </w:t>
      </w:r>
    </w:p>
    <w:p w:rsidR="00F84172" w:rsidRDefault="00F84172" w:rsidP="00656BF5">
      <w:pPr>
        <w:rPr>
          <w:lang w:val="es-ES"/>
        </w:rPr>
      </w:pPr>
    </w:p>
    <w:p w:rsidR="00F84172" w:rsidRDefault="00F84172" w:rsidP="00656BF5">
      <w:pPr>
        <w:rPr>
          <w:lang w:val="es-ES"/>
        </w:rPr>
        <w:sectPr w:rsidR="00F84172" w:rsidSect="0045379A">
          <w:pgSz w:w="12240" w:h="15840"/>
          <w:pgMar w:top="1440" w:right="1440" w:bottom="1440" w:left="1440" w:header="720" w:footer="720" w:gutter="0"/>
          <w:cols w:space="720"/>
          <w:docGrid w:linePitch="360"/>
        </w:sectPr>
      </w:pPr>
    </w:p>
    <w:p w:rsidR="00652C8E" w:rsidRDefault="0045379A" w:rsidP="0045379A">
      <w:pPr>
        <w:pStyle w:val="STituloJerarquia1"/>
        <w:rPr>
          <w:lang w:val="es-ES"/>
        </w:rPr>
      </w:pPr>
      <w:r>
        <w:rPr>
          <w:lang w:val="es-ES"/>
        </w:rPr>
        <w:lastRenderedPageBreak/>
        <w:t>II.</w:t>
      </w:r>
      <w:r>
        <w:rPr>
          <w:lang w:val="es-ES"/>
        </w:rPr>
        <w:tab/>
      </w:r>
      <w:r w:rsidR="00652C8E">
        <w:rPr>
          <w:lang w:val="es-ES"/>
        </w:rPr>
        <w:t>Cambio climático e impactos en el crecimiento</w:t>
      </w:r>
    </w:p>
    <w:p w:rsidR="006F7419" w:rsidRDefault="00764BD8" w:rsidP="006F7419">
      <w:pPr>
        <w:pStyle w:val="STituloJerarquia2SINnumeral"/>
        <w:numPr>
          <w:ilvl w:val="0"/>
          <w:numId w:val="9"/>
        </w:numPr>
      </w:pPr>
      <w:r>
        <w:t>Evidencia sobre los c</w:t>
      </w:r>
      <w:r w:rsidR="00C31326">
        <w:t xml:space="preserve">ambios </w:t>
      </w:r>
      <w:r>
        <w:t xml:space="preserve">observados </w:t>
      </w:r>
      <w:r w:rsidR="00C31326">
        <w:t>en el sistema climático</w:t>
      </w:r>
      <w:r w:rsidR="00B81D98">
        <w:rPr>
          <w:rStyle w:val="FootnoteReference"/>
        </w:rPr>
        <w:footnoteReference w:id="1"/>
      </w:r>
    </w:p>
    <w:p w:rsidR="006F7419" w:rsidRPr="006F7419" w:rsidRDefault="006F7419" w:rsidP="00652C8E">
      <w:pPr>
        <w:rPr>
          <w:lang w:val="pt-BR"/>
        </w:rPr>
      </w:pPr>
    </w:p>
    <w:p w:rsidR="006F7419" w:rsidRDefault="006F7419" w:rsidP="00652C8E">
      <w:pPr>
        <w:rPr>
          <w:lang w:val="es-ES"/>
        </w:rPr>
      </w:pPr>
    </w:p>
    <w:p w:rsidR="004450BC" w:rsidRDefault="007B53C4" w:rsidP="00652C8E">
      <w:pPr>
        <w:rPr>
          <w:lang w:val="es-ES"/>
        </w:rPr>
      </w:pPr>
      <w:r>
        <w:rPr>
          <w:lang w:val="es-ES"/>
        </w:rPr>
        <w:t>El calentamiento del sistema climático es inequívoco, l</w:t>
      </w:r>
      <w:r w:rsidR="000A24F6">
        <w:rPr>
          <w:lang w:val="es-ES"/>
        </w:rPr>
        <w:t xml:space="preserve">a evidencia </w:t>
      </w:r>
      <w:r>
        <w:rPr>
          <w:lang w:val="es-ES"/>
        </w:rPr>
        <w:t xml:space="preserve">recopilada a través de mediciones directas y en la teledetección desde satélites y otras plataformas muestra aumentos </w:t>
      </w:r>
      <w:r w:rsidR="0057292F">
        <w:rPr>
          <w:lang w:val="es-ES"/>
        </w:rPr>
        <w:t>en la temperatura atmosférica y oceánica</w:t>
      </w:r>
      <w:r w:rsidR="009C67A6">
        <w:rPr>
          <w:lang w:val="es-ES"/>
        </w:rPr>
        <w:t>, el</w:t>
      </w:r>
      <w:r>
        <w:rPr>
          <w:lang w:val="es-ES"/>
        </w:rPr>
        <w:t xml:space="preserve"> decrecimiento de los volúmenes de hielo y nieve</w:t>
      </w:r>
      <w:r w:rsidR="009C67A6">
        <w:rPr>
          <w:lang w:val="es-ES"/>
        </w:rPr>
        <w:t>, el aumento del nivel del mar y un aumento en las concentraciones de gases de efecto invernadero (GEI)</w:t>
      </w:r>
      <w:r>
        <w:rPr>
          <w:lang w:val="es-ES"/>
        </w:rPr>
        <w:t xml:space="preserve">. Asimismo, la evidencia </w:t>
      </w:r>
      <w:r w:rsidR="004450BC">
        <w:rPr>
          <w:lang w:val="es-ES"/>
        </w:rPr>
        <w:t xml:space="preserve">señala, con un alto nivel de probabilidad, a la influencia humana como la causa dominante del calentamiento observado </w:t>
      </w:r>
      <w:r w:rsidR="002C32F8">
        <w:rPr>
          <w:lang w:val="es-ES"/>
        </w:rPr>
        <w:fldChar w:fldCharType="begin"/>
      </w:r>
      <w:r w:rsidR="004450BC">
        <w:rPr>
          <w:lang w:val="es-ES"/>
        </w:rPr>
        <w:instrText xml:space="preserve"> ADDIN ZOTERO_ITEM CSL_CITATION {"citationID":"zZrNZDzC","properties":{"formattedCitation":"(IPCC,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4450BC" w:rsidRPr="004450BC">
        <w:t>(IPCC, 2013)</w:t>
      </w:r>
      <w:r w:rsidR="002C32F8">
        <w:rPr>
          <w:lang w:val="es-ES"/>
        </w:rPr>
        <w:fldChar w:fldCharType="end"/>
      </w:r>
      <w:r w:rsidR="00270C73">
        <w:rPr>
          <w:rStyle w:val="FootnoteReference"/>
          <w:lang w:val="es-ES"/>
        </w:rPr>
        <w:footnoteReference w:id="2"/>
      </w:r>
      <w:r>
        <w:rPr>
          <w:lang w:val="es-ES"/>
        </w:rPr>
        <w:t xml:space="preserve">.  </w:t>
      </w:r>
      <w:r w:rsidR="00764BD8" w:rsidRPr="00764BD8">
        <w:rPr>
          <w:highlight w:val="yellow"/>
          <w:lang w:val="es-ES"/>
        </w:rPr>
        <w:t xml:space="preserve">En este apartado se presenta la evidencia, no </w:t>
      </w:r>
      <w:r w:rsidR="002265EB" w:rsidRPr="00764BD8">
        <w:rPr>
          <w:highlight w:val="yellow"/>
          <w:lang w:val="es-ES"/>
        </w:rPr>
        <w:t>exhaustiva</w:t>
      </w:r>
      <w:r w:rsidR="00764BD8" w:rsidRPr="00764BD8">
        <w:rPr>
          <w:highlight w:val="yellow"/>
          <w:lang w:val="es-ES"/>
        </w:rPr>
        <w:t>, de los cambios observados en el sistema climático.</w:t>
      </w:r>
    </w:p>
    <w:p w:rsidR="009C67A6" w:rsidRDefault="009C67A6" w:rsidP="00652C8E">
      <w:pPr>
        <w:rPr>
          <w:lang w:val="es-ES"/>
        </w:rPr>
      </w:pPr>
    </w:p>
    <w:p w:rsidR="007C1497" w:rsidRDefault="0045631E" w:rsidP="00CC4811">
      <w:pPr>
        <w:ind w:firstLine="720"/>
        <w:rPr>
          <w:lang w:val="es-ES"/>
        </w:rPr>
      </w:pPr>
      <w:r>
        <w:rPr>
          <w:lang w:val="es-ES"/>
        </w:rPr>
        <w:t>E</w:t>
      </w:r>
      <w:r w:rsidR="00B81D98">
        <w:rPr>
          <w:lang w:val="es-ES"/>
        </w:rPr>
        <w:t>n particular</w:t>
      </w:r>
      <w:r w:rsidR="00270C73">
        <w:rPr>
          <w:lang w:val="es-ES"/>
        </w:rPr>
        <w:t>,</w:t>
      </w:r>
      <w:r w:rsidR="00B81D98">
        <w:rPr>
          <w:lang w:val="es-ES"/>
        </w:rPr>
        <w:t xml:space="preserve"> se observa que</w:t>
      </w:r>
      <w:r w:rsidR="004450BC">
        <w:rPr>
          <w:lang w:val="es-ES"/>
        </w:rPr>
        <w:t xml:space="preserve"> los datos combinados de la temperatura terrestre y oceánica</w:t>
      </w:r>
      <w:r w:rsidR="00A47278">
        <w:rPr>
          <w:lang w:val="es-ES"/>
        </w:rPr>
        <w:t>, para el periodo 1880 – 2012,</w:t>
      </w:r>
      <w:r w:rsidR="004450BC">
        <w:rPr>
          <w:lang w:val="es-ES"/>
        </w:rPr>
        <w:t xml:space="preserve"> muestran un </w:t>
      </w:r>
      <w:r w:rsidR="00A47278">
        <w:rPr>
          <w:lang w:val="es-ES"/>
        </w:rPr>
        <w:t>aumento</w:t>
      </w:r>
      <w:r w:rsidR="004450BC">
        <w:rPr>
          <w:lang w:val="es-ES"/>
        </w:rPr>
        <w:t xml:space="preserve"> de 0.85</w:t>
      </w:r>
      <w:r w:rsidR="00A47278">
        <w:rPr>
          <w:lang w:val="es-ES"/>
        </w:rPr>
        <w:t>°C</w:t>
      </w:r>
      <w:r w:rsidR="004450BC">
        <w:rPr>
          <w:lang w:val="es-ES"/>
        </w:rPr>
        <w:t xml:space="preserve"> [</w:t>
      </w:r>
      <w:r w:rsidR="00A47278">
        <w:rPr>
          <w:lang w:val="es-ES"/>
        </w:rPr>
        <w:t>0.65°C a 1.06°C</w:t>
      </w:r>
      <w:r w:rsidR="004450BC">
        <w:rPr>
          <w:lang w:val="es-ES"/>
        </w:rPr>
        <w:t>]</w:t>
      </w:r>
      <w:r w:rsidR="00A47278">
        <w:rPr>
          <w:rStyle w:val="FootnoteReference"/>
          <w:lang w:val="es-ES"/>
        </w:rPr>
        <w:footnoteReference w:id="3"/>
      </w:r>
      <w:r w:rsidR="00A47278">
        <w:rPr>
          <w:lang w:val="es-ES"/>
        </w:rPr>
        <w:t>, mientras que la diferencia entre la temperatura</w:t>
      </w:r>
      <w:r w:rsidR="00CE5BBA">
        <w:rPr>
          <w:lang w:val="es-ES"/>
        </w:rPr>
        <w:t xml:space="preserve"> promedio</w:t>
      </w:r>
      <w:r w:rsidR="00A47278">
        <w:rPr>
          <w:lang w:val="es-ES"/>
        </w:rPr>
        <w:t xml:space="preserve"> del periodo 1850 – 1900 </w:t>
      </w:r>
      <w:r w:rsidR="00270C73">
        <w:rPr>
          <w:lang w:val="es-ES"/>
        </w:rPr>
        <w:t>con respecto a</w:t>
      </w:r>
      <w:r w:rsidR="00CE5BBA">
        <w:rPr>
          <w:lang w:val="es-ES"/>
        </w:rPr>
        <w:t xml:space="preserve"> la de</w:t>
      </w:r>
      <w:r w:rsidR="00270C73">
        <w:rPr>
          <w:lang w:val="es-ES"/>
        </w:rPr>
        <w:t>l periodo</w:t>
      </w:r>
      <w:r w:rsidR="00A47278">
        <w:rPr>
          <w:lang w:val="es-ES"/>
        </w:rPr>
        <w:t xml:space="preserve"> 2003 – 2012 es</w:t>
      </w:r>
      <w:r w:rsidR="00CE5BBA">
        <w:rPr>
          <w:lang w:val="es-ES"/>
        </w:rPr>
        <w:t xml:space="preserve"> 0.78°C [0.72°C a 0.85°C] </w:t>
      </w:r>
      <w:r w:rsidR="002C32F8">
        <w:rPr>
          <w:lang w:val="es-ES"/>
        </w:rPr>
        <w:fldChar w:fldCharType="begin"/>
      </w:r>
      <w:r w:rsidR="007414A1">
        <w:rPr>
          <w:lang w:val="es-ES"/>
        </w:rPr>
        <w:instrText xml:space="preserve"> ADDIN ZOTERO_ITEM CSL_CITATION {"citationID":"scbmbIEm","properties":{"formattedCitation":"(IPCC,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CE5BBA" w:rsidRPr="004450BC">
        <w:t>(IPCC, 2013)</w:t>
      </w:r>
      <w:r w:rsidR="002C32F8">
        <w:rPr>
          <w:lang w:val="es-ES"/>
        </w:rPr>
        <w:fldChar w:fldCharType="end"/>
      </w:r>
      <w:r w:rsidR="00CE5BBA">
        <w:rPr>
          <w:lang w:val="es-ES"/>
        </w:rPr>
        <w:t>.</w:t>
      </w:r>
      <w:r w:rsidR="00A47278">
        <w:rPr>
          <w:lang w:val="es-ES"/>
        </w:rPr>
        <w:t xml:space="preserve"> </w:t>
      </w:r>
      <w:r w:rsidR="00B81D98">
        <w:rPr>
          <w:lang w:val="es-ES"/>
        </w:rPr>
        <w:t>Asimismo, los datos muestran que las tres últimas décadas han sido progresivamente más cálidas con los</w:t>
      </w:r>
      <w:r w:rsidR="00270C73">
        <w:rPr>
          <w:lang w:val="es-ES"/>
        </w:rPr>
        <w:t xml:space="preserve"> mayores</w:t>
      </w:r>
      <w:r w:rsidR="00B81D98">
        <w:rPr>
          <w:lang w:val="es-ES"/>
        </w:rPr>
        <w:t xml:space="preserve"> registros de temperatura desde 1850</w:t>
      </w:r>
      <w:r w:rsidR="00270C73">
        <w:rPr>
          <w:lang w:val="es-ES"/>
        </w:rPr>
        <w:t xml:space="preserve"> y, considerando el hemisferio norte y las reconstrucciones paleoclimáticas, es probable</w:t>
      </w:r>
      <w:r>
        <w:rPr>
          <w:lang w:val="es-ES"/>
        </w:rPr>
        <w:t xml:space="preserve"> (66% - 100% de probabilidad)</w:t>
      </w:r>
      <w:r w:rsidR="00270C73">
        <w:rPr>
          <w:lang w:val="es-ES"/>
        </w:rPr>
        <w:t xml:space="preserve"> que el periodo 1983 a 2012 haya sido el más cálido en los últimos 1,400 años. En términos regionales, se han experimentado aumentos en la temperatura de la superficie en casi la totalidad del planeta</w:t>
      </w:r>
      <w:r w:rsidR="007C1497">
        <w:rPr>
          <w:lang w:val="es-ES"/>
        </w:rPr>
        <w:t xml:space="preserve">, aunque con diferencias ente regiones. </w:t>
      </w:r>
    </w:p>
    <w:p w:rsidR="007C1497" w:rsidRDefault="007C1497" w:rsidP="00652C8E">
      <w:pPr>
        <w:rPr>
          <w:lang w:val="es-ES"/>
        </w:rPr>
      </w:pPr>
    </w:p>
    <w:p w:rsidR="004450BC" w:rsidRDefault="007C1497" w:rsidP="00CC4811">
      <w:pPr>
        <w:ind w:firstLine="720"/>
        <w:rPr>
          <w:lang w:val="es-ES"/>
        </w:rPr>
      </w:pPr>
      <w:r>
        <w:rPr>
          <w:lang w:val="es-ES"/>
        </w:rPr>
        <w:t xml:space="preserve">Como consecuencia del aumento promedio de la temperatura terrestre y oceánica, a escala mundial es muy probable (90% -  100%  de probabilidad) que el número de días y noches fríos haya disminuido y haya habido un aumento en el número de días y noches cálidos, con importantes consecuencias en la incidencia de ondas de calor </w:t>
      </w:r>
      <w:r w:rsidR="002C32F8">
        <w:rPr>
          <w:lang w:val="es-ES"/>
        </w:rPr>
        <w:fldChar w:fldCharType="begin"/>
      </w:r>
      <w:r w:rsidR="007414A1">
        <w:rPr>
          <w:lang w:val="es-ES"/>
        </w:rPr>
        <w:instrText xml:space="preserve"> ADDIN ZOTERO_ITEM CSL_CITATION {"citationID":"87Q2ulcB","properties":{"formattedCitation":"(IPCC,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Pr="004450BC">
        <w:t>(IPCC, 2013)</w:t>
      </w:r>
      <w:r w:rsidR="002C32F8">
        <w:rPr>
          <w:lang w:val="es-ES"/>
        </w:rPr>
        <w:fldChar w:fldCharType="end"/>
      </w:r>
      <w:r>
        <w:rPr>
          <w:lang w:val="es-ES"/>
        </w:rPr>
        <w:t>.</w:t>
      </w:r>
    </w:p>
    <w:p w:rsidR="0045631E" w:rsidRDefault="0045631E" w:rsidP="009C67A6">
      <w:pPr>
        <w:ind w:firstLine="360"/>
        <w:rPr>
          <w:lang w:val="es-ES"/>
        </w:rPr>
      </w:pPr>
    </w:p>
    <w:p w:rsidR="00292210" w:rsidRDefault="0045631E" w:rsidP="00CC4811">
      <w:pPr>
        <w:ind w:firstLine="720"/>
        <w:rPr>
          <w:lang w:val="es-ES"/>
        </w:rPr>
      </w:pPr>
      <w:r>
        <w:rPr>
          <w:lang w:val="es-ES"/>
        </w:rPr>
        <w:t>El océano absorbe</w:t>
      </w:r>
      <w:r w:rsidR="000D66EC">
        <w:rPr>
          <w:lang w:val="es-ES"/>
        </w:rPr>
        <w:t xml:space="preserve"> la mayor parte del exceso de energía </w:t>
      </w:r>
      <w:r w:rsidR="00E15AC6">
        <w:rPr>
          <w:lang w:val="es-ES"/>
        </w:rPr>
        <w:t>que ingresa al sistema terrestre, alrededor del 90% entre 1971 y 2010</w:t>
      </w:r>
      <w:r w:rsidR="00530B8F">
        <w:rPr>
          <w:lang w:val="es-ES"/>
        </w:rPr>
        <w:t>, lo cual reduce el</w:t>
      </w:r>
      <w:r w:rsidR="00CC4811">
        <w:rPr>
          <w:lang w:val="es-ES"/>
        </w:rPr>
        <w:t xml:space="preserve"> ritmo</w:t>
      </w:r>
      <w:r w:rsidR="00530B8F">
        <w:rPr>
          <w:lang w:val="es-ES"/>
        </w:rPr>
        <w:t xml:space="preserve"> de calentamiento de la superficie</w:t>
      </w:r>
      <w:r w:rsidR="00E15AC6">
        <w:rPr>
          <w:lang w:val="es-ES"/>
        </w:rPr>
        <w:t xml:space="preserve">. </w:t>
      </w:r>
      <w:r w:rsidR="00530B8F">
        <w:rPr>
          <w:lang w:val="es-ES"/>
        </w:rPr>
        <w:t>A</w:t>
      </w:r>
      <w:r w:rsidR="00E15AC6">
        <w:rPr>
          <w:lang w:val="es-ES"/>
        </w:rPr>
        <w:t xml:space="preserve"> nivel global, </w:t>
      </w:r>
      <w:r w:rsidR="00530B8F">
        <w:rPr>
          <w:lang w:val="es-ES"/>
        </w:rPr>
        <w:t>la temperatura de la superficie oceánica, los 75 metros superiores, ha experimentado un</w:t>
      </w:r>
      <w:r w:rsidR="00E15AC6">
        <w:rPr>
          <w:lang w:val="es-ES"/>
        </w:rPr>
        <w:t xml:space="preserve"> </w:t>
      </w:r>
      <w:r w:rsidR="00530B8F">
        <w:rPr>
          <w:lang w:val="es-ES"/>
        </w:rPr>
        <w:t>incremento</w:t>
      </w:r>
      <w:r w:rsidR="00E15AC6">
        <w:rPr>
          <w:lang w:val="es-ES"/>
        </w:rPr>
        <w:t xml:space="preserve"> de 0.11°C [0.09°C a 0.13°C] </w:t>
      </w:r>
      <w:r w:rsidR="00530B8F">
        <w:rPr>
          <w:lang w:val="es-ES"/>
        </w:rPr>
        <w:t xml:space="preserve">durante el periodo 1971 y 2010 y es probable que en profundidades de entre 700 y 2000 metros exista un aumento de temperatura desde 1957 a 2009 </w:t>
      </w:r>
      <w:r w:rsidR="002C32F8">
        <w:rPr>
          <w:lang w:val="es-ES"/>
        </w:rPr>
        <w:fldChar w:fldCharType="begin"/>
      </w:r>
      <w:r w:rsidR="007414A1">
        <w:rPr>
          <w:lang w:val="es-ES"/>
        </w:rPr>
        <w:instrText xml:space="preserve"> ADDIN ZOTERO_ITEM CSL_CITATION {"citationID":"FaTk1gBg","properties":{"formattedCitation":"(IPCC,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530B8F" w:rsidRPr="004450BC">
        <w:t>(IPCC, 2013)</w:t>
      </w:r>
      <w:r w:rsidR="002C32F8">
        <w:rPr>
          <w:lang w:val="es-ES"/>
        </w:rPr>
        <w:fldChar w:fldCharType="end"/>
      </w:r>
      <w:r w:rsidR="00530B8F">
        <w:rPr>
          <w:lang w:val="es-ES"/>
        </w:rPr>
        <w:t>.</w:t>
      </w:r>
      <w:r w:rsidR="00CC4811">
        <w:rPr>
          <w:lang w:val="es-ES"/>
        </w:rPr>
        <w:t xml:space="preserve"> </w:t>
      </w:r>
    </w:p>
    <w:p w:rsidR="00292210" w:rsidRDefault="00292210" w:rsidP="00CC4811">
      <w:pPr>
        <w:ind w:firstLine="720"/>
        <w:rPr>
          <w:lang w:val="es-ES"/>
        </w:rPr>
      </w:pPr>
    </w:p>
    <w:p w:rsidR="0045631E" w:rsidRDefault="00CC4811" w:rsidP="00CC4811">
      <w:pPr>
        <w:ind w:firstLine="720"/>
        <w:rPr>
          <w:lang w:val="es-ES"/>
        </w:rPr>
      </w:pPr>
      <w:r>
        <w:rPr>
          <w:lang w:val="es-ES"/>
        </w:rPr>
        <w:t xml:space="preserve">Aunado al el aumento de temperatura terrestre y oceánica, se observa un decrecimiento de la masa de los mantos de hielo de Groenlandia y la Antártida, un retroceso en los glaciares </w:t>
      </w:r>
      <w:r w:rsidR="00292210">
        <w:rPr>
          <w:lang w:val="es-ES"/>
        </w:rPr>
        <w:t xml:space="preserve">y una reducción relevante del hielo del Ártico. Se estima que muy probablemente el ritmo de pérdida de hielo de los glaciares del mundo haya representado en promedio 226 [91 a 361] </w:t>
      </w:r>
      <w:proofErr w:type="spellStart"/>
      <w:r w:rsidR="00292210">
        <w:rPr>
          <w:lang w:val="es-ES"/>
        </w:rPr>
        <w:t>Gigatoneladas</w:t>
      </w:r>
      <w:proofErr w:type="spellEnd"/>
      <w:r w:rsidR="00292210">
        <w:rPr>
          <w:lang w:val="es-ES"/>
        </w:rPr>
        <w:t xml:space="preserve"> al año (</w:t>
      </w:r>
      <w:proofErr w:type="spellStart"/>
      <w:r w:rsidR="00292210">
        <w:rPr>
          <w:lang w:val="es-ES"/>
        </w:rPr>
        <w:t>Gt</w:t>
      </w:r>
      <w:proofErr w:type="spellEnd"/>
      <w:r w:rsidR="00292210">
        <w:rPr>
          <w:lang w:val="es-ES"/>
        </w:rPr>
        <w:t xml:space="preserve">/año) en el periodo 1971 – 2009, mientras que, muy probablemente la pérdida de hielo del manto de Groenlandia se paso de 34 [-6 a 74] </w:t>
      </w:r>
      <w:proofErr w:type="spellStart"/>
      <w:r w:rsidR="00292210">
        <w:rPr>
          <w:lang w:val="es-ES"/>
        </w:rPr>
        <w:t>Gt</w:t>
      </w:r>
      <w:proofErr w:type="spellEnd"/>
      <w:r w:rsidR="00292210">
        <w:rPr>
          <w:lang w:val="es-ES"/>
        </w:rPr>
        <w:t xml:space="preserve">/año para el periodo 1992 – 2001 a 147 [72 a 221] </w:t>
      </w:r>
      <w:proofErr w:type="spellStart"/>
      <w:r w:rsidR="00292210">
        <w:rPr>
          <w:lang w:val="es-ES"/>
        </w:rPr>
        <w:t>Gt</w:t>
      </w:r>
      <w:proofErr w:type="spellEnd"/>
      <w:r w:rsidR="00292210">
        <w:rPr>
          <w:lang w:val="es-ES"/>
        </w:rPr>
        <w:t xml:space="preserve">/año para el periodo 2001 – 2011. Asimismo, </w:t>
      </w:r>
      <w:r w:rsidR="002D5BF4">
        <w:rPr>
          <w:lang w:val="es-ES"/>
        </w:rPr>
        <w:t>la superficie media anual d</w:t>
      </w:r>
      <w:r w:rsidR="00292210">
        <w:rPr>
          <w:lang w:val="es-ES"/>
        </w:rPr>
        <w:t>el</w:t>
      </w:r>
      <w:r w:rsidR="002D5BF4">
        <w:rPr>
          <w:lang w:val="es-ES"/>
        </w:rPr>
        <w:t xml:space="preserve"> hielo marino Ártico ha experimentado una reducción de entre 0.45 y 0.51 millones de km</w:t>
      </w:r>
      <w:r w:rsidR="002D5BF4">
        <w:rPr>
          <w:lang w:val="es-ES"/>
        </w:rPr>
        <w:softHyphen/>
      </w:r>
      <w:r w:rsidR="002D5BF4">
        <w:rPr>
          <w:vertAlign w:val="superscript"/>
          <w:lang w:val="es-ES"/>
        </w:rPr>
        <w:t>2</w:t>
      </w:r>
      <w:r w:rsidR="002D5BF4">
        <w:rPr>
          <w:lang w:val="es-ES"/>
        </w:rPr>
        <w:t xml:space="preserve"> por década para el periodo 1979 – 2012 </w:t>
      </w:r>
      <w:r w:rsidR="002C32F8">
        <w:rPr>
          <w:lang w:val="es-ES"/>
        </w:rPr>
        <w:fldChar w:fldCharType="begin"/>
      </w:r>
      <w:r w:rsidR="007414A1">
        <w:rPr>
          <w:lang w:val="es-ES"/>
        </w:rPr>
        <w:instrText xml:space="preserve"> ADDIN ZOTERO_ITEM CSL_CITATION {"citationID":"0Hv0W5lk","properties":{"formattedCitation":"(IPCC,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2D5BF4" w:rsidRPr="004450BC">
        <w:t>(IPCC, 2013)</w:t>
      </w:r>
      <w:r w:rsidR="002C32F8">
        <w:rPr>
          <w:lang w:val="es-ES"/>
        </w:rPr>
        <w:fldChar w:fldCharType="end"/>
      </w:r>
      <w:r w:rsidR="002D5BF4">
        <w:rPr>
          <w:lang w:val="es-ES"/>
        </w:rPr>
        <w:t>, registrándose superficies cada vez más reducidas en el periodo de verano.</w:t>
      </w:r>
    </w:p>
    <w:p w:rsidR="004E70B2" w:rsidRDefault="004E70B2" w:rsidP="00CC4811">
      <w:pPr>
        <w:ind w:firstLine="720"/>
        <w:rPr>
          <w:lang w:val="es-ES"/>
        </w:rPr>
      </w:pPr>
    </w:p>
    <w:p w:rsidR="004E70B2" w:rsidRPr="002D5BF4" w:rsidRDefault="004E70B2" w:rsidP="00CC4811">
      <w:pPr>
        <w:ind w:firstLine="720"/>
        <w:rPr>
          <w:lang w:val="es-ES"/>
        </w:rPr>
      </w:pPr>
      <w:r>
        <w:rPr>
          <w:lang w:val="es-ES"/>
        </w:rPr>
        <w:t xml:space="preserve">Las mediciones muestra, asimismo, un aumento del nivel medio del mar, para el periodo 1901 – 2010, de 0.19 metros [0.17 a 0.21], donde, desde la década de 1970, la combinación de aumento de temperatura oceánica y  la pérdida de masa de los glaciares explican alrededor del 75% de la elevación observada. </w:t>
      </w:r>
      <w:r w:rsidR="001B59FA">
        <w:rPr>
          <w:lang w:val="es-ES"/>
        </w:rPr>
        <w:t>Es importante notar que si se considera el periodo  1901 – 2010 la velocidad de aumento del nivel del mar fue de 1.7 [1.5 a 1.9] milímetros al año en el periodo, mientras que solamente considerando el periodo 1993 – 2010, dicho aumento fue de 3.2 [2.8 a 3.6] milímetros al año</w:t>
      </w:r>
      <w:r w:rsidR="001D765C">
        <w:rPr>
          <w:lang w:val="es-ES"/>
        </w:rPr>
        <w:t xml:space="preserve"> </w:t>
      </w:r>
      <w:r w:rsidR="002C32F8">
        <w:rPr>
          <w:lang w:val="es-ES"/>
        </w:rPr>
        <w:fldChar w:fldCharType="begin"/>
      </w:r>
      <w:r w:rsidR="007414A1">
        <w:rPr>
          <w:lang w:val="es-ES"/>
        </w:rPr>
        <w:instrText xml:space="preserve"> ADDIN ZOTERO_ITEM CSL_CITATION {"citationID":"lfQdq60b","properties":{"formattedCitation":"(IPCC,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1D765C" w:rsidRPr="004450BC">
        <w:t>(IPCC, 2013)</w:t>
      </w:r>
      <w:r w:rsidR="002C32F8">
        <w:rPr>
          <w:lang w:val="es-ES"/>
        </w:rPr>
        <w:fldChar w:fldCharType="end"/>
      </w:r>
      <w:r w:rsidR="001B59FA">
        <w:rPr>
          <w:lang w:val="es-ES"/>
        </w:rPr>
        <w:t>.</w:t>
      </w:r>
    </w:p>
    <w:p w:rsidR="009C67A6" w:rsidRDefault="009C67A6" w:rsidP="009C67A6">
      <w:pPr>
        <w:ind w:firstLine="360"/>
        <w:rPr>
          <w:lang w:val="es-ES"/>
        </w:rPr>
      </w:pPr>
    </w:p>
    <w:p w:rsidR="000B66AB" w:rsidRPr="007414A1" w:rsidRDefault="000B66AB" w:rsidP="000B66AB">
      <w:pPr>
        <w:ind w:firstLine="360"/>
        <w:rPr>
          <w:lang w:val="es-ES"/>
        </w:rPr>
      </w:pPr>
      <w:r w:rsidRPr="00764BD8">
        <w:rPr>
          <w:lang w:val="es-ES"/>
        </w:rPr>
        <w:t xml:space="preserve">Finalmente, las emisiones de dióxido de carbono (CO2), metano (CH4) y óxido nitroso (N2O) muestran niveles sin precedentes en los últimos 800,000 años </w:t>
      </w:r>
      <w:r w:rsidR="002C32F8" w:rsidRPr="00764BD8">
        <w:rPr>
          <w:lang w:val="es-ES"/>
        </w:rPr>
        <w:fldChar w:fldCharType="begin"/>
      </w:r>
      <w:r w:rsidRPr="00764BD8">
        <w:rPr>
          <w:lang w:val="es-ES"/>
        </w:rPr>
        <w:instrText xml:space="preserve"> ADDIN ZOTERO_ITEM CSL_CITATION {"citationID":"UPQKXQjE","properties":{"formattedCitation":"(IPCC,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sidRPr="00764BD8">
        <w:rPr>
          <w:lang w:val="es-ES"/>
        </w:rPr>
        <w:fldChar w:fldCharType="separate"/>
      </w:r>
      <w:r w:rsidRPr="00764BD8">
        <w:rPr>
          <w:lang w:val="es-ES"/>
        </w:rPr>
        <w:t>(IPCC, 2013)</w:t>
      </w:r>
      <w:r w:rsidR="002C32F8" w:rsidRPr="00764BD8">
        <w:rPr>
          <w:lang w:val="es-ES"/>
        </w:rPr>
        <w:fldChar w:fldCharType="end"/>
      </w:r>
      <w:r w:rsidRPr="00764BD8">
        <w:rPr>
          <w:lang w:val="es-ES"/>
        </w:rPr>
        <w:t xml:space="preserve">. Las concentraciones de CO2 han aumentado de 280 partes por millón (ppm) en la era preindustrial a alrededor de 396 ppm en 2013 </w:t>
      </w:r>
      <w:r w:rsidR="002C32F8" w:rsidRPr="00764BD8">
        <w:rPr>
          <w:lang w:val="es-ES"/>
        </w:rPr>
        <w:fldChar w:fldCharType="begin"/>
      </w:r>
      <w:r w:rsidRPr="00764BD8">
        <w:rPr>
          <w:lang w:val="es-ES"/>
        </w:rPr>
        <w:instrText xml:space="preserve"> ADDIN ZOTERO_ITEM CSL_CITATION {"citationID":"pTq3ueDs","properties":{"formattedCitation":"(NOAA, 2013)","plainCitation":"(NOAA, 2013)"},"citationItems":[{"id":4484,"uris":["http://zotero.org/groups/197651/items/2XRN3CK6"],"uri":["http://zotero.org/groups/197651/items/2XRN3CK6"],"itemData":{"id":4484,"type":"webpage","title":"Trends in Carbon Dioxide","abstract":"The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scales.","URL":"http://www.esrl.noaa.gov/gmd/ccgg/trends/","note":"The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scales.","language":"EN-US","author":[{"family":"NOAA","given":""}],"issued":{"date-parts":[["2013"]]},"accessed":{"date-parts":[["2013",8,16]]}}}],"schema":"https://github.com/citation-style-language/schema/raw/master/csl-citation.json"} </w:instrText>
      </w:r>
      <w:r w:rsidR="002C32F8" w:rsidRPr="00764BD8">
        <w:rPr>
          <w:lang w:val="es-ES"/>
        </w:rPr>
        <w:fldChar w:fldCharType="separate"/>
      </w:r>
      <w:r w:rsidRPr="00764BD8">
        <w:rPr>
          <w:lang w:val="es-ES"/>
        </w:rPr>
        <w:t>(NOAA, 2013)</w:t>
      </w:r>
      <w:r w:rsidR="002C32F8" w:rsidRPr="00764BD8">
        <w:rPr>
          <w:lang w:val="es-ES"/>
        </w:rPr>
        <w:fldChar w:fldCharType="end"/>
      </w:r>
      <w:r w:rsidRPr="00764BD8">
        <w:rPr>
          <w:lang w:val="es-ES"/>
        </w:rPr>
        <w:t xml:space="preserve"> principalmente derivado de la quema de combustibles fósiles y el cambio de uso de suelo. Las concentraciones de metano </w:t>
      </w:r>
      <w:r w:rsidR="00D840A5" w:rsidRPr="00764BD8">
        <w:rPr>
          <w:lang w:val="es-ES"/>
        </w:rPr>
        <w:t>aumentaron de aproximadamente 700</w:t>
      </w:r>
      <w:r w:rsidR="00C31326" w:rsidRPr="00764BD8">
        <w:rPr>
          <w:lang w:val="es-ES"/>
        </w:rPr>
        <w:t xml:space="preserve"> partes por miles de millones (</w:t>
      </w:r>
      <w:proofErr w:type="spellStart"/>
      <w:r w:rsidR="00C31326" w:rsidRPr="00764BD8">
        <w:rPr>
          <w:lang w:val="es-ES"/>
        </w:rPr>
        <w:t>ppmm</w:t>
      </w:r>
      <w:proofErr w:type="spellEnd"/>
      <w:r w:rsidR="00C31326" w:rsidRPr="00764BD8">
        <w:rPr>
          <w:lang w:val="es-ES"/>
        </w:rPr>
        <w:t>)</w:t>
      </w:r>
      <w:r w:rsidR="00D840A5" w:rsidRPr="00764BD8">
        <w:rPr>
          <w:lang w:val="es-ES"/>
        </w:rPr>
        <w:t xml:space="preserve"> en la era preindustrial a </w:t>
      </w:r>
      <w:r w:rsidR="00C31326" w:rsidRPr="00764BD8">
        <w:rPr>
          <w:lang w:val="es-ES"/>
        </w:rPr>
        <w:t xml:space="preserve">entre </w:t>
      </w:r>
      <w:r w:rsidR="00D840A5" w:rsidRPr="00764BD8">
        <w:rPr>
          <w:lang w:val="es-ES"/>
        </w:rPr>
        <w:t>1</w:t>
      </w:r>
      <w:r w:rsidR="00C31326" w:rsidRPr="00764BD8">
        <w:rPr>
          <w:lang w:val="es-ES"/>
        </w:rPr>
        <w:t xml:space="preserve">758 y 1874 </w:t>
      </w:r>
      <w:proofErr w:type="spellStart"/>
      <w:r w:rsidR="00C31326" w:rsidRPr="00764BD8">
        <w:rPr>
          <w:lang w:val="es-ES"/>
        </w:rPr>
        <w:t>ppmm</w:t>
      </w:r>
      <w:proofErr w:type="spellEnd"/>
      <w:r w:rsidR="00C31326" w:rsidRPr="00764BD8">
        <w:rPr>
          <w:lang w:val="es-ES"/>
        </w:rPr>
        <w:t xml:space="preserve"> en la actualidad y el óxido nitroso aumento de 270 </w:t>
      </w:r>
      <w:proofErr w:type="spellStart"/>
      <w:r w:rsidR="00C31326" w:rsidRPr="00764BD8">
        <w:rPr>
          <w:lang w:val="es-ES"/>
        </w:rPr>
        <w:t>ppmm</w:t>
      </w:r>
      <w:proofErr w:type="spellEnd"/>
      <w:r w:rsidR="00C31326" w:rsidRPr="00764BD8">
        <w:rPr>
          <w:lang w:val="es-ES"/>
        </w:rPr>
        <w:t xml:space="preserve"> a 324 </w:t>
      </w:r>
      <w:proofErr w:type="spellStart"/>
      <w:r w:rsidR="00C31326" w:rsidRPr="00764BD8">
        <w:rPr>
          <w:lang w:val="es-ES"/>
        </w:rPr>
        <w:t>ppmm</w:t>
      </w:r>
      <w:proofErr w:type="spellEnd"/>
      <w:r w:rsidR="00C31326" w:rsidRPr="00764BD8">
        <w:rPr>
          <w:lang w:val="es-ES"/>
        </w:rPr>
        <w:t>.</w:t>
      </w:r>
      <w:r w:rsidR="00764BD8" w:rsidRPr="00764BD8">
        <w:rPr>
          <w:lang w:val="es-ES"/>
        </w:rPr>
        <w:t xml:space="preserve"> </w:t>
      </w:r>
      <w:r w:rsidR="007023DD">
        <w:rPr>
          <w:lang w:val="es-ES"/>
        </w:rPr>
        <w:t>Es importante señalar que a</w:t>
      </w:r>
      <w:r w:rsidR="007414A1">
        <w:rPr>
          <w:lang w:val="es-ES"/>
        </w:rPr>
        <w:t>lrededor del 30% del CO</w:t>
      </w:r>
      <w:r w:rsidR="007414A1">
        <w:rPr>
          <w:vertAlign w:val="subscript"/>
          <w:lang w:val="es-ES"/>
        </w:rPr>
        <w:t>2</w:t>
      </w:r>
      <w:r w:rsidR="007414A1">
        <w:rPr>
          <w:lang w:val="es-ES"/>
        </w:rPr>
        <w:t xml:space="preserve"> antropogénico ha sido absorbido por los océanos lo cual ha provocado su acidificación </w:t>
      </w:r>
      <w:r w:rsidR="002C32F8">
        <w:rPr>
          <w:lang w:val="es-ES"/>
        </w:rPr>
        <w:fldChar w:fldCharType="begin"/>
      </w:r>
      <w:r w:rsidR="007414A1">
        <w:rPr>
          <w:lang w:val="es-ES"/>
        </w:rPr>
        <w:instrText xml:space="preserve"> ADDIN ZOTERO_ITEM CSL_CITATION {"citationID":"GrggBIxb","properties":{"formattedCitation":"(IPCC,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7414A1" w:rsidRPr="004450BC">
        <w:t>(IPCC, 2013)</w:t>
      </w:r>
      <w:r w:rsidR="002C32F8">
        <w:rPr>
          <w:lang w:val="es-ES"/>
        </w:rPr>
        <w:fldChar w:fldCharType="end"/>
      </w:r>
      <w:r w:rsidR="007414A1">
        <w:rPr>
          <w:lang w:val="es-ES"/>
        </w:rPr>
        <w:t>.</w:t>
      </w:r>
    </w:p>
    <w:p w:rsidR="000B66AB" w:rsidRDefault="000B66AB" w:rsidP="000B66AB">
      <w:pPr>
        <w:ind w:firstLine="360"/>
        <w:rPr>
          <w:lang w:val="es-ES"/>
        </w:rPr>
      </w:pPr>
    </w:p>
    <w:p w:rsidR="009C67A6" w:rsidRDefault="009C67A6" w:rsidP="00C31326">
      <w:pPr>
        <w:rPr>
          <w:lang w:val="es-ES"/>
        </w:rPr>
      </w:pPr>
    </w:p>
    <w:p w:rsidR="000A24F6" w:rsidRPr="000A24F6" w:rsidRDefault="000A24F6" w:rsidP="0034767A">
      <w:pPr>
        <w:ind w:firstLine="360"/>
        <w:rPr>
          <w:lang w:val="es-ES"/>
        </w:rPr>
      </w:pPr>
    </w:p>
    <w:p w:rsidR="00764BD8" w:rsidRDefault="00764BD8" w:rsidP="00764BD8">
      <w:pPr>
        <w:pStyle w:val="Caption"/>
        <w:spacing w:after="0"/>
        <w:jc w:val="center"/>
        <w:rPr>
          <w:color w:val="auto"/>
        </w:rPr>
      </w:pPr>
      <w:r w:rsidRPr="00E47A79">
        <w:rPr>
          <w:color w:val="auto"/>
        </w:rPr>
        <w:t xml:space="preserve">GRÁFICO </w:t>
      </w:r>
      <w:r w:rsidR="002C32F8" w:rsidRPr="00E47A79">
        <w:rPr>
          <w:color w:val="auto"/>
        </w:rPr>
        <w:fldChar w:fldCharType="begin"/>
      </w:r>
      <w:r w:rsidRPr="00E47A79">
        <w:rPr>
          <w:color w:val="auto"/>
        </w:rPr>
        <w:instrText xml:space="preserve"> SEQ GRÁFICO \* ARABIC </w:instrText>
      </w:r>
      <w:r w:rsidR="002C32F8" w:rsidRPr="00E47A79">
        <w:rPr>
          <w:color w:val="auto"/>
        </w:rPr>
        <w:fldChar w:fldCharType="separate"/>
      </w:r>
      <w:r w:rsidRPr="00E47A79">
        <w:rPr>
          <w:noProof/>
          <w:color w:val="auto"/>
        </w:rPr>
        <w:t>1</w:t>
      </w:r>
      <w:r w:rsidR="002C32F8" w:rsidRPr="00E47A79">
        <w:rPr>
          <w:color w:val="auto"/>
        </w:rPr>
        <w:fldChar w:fldCharType="end"/>
      </w:r>
    </w:p>
    <w:p w:rsidR="0034767A" w:rsidRPr="0034767A" w:rsidRDefault="0034767A" w:rsidP="0034767A">
      <w:pPr>
        <w:rPr>
          <w:b/>
        </w:rPr>
      </w:pPr>
      <w:r w:rsidRPr="0034767A">
        <w:rPr>
          <w:b/>
        </w:rPr>
        <w:t>MODELOS CLIMATOLÓGICOS, AUMENTO EN LAS ANOMALÍAS DE TEMPERATURA, ALZA EN DEL PROMEDIO DEL NIVEL DEL MAR Y CUBIERTA DE HIELO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34767A" w:rsidRPr="0034767A" w:rsidTr="0034767A">
        <w:tc>
          <w:tcPr>
            <w:tcW w:w="4788" w:type="dxa"/>
            <w:vAlign w:val="center"/>
          </w:tcPr>
          <w:p w:rsidR="0034767A" w:rsidRPr="0034767A" w:rsidRDefault="0034767A" w:rsidP="0034767A">
            <w:r w:rsidRPr="0034767A">
              <w:br w:type="page"/>
            </w:r>
          </w:p>
        </w:tc>
        <w:tc>
          <w:tcPr>
            <w:tcW w:w="4788" w:type="dxa"/>
            <w:vAlign w:val="center"/>
          </w:tcPr>
          <w:p w:rsidR="0034767A" w:rsidRPr="0034767A" w:rsidRDefault="0034767A" w:rsidP="0034767A"/>
        </w:tc>
      </w:tr>
      <w:tr w:rsidR="0034767A" w:rsidRPr="0034767A" w:rsidTr="0034767A">
        <w:tc>
          <w:tcPr>
            <w:tcW w:w="4788" w:type="dxa"/>
            <w:vAlign w:val="center"/>
          </w:tcPr>
          <w:p w:rsidR="0034767A" w:rsidRPr="0034767A" w:rsidRDefault="00E35C44" w:rsidP="0034767A">
            <w:r>
              <w:t>Temperatura combinada</w:t>
            </w:r>
            <w:r w:rsidR="00B81D98">
              <w:t xml:space="preserve"> (poner línea de promedio)</w:t>
            </w:r>
          </w:p>
        </w:tc>
        <w:tc>
          <w:tcPr>
            <w:tcW w:w="4788" w:type="dxa"/>
            <w:vAlign w:val="center"/>
          </w:tcPr>
          <w:p w:rsidR="0034767A" w:rsidRPr="0034767A" w:rsidRDefault="00E35C44" w:rsidP="0034767A">
            <w:r>
              <w:t>Hielo ártico</w:t>
            </w:r>
          </w:p>
        </w:tc>
      </w:tr>
      <w:tr w:rsidR="00E35C44" w:rsidRPr="0034767A" w:rsidTr="0034767A">
        <w:tc>
          <w:tcPr>
            <w:tcW w:w="4788" w:type="dxa"/>
            <w:vAlign w:val="center"/>
          </w:tcPr>
          <w:p w:rsidR="00E35C44" w:rsidRPr="0034767A" w:rsidRDefault="00E35C44" w:rsidP="0034767A"/>
        </w:tc>
        <w:tc>
          <w:tcPr>
            <w:tcW w:w="4788" w:type="dxa"/>
            <w:vAlign w:val="center"/>
          </w:tcPr>
          <w:p w:rsidR="00E35C44" w:rsidRPr="0034767A" w:rsidRDefault="00E35C44" w:rsidP="0034767A"/>
        </w:tc>
      </w:tr>
      <w:tr w:rsidR="00E35C44" w:rsidRPr="0034767A" w:rsidTr="0034767A">
        <w:tc>
          <w:tcPr>
            <w:tcW w:w="4788" w:type="dxa"/>
            <w:vAlign w:val="center"/>
          </w:tcPr>
          <w:p w:rsidR="00E35C44" w:rsidRPr="0034767A" w:rsidRDefault="00E35C44" w:rsidP="0034767A">
            <w:r>
              <w:t>Nivel del mar</w:t>
            </w:r>
          </w:p>
        </w:tc>
        <w:tc>
          <w:tcPr>
            <w:tcW w:w="4788" w:type="dxa"/>
            <w:vAlign w:val="center"/>
          </w:tcPr>
          <w:p w:rsidR="00E35C44" w:rsidRPr="0034767A" w:rsidRDefault="00E35C44" w:rsidP="0034767A">
            <w:r>
              <w:t>Concentraciones de CO2</w:t>
            </w:r>
          </w:p>
        </w:tc>
      </w:tr>
    </w:tbl>
    <w:p w:rsidR="0034767A" w:rsidRPr="0034767A" w:rsidRDefault="0034767A" w:rsidP="0034767A">
      <w:r w:rsidRPr="0034767A">
        <w:rPr>
          <w:b/>
        </w:rPr>
        <w:t>Fuente</w:t>
      </w:r>
      <w:r w:rsidRPr="0034767A">
        <w:t xml:space="preserve">: IPCC, 2007a y elaboración propia con datos de </w:t>
      </w:r>
      <w:proofErr w:type="spellStart"/>
      <w:r w:rsidRPr="0034767A">
        <w:rPr>
          <w:iCs/>
        </w:rPr>
        <w:t>National</w:t>
      </w:r>
      <w:proofErr w:type="spellEnd"/>
      <w:r w:rsidRPr="0034767A">
        <w:rPr>
          <w:iCs/>
        </w:rPr>
        <w:t xml:space="preserve"> </w:t>
      </w:r>
      <w:proofErr w:type="spellStart"/>
      <w:r w:rsidRPr="0034767A">
        <w:rPr>
          <w:iCs/>
        </w:rPr>
        <w:t>Oceanic</w:t>
      </w:r>
      <w:proofErr w:type="spellEnd"/>
      <w:r w:rsidRPr="0034767A">
        <w:rPr>
          <w:iCs/>
        </w:rPr>
        <w:t xml:space="preserve"> and </w:t>
      </w:r>
      <w:proofErr w:type="spellStart"/>
      <w:r w:rsidRPr="0034767A">
        <w:rPr>
          <w:iCs/>
        </w:rPr>
        <w:t>Atmospheric</w:t>
      </w:r>
      <w:proofErr w:type="spellEnd"/>
      <w:r w:rsidRPr="0034767A">
        <w:rPr>
          <w:iCs/>
        </w:rPr>
        <w:t xml:space="preserve"> </w:t>
      </w:r>
      <w:proofErr w:type="spellStart"/>
      <w:r w:rsidRPr="0034767A">
        <w:rPr>
          <w:iCs/>
        </w:rPr>
        <w:t>Administration</w:t>
      </w:r>
      <w:proofErr w:type="spellEnd"/>
      <w:r w:rsidRPr="0034767A">
        <w:t xml:space="preserve"> (</w:t>
      </w:r>
      <w:r w:rsidRPr="0034767A">
        <w:rPr>
          <w:iCs/>
        </w:rPr>
        <w:t>NOAA</w:t>
      </w:r>
      <w:r w:rsidRPr="0034767A">
        <w:t xml:space="preserve">) y de </w:t>
      </w:r>
      <w:proofErr w:type="spellStart"/>
      <w:r w:rsidRPr="0034767A">
        <w:t>National</w:t>
      </w:r>
      <w:proofErr w:type="spellEnd"/>
      <w:r w:rsidRPr="0034767A">
        <w:t xml:space="preserve"> Snow and Ice Data Center (NSIDC).</w:t>
      </w:r>
    </w:p>
    <w:p w:rsidR="0034767A" w:rsidRPr="0034767A" w:rsidRDefault="0034767A" w:rsidP="0034767A">
      <w:proofErr w:type="gramStart"/>
      <w:r w:rsidRPr="0034767A">
        <w:rPr>
          <w:vertAlign w:val="superscript"/>
        </w:rPr>
        <w:t>a</w:t>
      </w:r>
      <w:proofErr w:type="gramEnd"/>
      <w:r w:rsidRPr="0034767A">
        <w:rPr>
          <w:vertAlign w:val="superscript"/>
        </w:rPr>
        <w:t xml:space="preserve"> </w:t>
      </w:r>
      <w:r w:rsidRPr="0034767A">
        <w:t xml:space="preserve">Datos del altímetro fueron obtenidos del </w:t>
      </w:r>
      <w:proofErr w:type="spellStart"/>
      <w:r w:rsidRPr="0034767A">
        <w:t>Laboratory</w:t>
      </w:r>
      <w:proofErr w:type="spellEnd"/>
      <w:r w:rsidRPr="0034767A">
        <w:t xml:space="preserve"> </w:t>
      </w:r>
      <w:proofErr w:type="spellStart"/>
      <w:r w:rsidRPr="0034767A">
        <w:t>for</w:t>
      </w:r>
      <w:proofErr w:type="spellEnd"/>
      <w:r w:rsidRPr="0034767A">
        <w:t xml:space="preserve"> </w:t>
      </w:r>
      <w:proofErr w:type="spellStart"/>
      <w:r w:rsidRPr="0034767A">
        <w:t>Satellite</w:t>
      </w:r>
      <w:proofErr w:type="spellEnd"/>
      <w:r w:rsidRPr="0034767A">
        <w:t xml:space="preserve"> </w:t>
      </w:r>
      <w:proofErr w:type="spellStart"/>
      <w:r w:rsidRPr="0034767A">
        <w:t>Altimetry</w:t>
      </w:r>
      <w:proofErr w:type="spellEnd"/>
      <w:r w:rsidRPr="0034767A">
        <w:t xml:space="preserve"> de la NOAA. </w:t>
      </w:r>
      <w:hyperlink r:id="rId8" w:history="1">
        <w:r w:rsidRPr="0034767A">
          <w:rPr>
            <w:rStyle w:val="Hyperlink"/>
          </w:rPr>
          <w:t>http://ibis.grdl.noaa.gov/SAT/slr/LSA_SLR_timeseries_global.php</w:t>
        </w:r>
      </w:hyperlink>
      <w:r w:rsidRPr="0034767A">
        <w:t xml:space="preserve">. Las señales de estacionalidad fueron removidas, promedios móviles de seis meses. </w:t>
      </w:r>
    </w:p>
    <w:p w:rsidR="0034767A" w:rsidRPr="0034767A" w:rsidRDefault="0034767A" w:rsidP="0034767A">
      <w:pPr>
        <w:rPr>
          <w:lang w:val="es-ES"/>
        </w:rPr>
      </w:pPr>
    </w:p>
    <w:p w:rsidR="0034767A" w:rsidRDefault="0034767A" w:rsidP="0034767A">
      <w:pPr>
        <w:rPr>
          <w:lang w:val="es-ES"/>
        </w:rPr>
      </w:pPr>
    </w:p>
    <w:p w:rsidR="000B66AB" w:rsidRDefault="000B66AB" w:rsidP="0034767A">
      <w:pPr>
        <w:rPr>
          <w:lang w:val="es-ES"/>
        </w:rPr>
      </w:pPr>
    </w:p>
    <w:p w:rsidR="000B66AB" w:rsidRDefault="000B66AB" w:rsidP="0034767A">
      <w:pPr>
        <w:rPr>
          <w:lang w:val="es-ES"/>
        </w:rPr>
      </w:pPr>
    </w:p>
    <w:p w:rsidR="001D765C" w:rsidRPr="0004426B" w:rsidRDefault="001D765C" w:rsidP="001D765C">
      <w:pPr>
        <w:pStyle w:val="Caption"/>
        <w:spacing w:after="0"/>
        <w:jc w:val="center"/>
        <w:rPr>
          <w:rFonts w:ascii="Arial" w:hAnsi="Arial" w:cs="Arial"/>
          <w:color w:val="auto"/>
        </w:rPr>
      </w:pPr>
      <w:r w:rsidRPr="0004426B">
        <w:rPr>
          <w:rFonts w:ascii="Arial" w:hAnsi="Arial" w:cs="Arial"/>
          <w:color w:val="auto"/>
        </w:rPr>
        <w:t xml:space="preserve">CUADRO </w:t>
      </w:r>
      <w:r w:rsidR="002C32F8" w:rsidRPr="0004426B">
        <w:rPr>
          <w:rFonts w:ascii="Arial" w:hAnsi="Arial" w:cs="Arial"/>
          <w:color w:val="auto"/>
        </w:rPr>
        <w:fldChar w:fldCharType="begin"/>
      </w:r>
      <w:r w:rsidRPr="0004426B">
        <w:rPr>
          <w:rFonts w:ascii="Arial" w:hAnsi="Arial" w:cs="Arial"/>
          <w:color w:val="auto"/>
        </w:rPr>
        <w:instrText xml:space="preserve"> SEQ CUADRO \* ARABIC </w:instrText>
      </w:r>
      <w:r w:rsidR="002C32F8" w:rsidRPr="0004426B">
        <w:rPr>
          <w:rFonts w:ascii="Arial" w:hAnsi="Arial" w:cs="Arial"/>
          <w:color w:val="auto"/>
        </w:rPr>
        <w:fldChar w:fldCharType="separate"/>
      </w:r>
      <w:r w:rsidRPr="0004426B">
        <w:rPr>
          <w:rFonts w:ascii="Arial" w:hAnsi="Arial" w:cs="Arial"/>
          <w:noProof/>
          <w:color w:val="auto"/>
        </w:rPr>
        <w:t>1</w:t>
      </w:r>
      <w:r w:rsidR="002C32F8" w:rsidRPr="0004426B">
        <w:rPr>
          <w:rFonts w:ascii="Arial" w:hAnsi="Arial" w:cs="Arial"/>
          <w:color w:val="auto"/>
        </w:rPr>
        <w:fldChar w:fldCharType="end"/>
      </w:r>
    </w:p>
    <w:p w:rsidR="001D765C" w:rsidRPr="0004426B" w:rsidRDefault="001D765C" w:rsidP="001D765C">
      <w:pPr>
        <w:jc w:val="center"/>
        <w:rPr>
          <w:b/>
        </w:rPr>
      </w:pPr>
      <w:r w:rsidRPr="0004426B">
        <w:rPr>
          <w:rFonts w:ascii="Arial" w:hAnsi="Arial" w:cs="Arial"/>
          <w:b/>
          <w:sz w:val="18"/>
          <w:szCs w:val="18"/>
        </w:rPr>
        <w:t>CONCENTRACIONES ACTUALES DE DIÓXIDO DE CARBONO, METANO Y OXIDO NITROSO EN LA ATMÓSFERA</w:t>
      </w:r>
    </w:p>
    <w:tbl>
      <w:tblPr>
        <w:tblStyle w:val="LightShading1"/>
        <w:tblW w:w="0" w:type="auto"/>
        <w:jc w:val="center"/>
        <w:tblLook w:val="06A0"/>
      </w:tblPr>
      <w:tblGrid>
        <w:gridCol w:w="1926"/>
        <w:gridCol w:w="2037"/>
        <w:gridCol w:w="957"/>
        <w:gridCol w:w="1067"/>
        <w:gridCol w:w="1117"/>
      </w:tblGrid>
      <w:tr w:rsidR="001D765C" w:rsidRPr="008B4B12" w:rsidTr="007023DD">
        <w:trPr>
          <w:cnfStyle w:val="100000000000"/>
          <w:trHeight w:val="300"/>
          <w:jc w:val="center"/>
        </w:trPr>
        <w:tc>
          <w:tcPr>
            <w:cnfStyle w:val="001000000000"/>
            <w:tcW w:w="0" w:type="auto"/>
            <w:vMerge w:val="restart"/>
            <w:tcBorders>
              <w:bottom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Gas</w:t>
            </w:r>
          </w:p>
        </w:tc>
        <w:tc>
          <w:tcPr>
            <w:tcW w:w="0" w:type="auto"/>
            <w:vMerge w:val="restart"/>
            <w:tcBorders>
              <w:bottom w:val="single" w:sz="4" w:space="0" w:color="auto"/>
            </w:tcBorders>
            <w:noWrap/>
            <w:vAlign w:val="center"/>
            <w:hideMark/>
          </w:tcPr>
          <w:p w:rsidR="001D765C" w:rsidRPr="008B4B12" w:rsidRDefault="001D765C" w:rsidP="007023DD">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Unidad</w:t>
            </w:r>
          </w:p>
        </w:tc>
        <w:tc>
          <w:tcPr>
            <w:tcW w:w="0" w:type="auto"/>
            <w:gridSpan w:val="3"/>
            <w:tcBorders>
              <w:bottom w:val="single" w:sz="4" w:space="0" w:color="auto"/>
            </w:tcBorders>
            <w:noWrap/>
            <w:vAlign w:val="center"/>
            <w:hideMark/>
          </w:tcPr>
          <w:p w:rsidR="001D765C" w:rsidRPr="008B4B12" w:rsidRDefault="001D765C" w:rsidP="007023DD">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Concentraciones en la tropósfera</w:t>
            </w:r>
          </w:p>
        </w:tc>
      </w:tr>
      <w:tr w:rsidR="001D765C" w:rsidRPr="008B4B12" w:rsidTr="007023DD">
        <w:trPr>
          <w:trHeight w:val="300"/>
          <w:jc w:val="center"/>
        </w:trPr>
        <w:tc>
          <w:tcPr>
            <w:cnfStyle w:val="001000000000"/>
            <w:tcW w:w="0" w:type="auto"/>
            <w:vMerge/>
            <w:tcBorders>
              <w:top w:val="nil"/>
              <w:bottom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p>
        </w:tc>
        <w:tc>
          <w:tcPr>
            <w:tcW w:w="0" w:type="auto"/>
            <w:vMerge/>
            <w:tcBorders>
              <w:top w:val="nil"/>
              <w:bottom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p>
        </w:tc>
        <w:tc>
          <w:tcPr>
            <w:tcW w:w="0" w:type="auto"/>
            <w:tcBorders>
              <w:top w:val="single" w:sz="4" w:space="0" w:color="auto"/>
              <w:bottom w:val="single" w:sz="4" w:space="0" w:color="auto"/>
            </w:tcBorders>
            <w:noWrap/>
            <w:vAlign w:val="center"/>
            <w:hideMark/>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Pre-1750</w:t>
            </w:r>
          </w:p>
        </w:tc>
        <w:tc>
          <w:tcPr>
            <w:tcW w:w="0" w:type="auto"/>
            <w:tcBorders>
              <w:top w:val="single" w:sz="4" w:space="0" w:color="auto"/>
              <w:bottom w:val="single" w:sz="4" w:space="0" w:color="auto"/>
            </w:tcBorders>
            <w:noWrap/>
            <w:vAlign w:val="center"/>
            <w:hideMark/>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Actuales</w:t>
            </w:r>
          </w:p>
        </w:tc>
        <w:tc>
          <w:tcPr>
            <w:tcW w:w="0" w:type="auto"/>
            <w:tcBorders>
              <w:top w:val="single" w:sz="4" w:space="0" w:color="auto"/>
              <w:bottom w:val="single" w:sz="4" w:space="0" w:color="auto"/>
            </w:tcBorders>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Incremento</w:t>
            </w:r>
          </w:p>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
        </w:tc>
      </w:tr>
      <w:tr w:rsidR="001D765C" w:rsidRPr="008B4B12" w:rsidTr="007023DD">
        <w:trPr>
          <w:trHeight w:val="300"/>
          <w:jc w:val="center"/>
        </w:trPr>
        <w:tc>
          <w:tcPr>
            <w:cnfStyle w:val="001000000000"/>
            <w:tcW w:w="0" w:type="auto"/>
            <w:tcBorders>
              <w:top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proofErr w:type="spellStart"/>
            <w:r w:rsidRPr="008B4B12">
              <w:rPr>
                <w:rFonts w:ascii="Arial" w:hAnsi="Arial" w:cs="Arial"/>
                <w:color w:val="000000"/>
                <w:sz w:val="18"/>
                <w:szCs w:val="22"/>
                <w:lang w:val="es-ES"/>
              </w:rPr>
              <w:t>Díoxido</w:t>
            </w:r>
            <w:proofErr w:type="spellEnd"/>
            <w:r w:rsidRPr="008B4B12">
              <w:rPr>
                <w:rFonts w:ascii="Arial" w:hAnsi="Arial" w:cs="Arial"/>
                <w:color w:val="000000"/>
                <w:sz w:val="18"/>
                <w:szCs w:val="22"/>
                <w:lang w:val="es-ES"/>
              </w:rPr>
              <w:t xml:space="preserve"> de Carbono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CO</w:t>
            </w:r>
            <w:r w:rsidRPr="008B4B12">
              <w:rPr>
                <w:rFonts w:ascii="Arial" w:hAnsi="Arial" w:cs="Arial"/>
                <w:b w:val="0"/>
                <w:i/>
                <w:color w:val="000000"/>
                <w:sz w:val="18"/>
                <w:szCs w:val="22"/>
                <w:vertAlign w:val="subscript"/>
                <w:lang w:val="es-ES"/>
              </w:rPr>
              <w:t>2</w:t>
            </w:r>
          </w:p>
        </w:tc>
        <w:tc>
          <w:tcPr>
            <w:tcW w:w="0" w:type="auto"/>
            <w:tcBorders>
              <w:top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Partes por millón</w:t>
            </w:r>
          </w:p>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(ppm)</w:t>
            </w:r>
          </w:p>
        </w:tc>
        <w:tc>
          <w:tcPr>
            <w:tcW w:w="0" w:type="auto"/>
            <w:tcBorders>
              <w:top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~280</w:t>
            </w:r>
          </w:p>
        </w:tc>
        <w:tc>
          <w:tcPr>
            <w:tcW w:w="0" w:type="auto"/>
            <w:tcBorders>
              <w:top w:val="single" w:sz="4" w:space="0" w:color="auto"/>
            </w:tcBorders>
            <w:noWrap/>
            <w:vAlign w:val="center"/>
            <w:hideMark/>
          </w:tcPr>
          <w:p w:rsidR="001D765C" w:rsidRPr="008B4B12" w:rsidRDefault="001D765C" w:rsidP="000B66AB">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39</w:t>
            </w:r>
            <w:r w:rsidR="000B66AB">
              <w:rPr>
                <w:rFonts w:ascii="Arial" w:hAnsi="Arial" w:cs="Arial"/>
                <w:color w:val="000000"/>
                <w:sz w:val="18"/>
                <w:szCs w:val="22"/>
                <w:lang w:val="es-ES"/>
              </w:rPr>
              <w:t>6</w:t>
            </w:r>
          </w:p>
        </w:tc>
        <w:tc>
          <w:tcPr>
            <w:tcW w:w="0" w:type="auto"/>
            <w:tcBorders>
              <w:top w:val="single" w:sz="4" w:space="0" w:color="auto"/>
            </w:tcBorders>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4</w:t>
            </w:r>
            <w:r w:rsidR="000B66AB">
              <w:rPr>
                <w:rFonts w:ascii="Arial" w:hAnsi="Arial" w:cs="Arial"/>
                <w:color w:val="000000"/>
                <w:sz w:val="18"/>
                <w:szCs w:val="22"/>
                <w:lang w:val="es-ES"/>
              </w:rPr>
              <w:t>1</w:t>
            </w:r>
          </w:p>
        </w:tc>
      </w:tr>
      <w:tr w:rsidR="001D765C" w:rsidRPr="008B4B12" w:rsidTr="007023DD">
        <w:trPr>
          <w:trHeight w:val="300"/>
          <w:jc w:val="center"/>
        </w:trPr>
        <w:tc>
          <w:tcPr>
            <w:cnfStyle w:val="001000000000"/>
            <w:tcW w:w="0" w:type="auto"/>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Metano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CH</w:t>
            </w:r>
            <w:r w:rsidRPr="008B4B12">
              <w:rPr>
                <w:rFonts w:ascii="Arial" w:hAnsi="Arial" w:cs="Arial"/>
                <w:b w:val="0"/>
                <w:i/>
                <w:color w:val="000000"/>
                <w:sz w:val="18"/>
                <w:szCs w:val="22"/>
                <w:vertAlign w:val="subscript"/>
                <w:lang w:val="es-ES"/>
              </w:rPr>
              <w:t>4</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 xml:space="preserve">Partes por </w:t>
            </w:r>
            <w:r w:rsidR="00251945">
              <w:rPr>
                <w:rFonts w:ascii="Arial" w:hAnsi="Arial" w:cs="Arial"/>
                <w:color w:val="000000"/>
                <w:sz w:val="18"/>
                <w:szCs w:val="22"/>
                <w:lang w:val="es-ES"/>
              </w:rPr>
              <w:t>mil millones</w:t>
            </w:r>
          </w:p>
          <w:p w:rsidR="001D765C" w:rsidRPr="008B4B12" w:rsidRDefault="001D765C" w:rsidP="00251945">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w:t>
            </w:r>
            <w:r w:rsidR="00251945">
              <w:rPr>
                <w:rFonts w:ascii="Arial" w:hAnsi="Arial" w:cs="Arial"/>
                <w:i/>
                <w:color w:val="000000"/>
                <w:sz w:val="18"/>
                <w:szCs w:val="22"/>
                <w:lang w:val="es-ES"/>
              </w:rPr>
              <w:t>mm</w:t>
            </w:r>
            <w:proofErr w:type="spellEnd"/>
            <w:r w:rsidRPr="008B4B12">
              <w:rPr>
                <w:rFonts w:ascii="Arial" w:hAnsi="Arial" w:cs="Arial"/>
                <w:i/>
                <w:color w:val="000000"/>
                <w:sz w:val="18"/>
                <w:szCs w:val="22"/>
                <w:lang w:val="es-ES"/>
              </w:rPr>
              <w:t>)</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~700</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1874/1758</w:t>
            </w:r>
          </w:p>
        </w:tc>
        <w:tc>
          <w:tcPr>
            <w:tcW w:w="0" w:type="auto"/>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159</w:t>
            </w:r>
          </w:p>
        </w:tc>
      </w:tr>
      <w:tr w:rsidR="001D765C" w:rsidRPr="008B4B12" w:rsidTr="007023DD">
        <w:trPr>
          <w:trHeight w:val="300"/>
          <w:jc w:val="center"/>
        </w:trPr>
        <w:tc>
          <w:tcPr>
            <w:cnfStyle w:val="001000000000"/>
            <w:tcW w:w="0" w:type="auto"/>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Oxido Nitroso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NO</w:t>
            </w:r>
            <w:r w:rsidRPr="008B4B12">
              <w:rPr>
                <w:rFonts w:ascii="Arial" w:hAnsi="Arial" w:cs="Arial"/>
                <w:b w:val="0"/>
                <w:i/>
                <w:color w:val="000000"/>
                <w:sz w:val="18"/>
                <w:szCs w:val="22"/>
                <w:vertAlign w:val="subscript"/>
                <w:lang w:val="es-ES"/>
              </w:rPr>
              <w:t>2</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 xml:space="preserve">Partes por </w:t>
            </w:r>
            <w:r w:rsidR="00251945">
              <w:rPr>
                <w:rFonts w:ascii="Arial" w:hAnsi="Arial" w:cs="Arial"/>
                <w:color w:val="000000"/>
                <w:sz w:val="18"/>
                <w:szCs w:val="22"/>
                <w:lang w:val="es-ES"/>
              </w:rPr>
              <w:t>mil millones</w:t>
            </w:r>
          </w:p>
          <w:p w:rsidR="001D765C" w:rsidRPr="008B4B12" w:rsidRDefault="001D765C" w:rsidP="00251945">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w:t>
            </w:r>
            <w:r w:rsidR="00251945">
              <w:rPr>
                <w:rFonts w:ascii="Arial" w:hAnsi="Arial" w:cs="Arial"/>
                <w:i/>
                <w:color w:val="000000"/>
                <w:sz w:val="18"/>
                <w:szCs w:val="22"/>
                <w:lang w:val="es-ES"/>
              </w:rPr>
              <w:t>mm</w:t>
            </w:r>
            <w:proofErr w:type="spellEnd"/>
            <w:r w:rsidRPr="008B4B12">
              <w:rPr>
                <w:rFonts w:ascii="Arial" w:hAnsi="Arial" w:cs="Arial"/>
                <w:i/>
                <w:color w:val="000000"/>
                <w:sz w:val="18"/>
                <w:szCs w:val="22"/>
                <w:lang w:val="es-ES"/>
              </w:rPr>
              <w:t>)</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~270</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324/323</w:t>
            </w:r>
          </w:p>
        </w:tc>
        <w:tc>
          <w:tcPr>
            <w:tcW w:w="0" w:type="auto"/>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20</w:t>
            </w:r>
          </w:p>
        </w:tc>
      </w:tr>
    </w:tbl>
    <w:p w:rsidR="001D765C" w:rsidRPr="008B4B12" w:rsidRDefault="001D765C" w:rsidP="001D765C">
      <w:pPr>
        <w:ind w:left="1350" w:right="1350"/>
        <w:rPr>
          <w:rFonts w:ascii="Arial" w:hAnsi="Arial" w:cs="Arial"/>
          <w:sz w:val="16"/>
          <w:lang w:val="es-ES"/>
        </w:rPr>
      </w:pPr>
      <w:r w:rsidRPr="008B4B12">
        <w:rPr>
          <w:rFonts w:ascii="Arial" w:hAnsi="Arial" w:cs="Arial"/>
          <w:sz w:val="16"/>
          <w:lang w:val="es-ES"/>
        </w:rPr>
        <w:t xml:space="preserve">Fuente: Elaboración propia con datos de CDIAC, </w:t>
      </w:r>
      <w:proofErr w:type="spellStart"/>
      <w:r w:rsidRPr="008B4B12">
        <w:rPr>
          <w:rFonts w:ascii="Arial" w:hAnsi="Arial" w:cs="Arial"/>
          <w:sz w:val="16"/>
          <w:lang w:val="es-ES"/>
        </w:rPr>
        <w:t>Carbon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Dioxide</w:t>
      </w:r>
      <w:proofErr w:type="spellEnd"/>
      <w:r w:rsidRPr="008B4B12">
        <w:rPr>
          <w:rFonts w:ascii="Arial" w:hAnsi="Arial" w:cs="Arial"/>
          <w:sz w:val="16"/>
          <w:lang w:val="es-ES"/>
        </w:rPr>
        <w:t xml:space="preserve"> </w:t>
      </w:r>
      <w:proofErr w:type="spellStart"/>
      <w:r w:rsidRPr="008B4B12">
        <w:rPr>
          <w:rFonts w:ascii="Arial" w:hAnsi="Arial" w:cs="Arial"/>
          <w:sz w:val="16"/>
          <w:lang w:val="es-ES"/>
        </w:rPr>
        <w:t>Information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Analysis</w:t>
      </w:r>
      <w:proofErr w:type="spellEnd"/>
      <w:r w:rsidRPr="008B4B12">
        <w:rPr>
          <w:rFonts w:ascii="Arial" w:hAnsi="Arial" w:cs="Arial"/>
          <w:sz w:val="16"/>
          <w:lang w:val="es-ES"/>
        </w:rPr>
        <w:t xml:space="preserve"> Center (2013), «</w:t>
      </w:r>
      <w:proofErr w:type="spellStart"/>
      <w:r w:rsidRPr="008B4B12">
        <w:rPr>
          <w:rFonts w:ascii="Arial" w:hAnsi="Arial" w:cs="Arial"/>
          <w:sz w:val="16"/>
          <w:lang w:val="es-ES"/>
        </w:rPr>
        <w:t>Recent</w:t>
      </w:r>
      <w:proofErr w:type="spellEnd"/>
      <w:r w:rsidRPr="008B4B12">
        <w:rPr>
          <w:rFonts w:ascii="Arial" w:hAnsi="Arial" w:cs="Arial"/>
          <w:sz w:val="16"/>
          <w:lang w:val="es-ES"/>
        </w:rPr>
        <w:t xml:space="preserve"> </w:t>
      </w:r>
      <w:proofErr w:type="spellStart"/>
      <w:r w:rsidRPr="008B4B12">
        <w:rPr>
          <w:rFonts w:ascii="Arial" w:hAnsi="Arial" w:cs="Arial"/>
          <w:sz w:val="16"/>
          <w:lang w:val="es-ES"/>
        </w:rPr>
        <w:t>Greenhouse</w:t>
      </w:r>
      <w:proofErr w:type="spellEnd"/>
      <w:r w:rsidRPr="008B4B12">
        <w:rPr>
          <w:rFonts w:ascii="Arial" w:hAnsi="Arial" w:cs="Arial"/>
          <w:sz w:val="16"/>
          <w:lang w:val="es-ES"/>
        </w:rPr>
        <w:t xml:space="preserve"> Gas </w:t>
      </w:r>
      <w:proofErr w:type="spellStart"/>
      <w:r w:rsidRPr="008B4B12">
        <w:rPr>
          <w:rFonts w:ascii="Arial" w:hAnsi="Arial" w:cs="Arial"/>
          <w:sz w:val="16"/>
          <w:lang w:val="es-ES"/>
        </w:rPr>
        <w:t>Concentrations</w:t>
      </w:r>
      <w:proofErr w:type="spellEnd"/>
      <w:r w:rsidRPr="008B4B12">
        <w:rPr>
          <w:rFonts w:ascii="Arial" w:hAnsi="Arial" w:cs="Arial"/>
          <w:sz w:val="16"/>
          <w:lang w:val="es-ES"/>
        </w:rPr>
        <w:t>», [en línea] &lt;http://cdiac.ornl.gov/pns/current_ghg.html&gt; [fecha de consulta: 2 de diciembre de 2013].</w:t>
      </w:r>
    </w:p>
    <w:p w:rsidR="001D765C" w:rsidRDefault="001D765C" w:rsidP="001D765C">
      <w:pPr>
        <w:ind w:left="1350" w:right="1350"/>
        <w:rPr>
          <w:lang w:val="es-ES"/>
        </w:rPr>
      </w:pPr>
      <w:r w:rsidRPr="008B4B12">
        <w:rPr>
          <w:rFonts w:ascii="Arial" w:hAnsi="Arial" w:cs="Arial"/>
          <w:sz w:val="16"/>
          <w:lang w:val="es-ES"/>
        </w:rPr>
        <w:t>Nota: El dato actual de CO</w:t>
      </w:r>
      <w:r w:rsidRPr="008B4B12">
        <w:rPr>
          <w:rFonts w:ascii="Arial" w:hAnsi="Arial" w:cs="Arial"/>
          <w:sz w:val="16"/>
          <w:vertAlign w:val="subscript"/>
          <w:lang w:val="es-ES"/>
        </w:rPr>
        <w:t>2</w:t>
      </w:r>
      <w:r w:rsidRPr="008B4B12">
        <w:rPr>
          <w:rFonts w:ascii="Arial" w:hAnsi="Arial" w:cs="Arial"/>
          <w:sz w:val="16"/>
          <w:lang w:val="es-ES"/>
        </w:rPr>
        <w:t xml:space="preserve"> se refiere a las concentraciones registradas en octubre de 2013 (http://www.esrl.noaa.gov/gmd/ccgg/trends/). Para el caso de los CH</w:t>
      </w:r>
      <w:r w:rsidRPr="008B4B12">
        <w:rPr>
          <w:rFonts w:ascii="Arial" w:hAnsi="Arial" w:cs="Arial"/>
          <w:sz w:val="16"/>
          <w:vertAlign w:val="subscript"/>
          <w:lang w:val="es-ES"/>
        </w:rPr>
        <w:t>4</w:t>
      </w:r>
      <w:r w:rsidRPr="008B4B12">
        <w:rPr>
          <w:rFonts w:ascii="Arial" w:hAnsi="Arial" w:cs="Arial"/>
          <w:sz w:val="16"/>
          <w:lang w:val="es-ES"/>
        </w:rPr>
        <w:t xml:space="preserve"> y NO</w:t>
      </w:r>
      <w:r w:rsidRPr="008B4B12">
        <w:rPr>
          <w:rFonts w:ascii="Arial" w:hAnsi="Arial" w:cs="Arial"/>
          <w:sz w:val="16"/>
          <w:vertAlign w:val="subscript"/>
          <w:lang w:val="es-ES"/>
        </w:rPr>
        <w:t>2</w:t>
      </w:r>
      <w:r w:rsidRPr="008B4B12">
        <w:rPr>
          <w:rFonts w:ascii="Arial" w:hAnsi="Arial" w:cs="Arial"/>
          <w:sz w:val="16"/>
          <w:lang w:val="es-ES"/>
        </w:rPr>
        <w:t xml:space="preserve"> el primer valor representa el registro realizado en Mace Head, Irlanda, (un sitio del hemisferio norte en latitudes medias), y el segundo valor representa el registro realizado en Cabo </w:t>
      </w:r>
      <w:proofErr w:type="spellStart"/>
      <w:r w:rsidRPr="008B4B12">
        <w:rPr>
          <w:rFonts w:ascii="Arial" w:hAnsi="Arial" w:cs="Arial"/>
          <w:sz w:val="16"/>
          <w:lang w:val="es-ES"/>
        </w:rPr>
        <w:t>Grim</w:t>
      </w:r>
      <w:proofErr w:type="spellEnd"/>
      <w:r w:rsidRPr="008B4B12">
        <w:rPr>
          <w:rFonts w:ascii="Arial" w:hAnsi="Arial" w:cs="Arial"/>
          <w:sz w:val="16"/>
          <w:lang w:val="es-ES"/>
        </w:rPr>
        <w:t>, Tasmania (un sitio en el hemisferio sur en latitudes medias), los valores actuales son promedios aritméticos anuales basados ​​en las concentraciones mensuales para el año 2011.</w:t>
      </w:r>
    </w:p>
    <w:p w:rsidR="001D765C" w:rsidRDefault="001D765C" w:rsidP="001D765C">
      <w:pPr>
        <w:ind w:firstLine="360"/>
        <w:rPr>
          <w:lang w:val="es-ES"/>
        </w:rPr>
      </w:pPr>
    </w:p>
    <w:p w:rsidR="001D765C" w:rsidRDefault="001D765C" w:rsidP="0034767A">
      <w:pPr>
        <w:rPr>
          <w:lang w:val="es-ES"/>
        </w:rPr>
      </w:pPr>
    </w:p>
    <w:p w:rsidR="001D765C" w:rsidRPr="0034767A" w:rsidRDefault="001D765C" w:rsidP="0034767A">
      <w:pPr>
        <w:rPr>
          <w:lang w:val="es-ES"/>
        </w:rPr>
      </w:pPr>
    </w:p>
    <w:p w:rsidR="007414A1" w:rsidRPr="007023DD" w:rsidRDefault="007414A1" w:rsidP="0034767A">
      <w:r>
        <w:t>Las concentraciones de CO</w:t>
      </w:r>
      <w:r>
        <w:rPr>
          <w:vertAlign w:val="subscript"/>
        </w:rPr>
        <w:t>2</w:t>
      </w:r>
      <w:r>
        <w:t xml:space="preserve"> en la atmósfera constituyen el principal factor determinante del calentamiento global desde 1750 </w:t>
      </w:r>
      <w:r w:rsidR="002C32F8">
        <w:fldChar w:fldCharType="begin"/>
      </w:r>
      <w:r>
        <w:instrText xml:space="preserve"> ADDIN ZOTERO_ITEM CSL_CITATION {"citationID":"Ip35ozC2","properties":{"formattedCitation":"(IPCC,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fldChar w:fldCharType="separate"/>
      </w:r>
      <w:r w:rsidRPr="007414A1">
        <w:t>(IPCC, 2013)</w:t>
      </w:r>
      <w:r w:rsidR="002C32F8">
        <w:fldChar w:fldCharType="end"/>
      </w:r>
      <w:r w:rsidR="00D3623F">
        <w:t xml:space="preserve"> y su incremento, en general, tiene origen en la quema de combustibles fósiles, la producción de cemento y los cambios en el cobertura de suelos, en particular la deforestación.</w:t>
      </w:r>
      <w:r w:rsidR="007023DD">
        <w:t xml:space="preserve"> Se estima que para 2012 las emisiones</w:t>
      </w:r>
      <w:r w:rsidR="005C324A">
        <w:t xml:space="preserve"> globales</w:t>
      </w:r>
      <w:r w:rsidR="007023DD">
        <w:t xml:space="preserve"> de CO</w:t>
      </w:r>
      <w:r w:rsidR="007023DD" w:rsidRPr="007023DD">
        <w:rPr>
          <w:vertAlign w:val="subscript"/>
        </w:rPr>
        <w:t>2</w:t>
      </w:r>
      <w:r w:rsidR="007023DD">
        <w:t xml:space="preserve"> provenientes de la quema de combustibles fósiles </w:t>
      </w:r>
      <w:r w:rsidR="00D3623F">
        <w:t xml:space="preserve">y la producción de cemento alcanzaron las 9.7 </w:t>
      </w:r>
      <w:proofErr w:type="spellStart"/>
      <w:r w:rsidR="00D3623F">
        <w:t>gigatoneladas</w:t>
      </w:r>
      <w:proofErr w:type="spellEnd"/>
      <w:r w:rsidR="00D3623F">
        <w:t xml:space="preserve"> de carbono (</w:t>
      </w:r>
      <w:proofErr w:type="spellStart"/>
      <w:r w:rsidR="00D3623F">
        <w:t>GtC</w:t>
      </w:r>
      <w:proofErr w:type="spellEnd"/>
      <w:r w:rsidR="00D3623F">
        <w:t>)</w:t>
      </w:r>
      <w:r w:rsidR="00947F16">
        <w:t>, donde alrededor del 43% proviene del uso del carbón, 33% del petróleo, 18% del gas y el resto de la producción de cemento y la combustión de gas. Por otro lado,</w:t>
      </w:r>
      <w:r w:rsidR="00D3623F">
        <w:t xml:space="preserve"> las emisiones generadas derivadas del cambio de uso de suelo alcanzaron las 0.9GtC</w:t>
      </w:r>
      <w:r w:rsidR="00947F16">
        <w:t xml:space="preserve"> </w:t>
      </w:r>
      <w:r w:rsidR="002C32F8">
        <w:fldChar w:fldCharType="begin"/>
      </w:r>
      <w:r w:rsidR="00947F16">
        <w:instrText xml:space="preserve"> ADDIN ZOTERO_ITEM CSL_CITATION {"citationID":"fYBoPI5Z","properties":{"formattedCitation":"{\\rtf (Le Qu\\uc0\\u233{}r\\uc0\\u233{} y otros, 2013)}","plainCitation":"(Le Quéré y otros, 2013)"},"citationItems":[{"id":4678,"uris":["http://zotero.org/users/98373/items/3UKZIQ7M"],"uri":["http://zotero.org/users/98373/items/3UKZIQ7M"],"itemData":{"id":4678,"type":"article-journal","title":"Global carbon budget 2013","container-title":"Earth System Science Data Discussions","page":"689-760","volume":"6","issue":"2","source":"CrossRef","DOI":"10.5194/essdd-6-689-2013","ISSN":"1866-3591","author":[{"family":"Le Quéré","given":"C."},{"family":"Peters","given":"G. P."},{"family":"Andres","given":"R. J."},{"family":"Andrew","given":"R. M."},{"family":"Boden","given":"T."},{"family":"Ciais","given":"P."},{"family":"Friedlingstein","given":"P."},{"family":"Houghton","given":"R. A."},{"family":"Marland","given":"G."},{"family":"Moriarty","given":"R."},{"family":"Sitch","given":"S."},{"family":"Tans","given":"P."},{"family":"Arneth","given":"A."},{"family":"Arvanitis","given":"A."},{"family":"Bakker","given":"D. C. E."},{"family":"Bopp","given":"L."},{"family":"Canadell","given":"J. G."},{"family":"Chini","given":"L. P."},{"family":"Doney","given":"S. C."},{"family":"Harper","given":"A."},{"family":"Harris","given":"I."},{"family":"House","given":"J. I."},{"family":"Jain","given":"A. K."},{"family":"Jones","given":"S. D."},{"family":"Kato","given":"E."},{"family":"Keeling","given":"R. F."},{"family":"Klein Goldewijk","given":"K."},{"family":"Körtzinger","given":"A."},{"family":"Koven","given":"C."},{"family":"Lefèvre","given":"N."},{"family":"Omar","given":"A."},{"family":"Ono","given":"T."},{"family":"Park","given":"G.-H."},{"family":"Pfeil","given":"B."},{"family":"Poulter","given":"B."},{"family":"Raupach","given":"M. R."},{"family":"Regnier","given":"P."},{"family":"Rödenbeck","given":"C."},{"family":"Saito","given":"S."},{"family":"Schwinger","given":"J."},{"family":"Segschneider","given":"J."},{"family":"Stocker","given":"B. D."},{"family":"Tilbrook","given":"B."},{"family":"van Heuven","given":"S."},{"family":"Viovy","given":"N."},{"family":"Wanninkhof","given":"R."},{"family":"Wiltshire","given":"A."},{"family":"Zaehle","given":"S."},{"family":"Yue","given":"C."}],"issued":{"date-parts":[["2013",11,19]]},"accessed":{"date-parts":[["2013",12,5]]}}}],"schema":"https://github.com/citation-style-language/schema/raw/master/csl-citation.json"} </w:instrText>
      </w:r>
      <w:r w:rsidR="002C32F8">
        <w:fldChar w:fldCharType="separate"/>
      </w:r>
      <w:r w:rsidR="00947F16" w:rsidRPr="00947F16">
        <w:rPr>
          <w:szCs w:val="24"/>
        </w:rPr>
        <w:t>(Le Quéré y otros, 2013)</w:t>
      </w:r>
      <w:r w:rsidR="002C32F8">
        <w:fldChar w:fldCharType="end"/>
      </w:r>
      <w:r w:rsidR="00947F16">
        <w:t xml:space="preserve"> (</w:t>
      </w:r>
      <w:r w:rsidR="002C32F8">
        <w:fldChar w:fldCharType="begin"/>
      </w:r>
      <w:r w:rsidR="00947F16">
        <w:instrText xml:space="preserve"> REF _Ref380052050 \h </w:instrText>
      </w:r>
      <w:r w:rsidR="002C32F8">
        <w:fldChar w:fldCharType="separate"/>
      </w:r>
      <w:r w:rsidR="00947F16" w:rsidRPr="00E47A79">
        <w:t xml:space="preserve">Gráfico </w:t>
      </w:r>
      <w:r w:rsidR="00947F16">
        <w:rPr>
          <w:noProof/>
        </w:rPr>
        <w:t>2</w:t>
      </w:r>
      <w:r w:rsidR="002C32F8">
        <w:fldChar w:fldCharType="end"/>
      </w:r>
      <w:r w:rsidR="00947F16">
        <w:t xml:space="preserve">). </w:t>
      </w:r>
    </w:p>
    <w:p w:rsidR="007414A1" w:rsidRDefault="007414A1" w:rsidP="0034767A"/>
    <w:p w:rsidR="00E36ABF" w:rsidRDefault="00E36ABF" w:rsidP="00E36ABF">
      <w:pPr>
        <w:ind w:firstLine="720"/>
      </w:pPr>
      <w:r>
        <w:t>El crecimiento de las emisiones globales de CO</w:t>
      </w:r>
      <w:r w:rsidRPr="00D0066C">
        <w:rPr>
          <w:vertAlign w:val="subscript"/>
        </w:rPr>
        <w:t>2</w:t>
      </w:r>
      <w:r>
        <w:t xml:space="preserve"> provenientes de la quema de combustibles fósiles ha sido, en promedio, de 2.6% anual para el periodo 1960 – 2012, mostrando un mayor crecimiento entre 1960 y 1970, donde crecieron a una tasa anual de 4.7%. En contraste, las emisiones derivadas del cambio de uso de suelo muestran una continua tendencia descendente, disminuyendo un 1.2% en promedio anual para el periodo 1960 – 2012 (</w:t>
      </w:r>
      <w:r w:rsidR="002C32F8">
        <w:fldChar w:fldCharType="begin"/>
      </w:r>
      <w:r>
        <w:instrText xml:space="preserve"> REF _Ref380052915 \h </w:instrText>
      </w:r>
      <w:r w:rsidR="002C32F8">
        <w:fldChar w:fldCharType="separate"/>
      </w:r>
      <w:r w:rsidRPr="00E47A79">
        <w:t xml:space="preserve">Gráfico </w:t>
      </w:r>
      <w:r>
        <w:rPr>
          <w:noProof/>
        </w:rPr>
        <w:t>3</w:t>
      </w:r>
      <w:r w:rsidR="002C32F8">
        <w:fldChar w:fldCharType="end"/>
      </w:r>
      <w:r>
        <w:t xml:space="preserve">). </w:t>
      </w:r>
    </w:p>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811A48" w:rsidTr="00811A48">
        <w:tc>
          <w:tcPr>
            <w:tcW w:w="4788" w:type="dxa"/>
            <w:vAlign w:val="center"/>
          </w:tcPr>
          <w:p w:rsidR="00811A48" w:rsidRDefault="00811A48" w:rsidP="00811A48">
            <w:pPr>
              <w:pStyle w:val="Caption"/>
              <w:spacing w:after="0"/>
              <w:jc w:val="center"/>
              <w:rPr>
                <w:color w:val="auto"/>
              </w:rPr>
            </w:pPr>
            <w:bookmarkStart w:id="1" w:name="_Ref380052050"/>
            <w:r w:rsidRPr="00E47A79">
              <w:rPr>
                <w:color w:val="auto"/>
              </w:rPr>
              <w:t xml:space="preserve">GRÁFICO </w:t>
            </w:r>
            <w:r w:rsidR="002C32F8" w:rsidRPr="00E47A79">
              <w:rPr>
                <w:color w:val="auto"/>
              </w:rPr>
              <w:fldChar w:fldCharType="begin"/>
            </w:r>
            <w:r w:rsidRPr="00E47A79">
              <w:rPr>
                <w:color w:val="auto"/>
              </w:rPr>
              <w:instrText xml:space="preserve"> SEQ GRÁFICO \* ARABIC </w:instrText>
            </w:r>
            <w:r w:rsidR="002C32F8" w:rsidRPr="00E47A79">
              <w:rPr>
                <w:color w:val="auto"/>
              </w:rPr>
              <w:fldChar w:fldCharType="separate"/>
            </w:r>
            <w:r>
              <w:rPr>
                <w:noProof/>
                <w:color w:val="auto"/>
              </w:rPr>
              <w:t>2</w:t>
            </w:r>
            <w:r w:rsidR="002C32F8" w:rsidRPr="00E47A79">
              <w:rPr>
                <w:color w:val="auto"/>
              </w:rPr>
              <w:fldChar w:fldCharType="end"/>
            </w:r>
            <w:bookmarkEnd w:id="1"/>
          </w:p>
          <w:p w:rsidR="00811A48" w:rsidRDefault="00811A48" w:rsidP="00811A48">
            <w:pPr>
              <w:jc w:val="center"/>
              <w:rPr>
                <w:b/>
              </w:rPr>
            </w:pPr>
            <w:r w:rsidRPr="00E47A79">
              <w:rPr>
                <w:b/>
              </w:rPr>
              <w:t xml:space="preserve">MUNDO: EMISIONES DE CO2, 1959 </w:t>
            </w:r>
            <w:r>
              <w:rPr>
                <w:b/>
              </w:rPr>
              <w:t>–</w:t>
            </w:r>
            <w:r w:rsidRPr="00E47A79">
              <w:rPr>
                <w:b/>
              </w:rPr>
              <w:t xml:space="preserve"> 2012</w:t>
            </w:r>
          </w:p>
          <w:p w:rsidR="00811A48" w:rsidRPr="00811A48" w:rsidRDefault="00811A48" w:rsidP="00811A48">
            <w:pPr>
              <w:jc w:val="center"/>
              <w:rPr>
                <w:i/>
              </w:rPr>
            </w:pPr>
            <w:r w:rsidRPr="00E47A79">
              <w:rPr>
                <w:i/>
              </w:rPr>
              <w:t>(</w:t>
            </w:r>
            <w:r>
              <w:rPr>
                <w:i/>
              </w:rPr>
              <w:t>Giga toneladas de carbono</w:t>
            </w:r>
            <w:r w:rsidRPr="00E47A79">
              <w:rPr>
                <w:i/>
              </w:rPr>
              <w:t>)</w:t>
            </w:r>
          </w:p>
        </w:tc>
        <w:tc>
          <w:tcPr>
            <w:tcW w:w="4788" w:type="dxa"/>
            <w:vAlign w:val="center"/>
          </w:tcPr>
          <w:p w:rsidR="00811A48" w:rsidRDefault="00811A48" w:rsidP="00811A48">
            <w:pPr>
              <w:pStyle w:val="Caption"/>
              <w:spacing w:after="0"/>
              <w:jc w:val="center"/>
              <w:rPr>
                <w:color w:val="auto"/>
              </w:rPr>
            </w:pPr>
            <w:bookmarkStart w:id="2" w:name="_Ref380052915"/>
            <w:r w:rsidRPr="00E47A79">
              <w:rPr>
                <w:color w:val="auto"/>
              </w:rPr>
              <w:t xml:space="preserve">GRÁFICO </w:t>
            </w:r>
            <w:r w:rsidR="002C32F8" w:rsidRPr="00E47A79">
              <w:rPr>
                <w:color w:val="auto"/>
              </w:rPr>
              <w:fldChar w:fldCharType="begin"/>
            </w:r>
            <w:r w:rsidRPr="00E47A79">
              <w:rPr>
                <w:color w:val="auto"/>
              </w:rPr>
              <w:instrText xml:space="preserve"> SEQ GRÁFICO \* ARABIC </w:instrText>
            </w:r>
            <w:r w:rsidR="002C32F8" w:rsidRPr="00E47A79">
              <w:rPr>
                <w:color w:val="auto"/>
              </w:rPr>
              <w:fldChar w:fldCharType="separate"/>
            </w:r>
            <w:r>
              <w:rPr>
                <w:noProof/>
                <w:color w:val="auto"/>
              </w:rPr>
              <w:t>3</w:t>
            </w:r>
            <w:r w:rsidR="002C32F8" w:rsidRPr="00E47A79">
              <w:rPr>
                <w:color w:val="auto"/>
              </w:rPr>
              <w:fldChar w:fldCharType="end"/>
            </w:r>
            <w:bookmarkEnd w:id="2"/>
          </w:p>
          <w:p w:rsidR="00811A48" w:rsidRDefault="00811A48" w:rsidP="00811A48">
            <w:pPr>
              <w:jc w:val="center"/>
              <w:rPr>
                <w:b/>
              </w:rPr>
            </w:pPr>
            <w:r w:rsidRPr="00E47A79">
              <w:rPr>
                <w:b/>
              </w:rPr>
              <w:t xml:space="preserve">MUNDO: </w:t>
            </w:r>
            <w:r>
              <w:rPr>
                <w:b/>
              </w:rPr>
              <w:t xml:space="preserve">CRECIENTO DE LAS </w:t>
            </w:r>
            <w:r w:rsidRPr="00E47A79">
              <w:rPr>
                <w:b/>
              </w:rPr>
              <w:t>EMISIONES DE CO</w:t>
            </w:r>
            <w:r w:rsidRPr="005C324A">
              <w:rPr>
                <w:b/>
                <w:vertAlign w:val="subscript"/>
              </w:rPr>
              <w:t>2</w:t>
            </w:r>
            <w:r w:rsidRPr="00E47A79">
              <w:rPr>
                <w:b/>
              </w:rPr>
              <w:t>, 19</w:t>
            </w:r>
            <w:r>
              <w:rPr>
                <w:b/>
              </w:rPr>
              <w:t>60</w:t>
            </w:r>
            <w:r w:rsidRPr="00E47A79">
              <w:rPr>
                <w:b/>
              </w:rPr>
              <w:t xml:space="preserve"> </w:t>
            </w:r>
            <w:r>
              <w:rPr>
                <w:b/>
              </w:rPr>
              <w:t>–</w:t>
            </w:r>
            <w:r w:rsidRPr="00E47A79">
              <w:rPr>
                <w:b/>
              </w:rPr>
              <w:t xml:space="preserve"> 2012</w:t>
            </w:r>
          </w:p>
          <w:p w:rsidR="00811A48" w:rsidRPr="00811A48" w:rsidRDefault="00811A48" w:rsidP="00811A48">
            <w:pPr>
              <w:jc w:val="center"/>
              <w:rPr>
                <w:i/>
              </w:rPr>
            </w:pPr>
            <w:r w:rsidRPr="00E47A79">
              <w:rPr>
                <w:i/>
              </w:rPr>
              <w:t>(</w:t>
            </w:r>
            <w:r>
              <w:rPr>
                <w:i/>
              </w:rPr>
              <w:t>%</w:t>
            </w:r>
            <w:r w:rsidRPr="00E47A79">
              <w:rPr>
                <w:i/>
              </w:rPr>
              <w:t>)</w:t>
            </w:r>
          </w:p>
        </w:tc>
      </w:tr>
      <w:tr w:rsidR="00811A48" w:rsidTr="00811A48">
        <w:tc>
          <w:tcPr>
            <w:tcW w:w="4788" w:type="dxa"/>
          </w:tcPr>
          <w:p w:rsidR="00811A48" w:rsidRDefault="00811A48" w:rsidP="00811A48">
            <w:pPr>
              <w:jc w:val="center"/>
            </w:pPr>
            <w:r w:rsidRPr="00947F16">
              <w:rPr>
                <w:noProof/>
                <w:lang w:val="en-US"/>
              </w:rPr>
              <w:lastRenderedPageBreak/>
              <w:drawing>
                <wp:inline distT="0" distB="0" distL="0" distR="0">
                  <wp:extent cx="2955341" cy="3087015"/>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788" w:type="dxa"/>
          </w:tcPr>
          <w:p w:rsidR="00811A48" w:rsidRDefault="00811A48" w:rsidP="0034767A">
            <w:r w:rsidRPr="00811A48">
              <w:rPr>
                <w:noProof/>
                <w:lang w:val="en-US"/>
              </w:rPr>
              <w:drawing>
                <wp:inline distT="0" distB="0" distL="0" distR="0">
                  <wp:extent cx="2962656" cy="3087015"/>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7414A1" w:rsidRPr="00AD3BBC" w:rsidRDefault="007414A1" w:rsidP="007414A1">
      <w:pPr>
        <w:rPr>
          <w:sz w:val="20"/>
        </w:rPr>
      </w:pPr>
      <w:r w:rsidRPr="00E52D47">
        <w:rPr>
          <w:b/>
        </w:rPr>
        <w:t>Fuente:</w:t>
      </w:r>
      <w:r>
        <w:rPr>
          <w:b/>
        </w:rPr>
        <w:t xml:space="preserve"> </w:t>
      </w:r>
      <w:r w:rsidRPr="004509E7">
        <w:t>Elaboración propia</w:t>
      </w:r>
      <w:r w:rsidR="00D0066C">
        <w:t xml:space="preserve"> con datos provenientes de </w:t>
      </w:r>
      <w:r w:rsidR="00D0066C" w:rsidRPr="00D0066C">
        <w:rPr>
          <w:lang w:val="es-ES"/>
        </w:rPr>
        <w:t xml:space="preserve">Le </w:t>
      </w:r>
      <w:proofErr w:type="spellStart"/>
      <w:r w:rsidR="00D0066C" w:rsidRPr="00D0066C">
        <w:rPr>
          <w:lang w:val="es-ES"/>
        </w:rPr>
        <w:t>Quéré</w:t>
      </w:r>
      <w:proofErr w:type="spellEnd"/>
      <w:r w:rsidR="00D0066C" w:rsidRPr="00D0066C">
        <w:rPr>
          <w:lang w:val="es-ES"/>
        </w:rPr>
        <w:t xml:space="preserve">, C. y otros (2013), «Global </w:t>
      </w:r>
      <w:proofErr w:type="spellStart"/>
      <w:r w:rsidR="00D0066C" w:rsidRPr="00D0066C">
        <w:rPr>
          <w:lang w:val="es-ES"/>
        </w:rPr>
        <w:t>carbon</w:t>
      </w:r>
      <w:proofErr w:type="spellEnd"/>
      <w:r w:rsidR="00D0066C" w:rsidRPr="00D0066C">
        <w:rPr>
          <w:lang w:val="es-ES"/>
        </w:rPr>
        <w:t xml:space="preserve"> </w:t>
      </w:r>
      <w:proofErr w:type="spellStart"/>
      <w:r w:rsidR="00D0066C" w:rsidRPr="00D0066C">
        <w:rPr>
          <w:lang w:val="es-ES"/>
        </w:rPr>
        <w:t>budget</w:t>
      </w:r>
      <w:proofErr w:type="spellEnd"/>
      <w:r w:rsidR="00D0066C" w:rsidRPr="00D0066C">
        <w:rPr>
          <w:lang w:val="es-ES"/>
        </w:rPr>
        <w:t xml:space="preserve"> 2013», </w:t>
      </w:r>
      <w:proofErr w:type="spellStart"/>
      <w:r w:rsidR="00D0066C" w:rsidRPr="00D0066C">
        <w:rPr>
          <w:i/>
          <w:iCs/>
          <w:lang w:val="es-ES"/>
        </w:rPr>
        <w:t>Earth</w:t>
      </w:r>
      <w:proofErr w:type="spellEnd"/>
      <w:r w:rsidR="00D0066C" w:rsidRPr="00D0066C">
        <w:rPr>
          <w:i/>
          <w:iCs/>
          <w:lang w:val="es-ES"/>
        </w:rPr>
        <w:t xml:space="preserve"> </w:t>
      </w:r>
      <w:proofErr w:type="spellStart"/>
      <w:r w:rsidR="00D0066C" w:rsidRPr="00D0066C">
        <w:rPr>
          <w:i/>
          <w:iCs/>
          <w:lang w:val="es-ES"/>
        </w:rPr>
        <w:t>System</w:t>
      </w:r>
      <w:proofErr w:type="spellEnd"/>
      <w:r w:rsidR="00D0066C" w:rsidRPr="00D0066C">
        <w:rPr>
          <w:i/>
          <w:iCs/>
          <w:lang w:val="es-ES"/>
        </w:rPr>
        <w:t xml:space="preserve"> </w:t>
      </w:r>
      <w:proofErr w:type="spellStart"/>
      <w:r w:rsidR="00D0066C" w:rsidRPr="00D0066C">
        <w:rPr>
          <w:i/>
          <w:iCs/>
          <w:lang w:val="es-ES"/>
        </w:rPr>
        <w:t>Science</w:t>
      </w:r>
      <w:proofErr w:type="spellEnd"/>
      <w:r w:rsidR="00D0066C" w:rsidRPr="00D0066C">
        <w:rPr>
          <w:i/>
          <w:iCs/>
          <w:lang w:val="es-ES"/>
        </w:rPr>
        <w:t xml:space="preserve"> Data </w:t>
      </w:r>
      <w:proofErr w:type="spellStart"/>
      <w:r w:rsidR="00D0066C" w:rsidRPr="00D0066C">
        <w:rPr>
          <w:i/>
          <w:iCs/>
          <w:lang w:val="es-ES"/>
        </w:rPr>
        <w:t>Discussions</w:t>
      </w:r>
      <w:proofErr w:type="spellEnd"/>
      <w:r w:rsidR="00D0066C" w:rsidRPr="00D0066C">
        <w:rPr>
          <w:lang w:val="es-ES"/>
        </w:rPr>
        <w:t>, vol. 6, No. 2, 19 de noviembre.</w:t>
      </w:r>
      <w:r>
        <w:rPr>
          <w:b/>
        </w:rPr>
        <w:t xml:space="preserve"> </w:t>
      </w:r>
      <w:r w:rsidRPr="004509E7">
        <w:rPr>
          <w:sz w:val="20"/>
        </w:rPr>
        <w:t xml:space="preserve">Las emisiones relativas a la quema de combustibles fósiles y la producción de cemento proviene de </w:t>
      </w:r>
      <w:proofErr w:type="spellStart"/>
      <w:r w:rsidRPr="004509E7">
        <w:rPr>
          <w:sz w:val="20"/>
        </w:rPr>
        <w:t>Boden</w:t>
      </w:r>
      <w:proofErr w:type="spellEnd"/>
      <w:r w:rsidRPr="004509E7">
        <w:rPr>
          <w:sz w:val="20"/>
        </w:rPr>
        <w:t xml:space="preserve">, T. A., </w:t>
      </w:r>
      <w:proofErr w:type="spellStart"/>
      <w:r w:rsidRPr="004509E7">
        <w:rPr>
          <w:sz w:val="20"/>
        </w:rPr>
        <w:t>Marland</w:t>
      </w:r>
      <w:proofErr w:type="spellEnd"/>
      <w:r w:rsidRPr="004509E7">
        <w:rPr>
          <w:sz w:val="20"/>
        </w:rPr>
        <w:t xml:space="preserve">, G., and </w:t>
      </w:r>
      <w:proofErr w:type="spellStart"/>
      <w:r w:rsidRPr="004509E7">
        <w:rPr>
          <w:sz w:val="20"/>
        </w:rPr>
        <w:t>Andres</w:t>
      </w:r>
      <w:proofErr w:type="spellEnd"/>
      <w:r w:rsidRPr="004509E7">
        <w:rPr>
          <w:sz w:val="20"/>
        </w:rPr>
        <w:t xml:space="preserve">, R. J.: Global, Regional, and </w:t>
      </w:r>
      <w:proofErr w:type="spellStart"/>
      <w:r w:rsidRPr="004509E7">
        <w:rPr>
          <w:sz w:val="20"/>
        </w:rPr>
        <w:t>National</w:t>
      </w:r>
      <w:proofErr w:type="spellEnd"/>
      <w:r w:rsidRPr="004509E7">
        <w:rPr>
          <w:sz w:val="20"/>
        </w:rPr>
        <w:t xml:space="preserve"> </w:t>
      </w:r>
      <w:proofErr w:type="spellStart"/>
      <w:r w:rsidRPr="004509E7">
        <w:rPr>
          <w:sz w:val="20"/>
        </w:rPr>
        <w:t>Fossil</w:t>
      </w:r>
      <w:proofErr w:type="spellEnd"/>
      <w:r w:rsidRPr="004509E7">
        <w:rPr>
          <w:sz w:val="20"/>
        </w:rPr>
        <w:t xml:space="preserve">-Fuel CO2 </w:t>
      </w:r>
      <w:proofErr w:type="spellStart"/>
      <w:r w:rsidRPr="004509E7">
        <w:rPr>
          <w:sz w:val="20"/>
        </w:rPr>
        <w:t>Emissions</w:t>
      </w:r>
      <w:proofErr w:type="spellEnd"/>
      <w:r w:rsidRPr="004509E7">
        <w:rPr>
          <w:sz w:val="20"/>
        </w:rPr>
        <w:t xml:space="preserve">, </w:t>
      </w:r>
      <w:proofErr w:type="spellStart"/>
      <w:r w:rsidRPr="004509E7">
        <w:rPr>
          <w:sz w:val="20"/>
        </w:rPr>
        <w:t>Carbon</w:t>
      </w:r>
      <w:proofErr w:type="spellEnd"/>
      <w:r w:rsidRPr="004509E7">
        <w:rPr>
          <w:sz w:val="20"/>
        </w:rPr>
        <w:t xml:space="preserve"> </w:t>
      </w:r>
      <w:proofErr w:type="spellStart"/>
      <w:r w:rsidRPr="004509E7">
        <w:rPr>
          <w:sz w:val="20"/>
        </w:rPr>
        <w:t>Dioxide</w:t>
      </w:r>
      <w:proofErr w:type="spellEnd"/>
      <w:r w:rsidRPr="004509E7">
        <w:rPr>
          <w:sz w:val="20"/>
        </w:rPr>
        <w:t xml:space="preserve"> </w:t>
      </w:r>
      <w:proofErr w:type="spellStart"/>
      <w:r w:rsidRPr="004509E7">
        <w:rPr>
          <w:sz w:val="20"/>
        </w:rPr>
        <w:t>Information</w:t>
      </w:r>
      <w:proofErr w:type="spellEnd"/>
      <w:r w:rsidRPr="004509E7">
        <w:rPr>
          <w:sz w:val="20"/>
        </w:rPr>
        <w:t xml:space="preserve"> </w:t>
      </w:r>
      <w:proofErr w:type="spellStart"/>
      <w:r w:rsidRPr="004509E7">
        <w:rPr>
          <w:sz w:val="20"/>
        </w:rPr>
        <w:t>Analysis</w:t>
      </w:r>
      <w:proofErr w:type="spellEnd"/>
      <w:r w:rsidRPr="004509E7">
        <w:rPr>
          <w:sz w:val="20"/>
        </w:rPr>
        <w:t xml:space="preserve"> Center, </w:t>
      </w:r>
      <w:proofErr w:type="spellStart"/>
      <w:r w:rsidRPr="004509E7">
        <w:rPr>
          <w:sz w:val="20"/>
        </w:rPr>
        <w:t>Oak</w:t>
      </w:r>
      <w:proofErr w:type="spellEnd"/>
      <w:r w:rsidRPr="004509E7">
        <w:rPr>
          <w:sz w:val="20"/>
        </w:rPr>
        <w:t xml:space="preserve"> Ridge </w:t>
      </w:r>
      <w:proofErr w:type="spellStart"/>
      <w:r w:rsidRPr="004509E7">
        <w:rPr>
          <w:sz w:val="20"/>
        </w:rPr>
        <w:t>National</w:t>
      </w:r>
      <w:proofErr w:type="spellEnd"/>
      <w:r w:rsidRPr="004509E7">
        <w:rPr>
          <w:sz w:val="20"/>
        </w:rPr>
        <w:t xml:space="preserve"> </w:t>
      </w:r>
      <w:proofErr w:type="spellStart"/>
      <w:r w:rsidRPr="004509E7">
        <w:rPr>
          <w:sz w:val="20"/>
        </w:rPr>
        <w:t>Laboratory</w:t>
      </w:r>
      <w:proofErr w:type="spellEnd"/>
      <w:r w:rsidRPr="004509E7">
        <w:rPr>
          <w:sz w:val="20"/>
        </w:rPr>
        <w:t xml:space="preserve">, U.S. </w:t>
      </w:r>
      <w:proofErr w:type="spellStart"/>
      <w:r w:rsidRPr="004509E7">
        <w:rPr>
          <w:sz w:val="20"/>
        </w:rPr>
        <w:t>Department</w:t>
      </w:r>
      <w:proofErr w:type="spellEnd"/>
      <w:r w:rsidRPr="004509E7">
        <w:rPr>
          <w:sz w:val="20"/>
        </w:rPr>
        <w:t xml:space="preserve"> of </w:t>
      </w:r>
      <w:proofErr w:type="spellStart"/>
      <w:r w:rsidRPr="004509E7">
        <w:rPr>
          <w:sz w:val="20"/>
        </w:rPr>
        <w:t>Energy</w:t>
      </w:r>
      <w:proofErr w:type="spellEnd"/>
      <w:r w:rsidRPr="004509E7">
        <w:rPr>
          <w:sz w:val="20"/>
        </w:rPr>
        <w:t xml:space="preserve">, </w:t>
      </w:r>
      <w:proofErr w:type="spellStart"/>
      <w:r w:rsidRPr="004509E7">
        <w:rPr>
          <w:sz w:val="20"/>
        </w:rPr>
        <w:t>Oak</w:t>
      </w:r>
      <w:proofErr w:type="spellEnd"/>
      <w:r w:rsidRPr="004509E7">
        <w:rPr>
          <w:sz w:val="20"/>
        </w:rPr>
        <w:t xml:space="preserve"> Ridge, </w:t>
      </w:r>
      <w:proofErr w:type="spellStart"/>
      <w:r w:rsidRPr="004509E7">
        <w:rPr>
          <w:sz w:val="20"/>
        </w:rPr>
        <w:t>Tenn</w:t>
      </w:r>
      <w:proofErr w:type="spellEnd"/>
      <w:r w:rsidRPr="004509E7">
        <w:rPr>
          <w:sz w:val="20"/>
        </w:rPr>
        <w:t>., U.S.A., 2013.</w:t>
      </w:r>
      <w:r>
        <w:rPr>
          <w:sz w:val="20"/>
        </w:rPr>
        <w:t xml:space="preserve"> Las emisiones  relativas al cambio de uso de suelo provienen de </w:t>
      </w:r>
      <w:proofErr w:type="spellStart"/>
      <w:r w:rsidRPr="004509E7">
        <w:rPr>
          <w:sz w:val="20"/>
        </w:rPr>
        <w:t>Boden</w:t>
      </w:r>
      <w:proofErr w:type="spellEnd"/>
      <w:r w:rsidRPr="004509E7">
        <w:rPr>
          <w:sz w:val="20"/>
        </w:rPr>
        <w:t xml:space="preserve">, T. A., </w:t>
      </w:r>
      <w:proofErr w:type="spellStart"/>
      <w:r w:rsidRPr="004509E7">
        <w:rPr>
          <w:sz w:val="20"/>
        </w:rPr>
        <w:t>Marland</w:t>
      </w:r>
      <w:proofErr w:type="spellEnd"/>
      <w:r w:rsidRPr="004509E7">
        <w:rPr>
          <w:sz w:val="20"/>
        </w:rPr>
        <w:t xml:space="preserve">, G., and </w:t>
      </w:r>
      <w:proofErr w:type="spellStart"/>
      <w:r w:rsidRPr="004509E7">
        <w:rPr>
          <w:sz w:val="20"/>
        </w:rPr>
        <w:t>Andres</w:t>
      </w:r>
      <w:proofErr w:type="spellEnd"/>
      <w:r w:rsidRPr="004509E7">
        <w:rPr>
          <w:sz w:val="20"/>
        </w:rPr>
        <w:t xml:space="preserve">, R. J.: Global, Regional, and </w:t>
      </w:r>
      <w:proofErr w:type="spellStart"/>
      <w:r w:rsidRPr="004509E7">
        <w:rPr>
          <w:sz w:val="20"/>
        </w:rPr>
        <w:t>National</w:t>
      </w:r>
      <w:proofErr w:type="spellEnd"/>
      <w:r w:rsidRPr="004509E7">
        <w:rPr>
          <w:sz w:val="20"/>
        </w:rPr>
        <w:t xml:space="preserve"> </w:t>
      </w:r>
      <w:proofErr w:type="spellStart"/>
      <w:r w:rsidRPr="004509E7">
        <w:rPr>
          <w:sz w:val="20"/>
        </w:rPr>
        <w:t>Fossil</w:t>
      </w:r>
      <w:proofErr w:type="spellEnd"/>
      <w:r w:rsidRPr="004509E7">
        <w:rPr>
          <w:sz w:val="20"/>
        </w:rPr>
        <w:t xml:space="preserve">-Fuel CO2 </w:t>
      </w:r>
      <w:proofErr w:type="spellStart"/>
      <w:r w:rsidRPr="004509E7">
        <w:rPr>
          <w:sz w:val="20"/>
        </w:rPr>
        <w:t>Emissions</w:t>
      </w:r>
      <w:proofErr w:type="spellEnd"/>
      <w:r w:rsidRPr="004509E7">
        <w:rPr>
          <w:sz w:val="20"/>
        </w:rPr>
        <w:t xml:space="preserve">, </w:t>
      </w:r>
      <w:proofErr w:type="spellStart"/>
      <w:r w:rsidRPr="004509E7">
        <w:rPr>
          <w:sz w:val="20"/>
        </w:rPr>
        <w:t>Carbon</w:t>
      </w:r>
      <w:proofErr w:type="spellEnd"/>
      <w:r w:rsidRPr="004509E7">
        <w:rPr>
          <w:sz w:val="20"/>
        </w:rPr>
        <w:t xml:space="preserve"> </w:t>
      </w:r>
      <w:proofErr w:type="spellStart"/>
      <w:r w:rsidRPr="004509E7">
        <w:rPr>
          <w:sz w:val="20"/>
        </w:rPr>
        <w:t>Dioxide</w:t>
      </w:r>
      <w:proofErr w:type="spellEnd"/>
      <w:r w:rsidRPr="004509E7">
        <w:rPr>
          <w:sz w:val="20"/>
        </w:rPr>
        <w:t xml:space="preserve"> </w:t>
      </w:r>
      <w:proofErr w:type="spellStart"/>
      <w:r w:rsidRPr="004509E7">
        <w:rPr>
          <w:sz w:val="20"/>
        </w:rPr>
        <w:t>Information</w:t>
      </w:r>
      <w:proofErr w:type="spellEnd"/>
      <w:r w:rsidRPr="004509E7">
        <w:rPr>
          <w:sz w:val="20"/>
        </w:rPr>
        <w:t xml:space="preserve"> </w:t>
      </w:r>
      <w:proofErr w:type="spellStart"/>
      <w:r w:rsidRPr="004509E7">
        <w:rPr>
          <w:sz w:val="20"/>
        </w:rPr>
        <w:t>Analysis</w:t>
      </w:r>
      <w:proofErr w:type="spellEnd"/>
      <w:r w:rsidRPr="004509E7">
        <w:rPr>
          <w:sz w:val="20"/>
        </w:rPr>
        <w:t xml:space="preserve"> Center, </w:t>
      </w:r>
      <w:proofErr w:type="spellStart"/>
      <w:r w:rsidRPr="004509E7">
        <w:rPr>
          <w:sz w:val="20"/>
        </w:rPr>
        <w:t>Oak</w:t>
      </w:r>
      <w:proofErr w:type="spellEnd"/>
      <w:r w:rsidRPr="004509E7">
        <w:rPr>
          <w:sz w:val="20"/>
        </w:rPr>
        <w:t xml:space="preserve"> Ridge </w:t>
      </w:r>
      <w:proofErr w:type="spellStart"/>
      <w:r w:rsidRPr="004509E7">
        <w:rPr>
          <w:sz w:val="20"/>
        </w:rPr>
        <w:t>National</w:t>
      </w:r>
      <w:proofErr w:type="spellEnd"/>
      <w:r w:rsidRPr="004509E7">
        <w:rPr>
          <w:sz w:val="20"/>
        </w:rPr>
        <w:t xml:space="preserve"> </w:t>
      </w:r>
      <w:proofErr w:type="spellStart"/>
      <w:r w:rsidRPr="004509E7">
        <w:rPr>
          <w:sz w:val="20"/>
        </w:rPr>
        <w:t>Laboratory</w:t>
      </w:r>
      <w:proofErr w:type="spellEnd"/>
      <w:r w:rsidRPr="004509E7">
        <w:rPr>
          <w:sz w:val="20"/>
        </w:rPr>
        <w:t xml:space="preserve">, U.S. </w:t>
      </w:r>
      <w:proofErr w:type="spellStart"/>
      <w:r w:rsidRPr="004509E7">
        <w:rPr>
          <w:sz w:val="20"/>
        </w:rPr>
        <w:t>Department</w:t>
      </w:r>
      <w:proofErr w:type="spellEnd"/>
      <w:r w:rsidRPr="004509E7">
        <w:rPr>
          <w:sz w:val="20"/>
        </w:rPr>
        <w:t xml:space="preserve"> of </w:t>
      </w:r>
      <w:proofErr w:type="spellStart"/>
      <w:r w:rsidRPr="004509E7">
        <w:rPr>
          <w:sz w:val="20"/>
        </w:rPr>
        <w:t>Energy</w:t>
      </w:r>
      <w:proofErr w:type="spellEnd"/>
      <w:r w:rsidRPr="004509E7">
        <w:rPr>
          <w:sz w:val="20"/>
        </w:rPr>
        <w:t xml:space="preserve">, </w:t>
      </w:r>
      <w:proofErr w:type="spellStart"/>
      <w:r w:rsidRPr="004509E7">
        <w:rPr>
          <w:sz w:val="20"/>
        </w:rPr>
        <w:t>Oak</w:t>
      </w:r>
      <w:proofErr w:type="spellEnd"/>
      <w:r w:rsidRPr="004509E7">
        <w:rPr>
          <w:sz w:val="20"/>
        </w:rPr>
        <w:t xml:space="preserve"> Ridge, </w:t>
      </w:r>
      <w:proofErr w:type="spellStart"/>
      <w:r w:rsidRPr="004509E7">
        <w:rPr>
          <w:sz w:val="20"/>
        </w:rPr>
        <w:t>Tenn</w:t>
      </w:r>
      <w:proofErr w:type="spellEnd"/>
      <w:r w:rsidRPr="004509E7">
        <w:rPr>
          <w:sz w:val="20"/>
        </w:rPr>
        <w:t>., U.S.A., 2013.</w:t>
      </w:r>
      <w:r>
        <w:rPr>
          <w:sz w:val="20"/>
        </w:rPr>
        <w:t xml:space="preserve"> </w:t>
      </w:r>
      <w:r w:rsidRPr="00AD3BBC">
        <w:rPr>
          <w:sz w:val="20"/>
        </w:rPr>
        <w:t xml:space="preserve">Las emisiones de cambio de uso de suelo provienen de Houghton, R. A. y J. L. </w:t>
      </w:r>
      <w:proofErr w:type="spellStart"/>
      <w:r w:rsidRPr="00AD3BBC">
        <w:rPr>
          <w:sz w:val="20"/>
        </w:rPr>
        <w:t>Hackler</w:t>
      </w:r>
      <w:proofErr w:type="spellEnd"/>
      <w:r w:rsidRPr="00AD3BBC">
        <w:rPr>
          <w:sz w:val="20"/>
        </w:rPr>
        <w:t xml:space="preserve"> (2013), «</w:t>
      </w:r>
      <w:proofErr w:type="spellStart"/>
      <w:r w:rsidRPr="00AD3BBC">
        <w:rPr>
          <w:sz w:val="20"/>
        </w:rPr>
        <w:t>Annual</w:t>
      </w:r>
      <w:proofErr w:type="spellEnd"/>
      <w:r w:rsidRPr="00AD3BBC">
        <w:rPr>
          <w:sz w:val="20"/>
        </w:rPr>
        <w:t xml:space="preserve"> Flux of </w:t>
      </w:r>
      <w:proofErr w:type="spellStart"/>
      <w:r w:rsidRPr="00AD3BBC">
        <w:rPr>
          <w:sz w:val="20"/>
        </w:rPr>
        <w:t>Carbon</w:t>
      </w:r>
      <w:proofErr w:type="spellEnd"/>
      <w:r w:rsidRPr="00AD3BBC">
        <w:rPr>
          <w:sz w:val="20"/>
        </w:rPr>
        <w:t xml:space="preserve"> </w:t>
      </w:r>
      <w:proofErr w:type="spellStart"/>
      <w:r w:rsidRPr="00AD3BBC">
        <w:rPr>
          <w:sz w:val="20"/>
        </w:rPr>
        <w:t>from</w:t>
      </w:r>
      <w:proofErr w:type="spellEnd"/>
      <w:r w:rsidRPr="00AD3BBC">
        <w:rPr>
          <w:sz w:val="20"/>
        </w:rPr>
        <w:t xml:space="preserve"> </w:t>
      </w:r>
      <w:proofErr w:type="spellStart"/>
      <w:r w:rsidRPr="00AD3BBC">
        <w:rPr>
          <w:sz w:val="20"/>
        </w:rPr>
        <w:t>Land</w:t>
      </w:r>
      <w:proofErr w:type="spellEnd"/>
      <w:r w:rsidRPr="00AD3BBC">
        <w:rPr>
          <w:sz w:val="20"/>
        </w:rPr>
        <w:t xml:space="preserve"> Use and </w:t>
      </w:r>
      <w:proofErr w:type="spellStart"/>
      <w:r w:rsidRPr="00AD3BBC">
        <w:rPr>
          <w:sz w:val="20"/>
        </w:rPr>
        <w:t>Land-Cover</w:t>
      </w:r>
      <w:proofErr w:type="spellEnd"/>
      <w:r w:rsidRPr="00AD3BBC">
        <w:rPr>
          <w:sz w:val="20"/>
        </w:rPr>
        <w:t xml:space="preserve"> </w:t>
      </w:r>
      <w:proofErr w:type="spellStart"/>
      <w:r w:rsidRPr="00AD3BBC">
        <w:rPr>
          <w:sz w:val="20"/>
        </w:rPr>
        <w:t>Change</w:t>
      </w:r>
      <w:proofErr w:type="spellEnd"/>
      <w:r w:rsidRPr="00AD3BBC">
        <w:rPr>
          <w:sz w:val="20"/>
        </w:rPr>
        <w:t xml:space="preserve"> 1850 </w:t>
      </w:r>
      <w:proofErr w:type="spellStart"/>
      <w:r w:rsidRPr="00AD3BBC">
        <w:rPr>
          <w:sz w:val="20"/>
        </w:rPr>
        <w:t>to</w:t>
      </w:r>
      <w:proofErr w:type="spellEnd"/>
      <w:r w:rsidRPr="00AD3BBC">
        <w:rPr>
          <w:sz w:val="20"/>
        </w:rPr>
        <w:t xml:space="preserve"> 2010», </w:t>
      </w:r>
      <w:r w:rsidRPr="00AD3BBC">
        <w:rPr>
          <w:i/>
          <w:iCs/>
          <w:sz w:val="20"/>
        </w:rPr>
        <w:t xml:space="preserve">Global </w:t>
      </w:r>
      <w:proofErr w:type="spellStart"/>
      <w:r w:rsidRPr="00AD3BBC">
        <w:rPr>
          <w:i/>
          <w:iCs/>
          <w:sz w:val="20"/>
        </w:rPr>
        <w:t>Biogeochemical</w:t>
      </w:r>
      <w:proofErr w:type="spellEnd"/>
      <w:r w:rsidRPr="00AD3BBC">
        <w:rPr>
          <w:i/>
          <w:iCs/>
          <w:sz w:val="20"/>
        </w:rPr>
        <w:t xml:space="preserve"> </w:t>
      </w:r>
      <w:proofErr w:type="spellStart"/>
      <w:r w:rsidRPr="00AD3BBC">
        <w:rPr>
          <w:i/>
          <w:iCs/>
          <w:sz w:val="20"/>
        </w:rPr>
        <w:t>Cycles</w:t>
      </w:r>
      <w:proofErr w:type="spellEnd"/>
      <w:r w:rsidRPr="00AD3BBC">
        <w:rPr>
          <w:sz w:val="20"/>
        </w:rPr>
        <w:t xml:space="preserve">, vol. in </w:t>
      </w:r>
      <w:proofErr w:type="spellStart"/>
      <w:r w:rsidRPr="00AD3BBC">
        <w:rPr>
          <w:sz w:val="20"/>
        </w:rPr>
        <w:t>review</w:t>
      </w:r>
      <w:proofErr w:type="spellEnd"/>
      <w:r w:rsidRPr="00AD3BBC">
        <w:rPr>
          <w:sz w:val="20"/>
        </w:rPr>
        <w:t>.</w:t>
      </w:r>
      <w:r w:rsidR="00D0066C">
        <w:rPr>
          <w:sz w:val="20"/>
        </w:rPr>
        <w:t xml:space="preserve"> </w:t>
      </w:r>
    </w:p>
    <w:p w:rsidR="0034767A" w:rsidRDefault="0034767A" w:rsidP="0034767A"/>
    <w:p w:rsidR="005C324A" w:rsidRDefault="005C324A" w:rsidP="0034767A"/>
    <w:p w:rsidR="005C324A" w:rsidRDefault="005C324A" w:rsidP="0034767A"/>
    <w:p w:rsidR="005C324A" w:rsidRDefault="00D655EA" w:rsidP="0034767A">
      <w:r>
        <w:t xml:space="preserve">De esta forma existe evidencia clara de los cambios progresivos en el sistema climático </w:t>
      </w:r>
      <w:r w:rsidR="00D11EFE">
        <w:t xml:space="preserve">e identifican como causa dominante el aumento de las emisiones de GEI generadas por </w:t>
      </w:r>
      <w:r>
        <w:t>las actividades humanas</w:t>
      </w:r>
      <w:r w:rsidR="00D11EFE">
        <w:t xml:space="preserve"> </w:t>
      </w:r>
      <w:r w:rsidR="002C32F8">
        <w:fldChar w:fldCharType="begin"/>
      </w:r>
      <w:r w:rsidR="00D11EFE">
        <w:instrText xml:space="preserve"> ADDIN ZOTERO_ITEM CSL_CITATION {"citationID":"ZqLEHDlv","properties":{"formattedCitation":"(IPCC,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fldChar w:fldCharType="separate"/>
      </w:r>
      <w:r w:rsidR="00D11EFE" w:rsidRPr="00D11EFE">
        <w:t>(IPCC, 2013)</w:t>
      </w:r>
      <w:r w:rsidR="002C32F8">
        <w:fldChar w:fldCharType="end"/>
      </w:r>
      <w:r w:rsidR="00D11EFE">
        <w:t xml:space="preserve">. </w:t>
      </w:r>
      <w:r w:rsidR="002425D3">
        <w:t xml:space="preserve">Es importante entonces considerar los posibles escenarios climáticos futuros, y sus repercusiones, a partir de </w:t>
      </w:r>
      <w:r w:rsidR="00246E6A">
        <w:t>distintas sendas de emisiones</w:t>
      </w:r>
      <w:r w:rsidR="002425D3">
        <w:t>.</w:t>
      </w:r>
      <w:r w:rsidR="00246E6A">
        <w:t xml:space="preserve"> </w:t>
      </w:r>
    </w:p>
    <w:p w:rsidR="005C324A" w:rsidRDefault="005C324A" w:rsidP="0034767A"/>
    <w:p w:rsidR="00D0066C" w:rsidRPr="00D0066C" w:rsidRDefault="00D0066C" w:rsidP="00D0066C">
      <w:pPr>
        <w:jc w:val="center"/>
      </w:pPr>
    </w:p>
    <w:p w:rsidR="007414A1" w:rsidRDefault="007414A1" w:rsidP="0034767A"/>
    <w:p w:rsidR="00107E65" w:rsidRDefault="00107E65" w:rsidP="00CD7CFE">
      <w:pPr>
        <w:rPr>
          <w:lang w:val="es-ES"/>
        </w:rPr>
      </w:pPr>
    </w:p>
    <w:p w:rsidR="00107E65" w:rsidRDefault="00107E65" w:rsidP="00CD7CFE">
      <w:pPr>
        <w:rPr>
          <w:lang w:val="es-ES"/>
        </w:rPr>
      </w:pPr>
    </w:p>
    <w:p w:rsidR="006B5325" w:rsidRDefault="00090471" w:rsidP="00982BB6">
      <w:pPr>
        <w:pStyle w:val="STituloJerarquia2SINnumeral"/>
        <w:numPr>
          <w:ilvl w:val="0"/>
          <w:numId w:val="9"/>
        </w:numPr>
      </w:pPr>
      <w:r>
        <w:t>E</w:t>
      </w:r>
      <w:r w:rsidR="006B5325">
        <w:t xml:space="preserve">scenarios </w:t>
      </w:r>
      <w:r w:rsidR="00811A48">
        <w:t>futuros</w:t>
      </w:r>
    </w:p>
    <w:p w:rsidR="009D2D1D" w:rsidRDefault="009D2D1D" w:rsidP="009D2D1D"/>
    <w:p w:rsidR="002425D3" w:rsidRDefault="002425D3" w:rsidP="002425D3">
      <w:pPr>
        <w:ind w:firstLine="360"/>
      </w:pPr>
      <w:r>
        <w:t>La tendencia observada de emisiones de GEI ocasionar</w:t>
      </w:r>
      <w:r w:rsidR="00EE77D9">
        <w:t>á</w:t>
      </w:r>
      <w:r>
        <w:t xml:space="preserve"> mayores aumentos de temperatura y, por tanto, cambios en los componentes del sistema climático </w:t>
      </w:r>
      <w:r w:rsidR="002C32F8">
        <w:fldChar w:fldCharType="begin"/>
      </w:r>
      <w:r w:rsidR="009271F3">
        <w:instrText xml:space="preserve"> ADDIN ZOTERO_ITEM CSL_CITATION {"citationID":"oNkeoKBF","properties":{"formattedCitation":"(IPCC,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fldChar w:fldCharType="separate"/>
      </w:r>
      <w:r w:rsidR="009271F3" w:rsidRPr="009271F3">
        <w:t>(IPCC, 2013)</w:t>
      </w:r>
      <w:r w:rsidR="002C32F8">
        <w:fldChar w:fldCharType="end"/>
      </w:r>
      <w:r>
        <w:t xml:space="preserve">. Con el objetivo de elaborar proyecciones de cambio climático es </w:t>
      </w:r>
      <w:r w:rsidR="00EE77D9">
        <w:t>fundamental</w:t>
      </w:r>
      <w:r>
        <w:t xml:space="preserve"> contar con </w:t>
      </w:r>
      <w:r w:rsidR="00DF7C55">
        <w:t xml:space="preserve">escenarios de </w:t>
      </w:r>
      <w:r w:rsidR="00EE77D9">
        <w:t xml:space="preserve">emisiones o concentraciones de GEI, </w:t>
      </w:r>
      <w:r w:rsidR="003560C7">
        <w:t>aerosoles</w:t>
      </w:r>
      <w:r w:rsidR="00EE77D9">
        <w:t xml:space="preserve"> y otros factores que afectan al cambio climático. En el Quinto Informe de Evaluación del IPCC se </w:t>
      </w:r>
      <w:r w:rsidR="003560C7">
        <w:t>definieron</w:t>
      </w:r>
      <w:r w:rsidR="00EE77D9">
        <w:t xml:space="preserve"> </w:t>
      </w:r>
      <w:r w:rsidR="003560C7">
        <w:lastRenderedPageBreak/>
        <w:t>cuatro</w:t>
      </w:r>
      <w:r w:rsidR="00EE77D9">
        <w:t xml:space="preserve"> nuevos escenarios, denominados </w:t>
      </w:r>
      <w:r w:rsidR="00543550">
        <w:t>trayectorias de concentración representativas (RCP</w:t>
      </w:r>
      <w:r w:rsidR="0089312B">
        <w:rPr>
          <w:rStyle w:val="FootnoteReference"/>
        </w:rPr>
        <w:footnoteReference w:id="4"/>
      </w:r>
      <w:r w:rsidR="00543550">
        <w:t xml:space="preserve"> por sus siglas en inglés) cuya característica principal es enfocarse en el forzamiento radiativo</w:t>
      </w:r>
      <w:r w:rsidR="00543550">
        <w:rPr>
          <w:rStyle w:val="FootnoteReference"/>
        </w:rPr>
        <w:footnoteReference w:id="5"/>
      </w:r>
      <w:r w:rsidR="00543550">
        <w:t xml:space="preserve"> total en el año 2100 con relación a 1750 (por ejemplo, se calcula que, para 2011 el forzamiento radiativo antropogénico con respecto a 1750 es de 2.29 W</w:t>
      </w:r>
      <w:r w:rsidR="009271F3">
        <w:t xml:space="preserve">atts por </w:t>
      </w:r>
      <w:r w:rsidR="00543550">
        <w:t>m</w:t>
      </w:r>
      <w:r w:rsidR="009271F3">
        <w:t>etro cuadrado (W/m</w:t>
      </w:r>
      <w:r w:rsidR="00543550">
        <w:rPr>
          <w:vertAlign w:val="superscript"/>
        </w:rPr>
        <w:t>2</w:t>
      </w:r>
      <w:r w:rsidR="009271F3" w:rsidRPr="009271F3">
        <w:t>)</w:t>
      </w:r>
      <w:r w:rsidR="00543550">
        <w:t>, lo cual significa aproximadamente mantener dos focos de 1 watt encendidos permanentemente en cada metro cuadrado de la superficie terrestre</w:t>
      </w:r>
      <w:r w:rsidR="009271F3">
        <w:t xml:space="preserve"> </w:t>
      </w:r>
      <w:r w:rsidR="002C32F8">
        <w:fldChar w:fldCharType="begin"/>
      </w:r>
      <w:r w:rsidR="009271F3">
        <w:instrText xml:space="preserve"> ADDIN ZOTERO_ITEM CSL_CITATION {"citationID":"7tmnRhdP","properties":{"formattedCitation":"(Hansen, 2004)","plainCitation":"(Hansen, 2004)"},"citationItems":[{"id":4585,"uris":["http://zotero.org/users/98373/items/XW6JFWD4"],"uri":["http://zotero.org/users/98373/items/XW6JFWD4"],"itemData":{"id":4585,"type":"article-magazine","title":"Defusing the Global Warming Time Bomb","container-title":"Scientific American","abstract":"Global warming is real, and the consequences are potentially disastrous. Nevertheless, practical actions, which would also yield a cleaner, healthier atmosphere, could slow, and eventually stop, the process","URL":"http://www.scientificamerican.com/article.cfm?id=defusing-the-global-warmi","shortTitle":"Defusing the Global Warming Time Bomb","author":[{"family":"Hansen","given":"James"}],"issued":{"date-parts":[["2004",3]]},"accessed":{"date-parts":[["2013",10,3]]}}}],"schema":"https://github.com/citation-style-language/schema/raw/master/csl-citation.json"} </w:instrText>
      </w:r>
      <w:r w:rsidR="002C32F8">
        <w:fldChar w:fldCharType="separate"/>
      </w:r>
      <w:r w:rsidR="009271F3" w:rsidRPr="009271F3">
        <w:t>(Hansen, 2004)</w:t>
      </w:r>
      <w:r w:rsidR="002C32F8">
        <w:fldChar w:fldCharType="end"/>
      </w:r>
      <w:r w:rsidR="00543550">
        <w:t>).</w:t>
      </w:r>
      <w:r w:rsidR="009271F3">
        <w:t xml:space="preserve"> Los cuatro escenarios son el RCP2.6, que supone un forzamiento radiativo de 2.6W/m</w:t>
      </w:r>
      <w:r w:rsidR="009271F3">
        <w:rPr>
          <w:vertAlign w:val="superscript"/>
        </w:rPr>
        <w:t>2</w:t>
      </w:r>
      <w:r w:rsidR="009271F3">
        <w:t>, el RCP4.5 que asume un forzamiento de 4.5W/m</w:t>
      </w:r>
      <w:r w:rsidR="009271F3">
        <w:rPr>
          <w:vertAlign w:val="superscript"/>
        </w:rPr>
        <w:t>2</w:t>
      </w:r>
      <w:r w:rsidR="009271F3">
        <w:t>, y los escenarios RCP6.0 y RCP8.5, que asumen forzamientos de 6</w:t>
      </w:r>
      <w:r w:rsidR="009271F3" w:rsidRPr="009271F3">
        <w:t xml:space="preserve"> </w:t>
      </w:r>
      <w:r w:rsidR="009271F3">
        <w:t>W/m</w:t>
      </w:r>
      <w:r w:rsidR="009271F3">
        <w:rPr>
          <w:vertAlign w:val="superscript"/>
        </w:rPr>
        <w:t>2</w:t>
      </w:r>
      <w:r w:rsidR="009271F3">
        <w:t xml:space="preserve"> y 8.5W/m</w:t>
      </w:r>
      <w:r w:rsidR="009271F3">
        <w:rPr>
          <w:vertAlign w:val="superscript"/>
        </w:rPr>
        <w:t xml:space="preserve">2 </w:t>
      </w:r>
      <w:r w:rsidR="009271F3">
        <w:t>respectivamente.</w:t>
      </w:r>
      <w:r w:rsidR="009E4D7A">
        <w:t xml:space="preserve"> Los escenarios corresponden a un escenario de mitigación </w:t>
      </w:r>
      <w:r w:rsidR="00497605">
        <w:t xml:space="preserve">agresivo, el RCP2.6, dos escenarios de estabilización, RCP4.5 y RCP6.0, y un escenario con niveles muy altos de GEI, el RCP8.5. La ventaja de la construcción de estos escenarios deriva en el potencial de reflejar diversas políticas climáticas y diversos comportamientos de los factores que explican a las emisiones (producción, población, tecnología, etc.). </w:t>
      </w:r>
    </w:p>
    <w:p w:rsidR="00497605" w:rsidRDefault="00497605" w:rsidP="002425D3">
      <w:pPr>
        <w:ind w:firstLine="360"/>
      </w:pPr>
    </w:p>
    <w:p w:rsidR="00497605" w:rsidRPr="009271F3" w:rsidRDefault="00497605" w:rsidP="002425D3">
      <w:pPr>
        <w:ind w:firstLine="360"/>
      </w:pPr>
      <w:r>
        <w:t xml:space="preserve">El nivel de concentraciones asociadas a los escenarios RCP y la comparación con los escenarios presentados en el </w:t>
      </w:r>
      <w:r w:rsidRPr="00497605">
        <w:t>Informes Especiales sobre Escenarios de emisiones</w:t>
      </w:r>
      <w:r w:rsidR="00C5652E">
        <w:t xml:space="preserve"> (SRES)</w:t>
      </w:r>
      <w:r>
        <w:t xml:space="preserve"> </w:t>
      </w:r>
      <w:r w:rsidR="002C32F8">
        <w:fldChar w:fldCharType="begin"/>
      </w:r>
      <w:r>
        <w:instrText xml:space="preserve"> ADDIN ZOTERO_ITEM CSL_CITATION {"citationID":"TLdIlqwm","properties":{"formattedCitation":"{\\rtf (Naki\\uc0\\u263{}enovi\\uc0\\u263{} y Swart, 2000)}","plainCitation":"(Nakićenović y Swart, 2000)"},"citationItems":[{"id":2184,"uris":["http://zotero.org/users/98373/items/ZHXT4AMG"],"uri":["http://zotero.org/users/98373/items/ZHXT4AMG"],"itemData":{"id":2184,"type":"book","title":"Special Report on Emissions Scenarios: A Special Report of Working Group III of the Intergovernmental Panel on Climate Change","publisher":"Cambridge University Press","number-of-pages":"612","source":"Google Books","abstract":"How will the world's climate change in the coming century? The answer depends on how human societies develop in terms of demographics and economic development, technological change, energy supply and demand, and land use change. The Intergovernmental Panel on Climate Change (IPCC) Special Report on Emissions Scenarios describes new future scenarios, and predicts greenhouse gas emissions associated with such developments. The scenarios provide the basis for future assessments of climate change and possible response strategies. This volume constitutes the most comprehensive and state-of-the-art assessment available of greenhouse gas emissions scenarios.","ISBN":"9780521804936","shortTitle":"Special report on emissions scenarios","language":"en","editor":[{"family":"Nakićenović","given":"Nebojša"},{"family":"Swart","given":"Robert"}],"issued":{"date-parts":[["2000",10]]}}}],"schema":"https://github.com/citation-style-language/schema/raw/master/csl-citation.json"} </w:instrText>
      </w:r>
      <w:r w:rsidR="002C32F8">
        <w:fldChar w:fldCharType="separate"/>
      </w:r>
      <w:r w:rsidRPr="00497605">
        <w:rPr>
          <w:szCs w:val="24"/>
        </w:rPr>
        <w:t>(Nakićenović y Swart, 2000)</w:t>
      </w:r>
      <w:r w:rsidR="002C32F8">
        <w:fldChar w:fldCharType="end"/>
      </w:r>
      <w:r>
        <w:t xml:space="preserve">, se muestran en el </w:t>
      </w:r>
      <w:fldSimple w:instr=" REF _Ref380074338 \h  \* MERGEFORMAT ">
        <w:r w:rsidR="00C5652E" w:rsidRPr="00C5652E">
          <w:rPr>
            <w:rFonts w:asciiTheme="minorHAnsi" w:hAnsiTheme="minorHAnsi" w:cstheme="minorHAnsi"/>
          </w:rPr>
          <w:t xml:space="preserve">Cuadro </w:t>
        </w:r>
        <w:r w:rsidR="00C5652E" w:rsidRPr="00C5652E">
          <w:rPr>
            <w:rFonts w:asciiTheme="minorHAnsi" w:hAnsiTheme="minorHAnsi" w:cstheme="minorHAnsi"/>
            <w:noProof/>
          </w:rPr>
          <w:t>2</w:t>
        </w:r>
      </w:fldSimple>
      <w:r w:rsidR="00C5652E">
        <w:rPr>
          <w:rFonts w:asciiTheme="minorHAnsi" w:hAnsiTheme="minorHAnsi" w:cstheme="minorHAnsi"/>
        </w:rPr>
        <w:t>.</w:t>
      </w:r>
      <w:r w:rsidR="002F3F7B">
        <w:rPr>
          <w:rFonts w:asciiTheme="minorHAnsi" w:hAnsiTheme="minorHAnsi" w:cstheme="minorHAnsi"/>
        </w:rPr>
        <w:t xml:space="preserve"> </w:t>
      </w:r>
    </w:p>
    <w:p w:rsidR="002425D3" w:rsidRDefault="002425D3" w:rsidP="006F7D8E"/>
    <w:p w:rsidR="00C5652E" w:rsidRPr="0004426B" w:rsidRDefault="00C5652E" w:rsidP="00C5652E">
      <w:pPr>
        <w:pStyle w:val="Caption"/>
        <w:spacing w:after="0"/>
        <w:jc w:val="center"/>
        <w:rPr>
          <w:rFonts w:ascii="Arial" w:hAnsi="Arial" w:cs="Arial"/>
          <w:color w:val="auto"/>
        </w:rPr>
      </w:pPr>
      <w:bookmarkStart w:id="3" w:name="_Ref380074338"/>
      <w:r w:rsidRPr="0004426B">
        <w:rPr>
          <w:rFonts w:ascii="Arial" w:hAnsi="Arial" w:cs="Arial"/>
          <w:color w:val="auto"/>
        </w:rPr>
        <w:t xml:space="preserve">CUADRO </w:t>
      </w:r>
      <w:r w:rsidR="002C32F8" w:rsidRPr="0004426B">
        <w:rPr>
          <w:rFonts w:ascii="Arial" w:hAnsi="Arial" w:cs="Arial"/>
          <w:color w:val="auto"/>
        </w:rPr>
        <w:fldChar w:fldCharType="begin"/>
      </w:r>
      <w:r w:rsidRPr="0004426B">
        <w:rPr>
          <w:rFonts w:ascii="Arial" w:hAnsi="Arial" w:cs="Arial"/>
          <w:color w:val="auto"/>
        </w:rPr>
        <w:instrText xml:space="preserve"> SEQ CUADRO \* ARABIC </w:instrText>
      </w:r>
      <w:r w:rsidR="002C32F8" w:rsidRPr="0004426B">
        <w:rPr>
          <w:rFonts w:ascii="Arial" w:hAnsi="Arial" w:cs="Arial"/>
          <w:color w:val="auto"/>
        </w:rPr>
        <w:fldChar w:fldCharType="separate"/>
      </w:r>
      <w:r>
        <w:rPr>
          <w:rFonts w:ascii="Arial" w:hAnsi="Arial" w:cs="Arial"/>
          <w:noProof/>
          <w:color w:val="auto"/>
        </w:rPr>
        <w:t>2</w:t>
      </w:r>
      <w:r w:rsidR="002C32F8" w:rsidRPr="0004426B">
        <w:rPr>
          <w:rFonts w:ascii="Arial" w:hAnsi="Arial" w:cs="Arial"/>
          <w:color w:val="auto"/>
        </w:rPr>
        <w:fldChar w:fldCharType="end"/>
      </w:r>
      <w:bookmarkEnd w:id="3"/>
    </w:p>
    <w:p w:rsidR="00C5652E" w:rsidRPr="0004426B" w:rsidRDefault="00C5652E" w:rsidP="00C5652E">
      <w:pPr>
        <w:jc w:val="center"/>
        <w:rPr>
          <w:b/>
        </w:rPr>
      </w:pPr>
      <w:r w:rsidRPr="0004426B">
        <w:rPr>
          <w:rFonts w:ascii="Arial" w:hAnsi="Arial" w:cs="Arial"/>
          <w:b/>
          <w:sz w:val="18"/>
          <w:szCs w:val="18"/>
        </w:rPr>
        <w:t>CONCENTRACIONES ACTUALES DE DIÓXIDO DE CARBONO, METANO Y OXIDO NITROSO EN LA ATMÓSFERA</w:t>
      </w:r>
    </w:p>
    <w:tbl>
      <w:tblPr>
        <w:tblStyle w:val="LightShading3"/>
        <w:tblW w:w="0" w:type="auto"/>
        <w:jc w:val="center"/>
        <w:tblLook w:val="06A0"/>
      </w:tblPr>
      <w:tblGrid>
        <w:gridCol w:w="1077"/>
        <w:gridCol w:w="2097"/>
        <w:gridCol w:w="1677"/>
        <w:gridCol w:w="1837"/>
        <w:gridCol w:w="1317"/>
        <w:gridCol w:w="1207"/>
      </w:tblGrid>
      <w:tr w:rsidR="002F3F7B" w:rsidRPr="00497605" w:rsidTr="00C8233B">
        <w:trPr>
          <w:cnfStyle w:val="100000000000"/>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Escenario</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Forzamiento radiativo</w:t>
            </w:r>
          </w:p>
          <w:p w:rsidR="00C8233B"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 en 2100 con respecto</w:t>
            </w:r>
          </w:p>
          <w:p w:rsidR="002F3F7B" w:rsidRPr="00497605"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 a 1750</w:t>
            </w:r>
          </w:p>
          <w:p w:rsidR="002F3F7B" w:rsidRPr="00497605" w:rsidRDefault="002F3F7B" w:rsidP="00387665">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(W/m</w:t>
            </w:r>
            <w:r w:rsidRPr="002F3F7B">
              <w:rPr>
                <w:rFonts w:asciiTheme="majorHAnsi" w:hAnsiTheme="majorHAnsi" w:cstheme="majorHAnsi"/>
                <w:b w:val="0"/>
                <w:i/>
                <w:color w:val="000000"/>
                <w:sz w:val="18"/>
                <w:szCs w:val="22"/>
                <w:vertAlign w:val="superscript"/>
                <w:lang w:val="es-ES"/>
              </w:rPr>
              <w:t>2</w:t>
            </w:r>
            <w:r w:rsidRPr="002F3F7B">
              <w:rPr>
                <w:rFonts w:asciiTheme="majorHAnsi" w:hAnsiTheme="majorHAnsi" w:cstheme="majorHAnsi"/>
                <w:b w:val="0"/>
                <w:i/>
                <w:color w:val="000000"/>
                <w:sz w:val="18"/>
                <w:szCs w:val="22"/>
                <w:lang w:val="es-ES"/>
              </w:rPr>
              <w:t>)</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Concentraciones </w:t>
            </w:r>
          </w:p>
          <w:p w:rsidR="00C8233B" w:rsidRDefault="002F3F7B" w:rsidP="00387665">
            <w:pPr>
              <w:jc w:val="center"/>
              <w:cnfStyle w:val="100000000000"/>
              <w:rPr>
                <w:rFonts w:asciiTheme="majorHAnsi" w:hAnsiTheme="majorHAnsi" w:cstheme="majorHAnsi"/>
                <w:color w:val="000000"/>
                <w:sz w:val="18"/>
                <w:szCs w:val="22"/>
                <w:vertAlign w:val="subscript"/>
                <w:lang w:val="es-ES"/>
              </w:rPr>
            </w:pPr>
            <w:r>
              <w:rPr>
                <w:rFonts w:asciiTheme="majorHAnsi" w:hAnsiTheme="majorHAnsi" w:cstheme="majorHAnsi"/>
                <w:color w:val="000000"/>
                <w:sz w:val="18"/>
                <w:szCs w:val="22"/>
                <w:lang w:val="es-ES"/>
              </w:rPr>
              <w:t xml:space="preserve">de </w:t>
            </w:r>
            <w:r w:rsidRPr="00497605">
              <w:rPr>
                <w:rFonts w:asciiTheme="majorHAnsi" w:hAnsiTheme="majorHAnsi" w:cstheme="majorHAnsi"/>
                <w:color w:val="000000"/>
                <w:sz w:val="18"/>
                <w:szCs w:val="22"/>
                <w:lang w:val="es-ES"/>
              </w:rPr>
              <w:t>CO</w:t>
            </w:r>
            <w:r w:rsidRPr="00497605">
              <w:rPr>
                <w:rFonts w:asciiTheme="majorHAnsi" w:hAnsiTheme="majorHAnsi" w:cstheme="majorHAnsi"/>
                <w:color w:val="000000"/>
                <w:sz w:val="18"/>
                <w:szCs w:val="22"/>
                <w:vertAlign w:val="subscript"/>
                <w:lang w:val="es-ES"/>
              </w:rPr>
              <w:t>2</w:t>
            </w:r>
          </w:p>
          <w:p w:rsidR="002F3F7B" w:rsidRPr="00C8233B"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vertAlign w:val="subscript"/>
                <w:lang w:val="es-ES"/>
              </w:rPr>
              <w:t xml:space="preserve"> </w:t>
            </w:r>
            <w:r>
              <w:rPr>
                <w:rFonts w:asciiTheme="majorHAnsi" w:hAnsiTheme="majorHAnsi" w:cstheme="majorHAnsi"/>
                <w:color w:val="000000"/>
                <w:sz w:val="18"/>
                <w:szCs w:val="22"/>
                <w:vertAlign w:val="subscript"/>
                <w:lang w:val="es-ES"/>
              </w:rPr>
              <w:softHyphen/>
            </w:r>
            <w:r>
              <w:rPr>
                <w:rFonts w:asciiTheme="majorHAnsi" w:hAnsiTheme="majorHAnsi" w:cstheme="majorHAnsi"/>
                <w:color w:val="000000"/>
                <w:sz w:val="18"/>
                <w:szCs w:val="22"/>
                <w:lang w:val="es-ES"/>
              </w:rPr>
              <w:t>en 2100</w:t>
            </w:r>
          </w:p>
          <w:p w:rsidR="002F3F7B" w:rsidRPr="00497605" w:rsidRDefault="002F3F7B" w:rsidP="00387665">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(ppm)</w:t>
            </w:r>
          </w:p>
        </w:tc>
        <w:tc>
          <w:tcPr>
            <w:tcW w:w="0" w:type="auto"/>
            <w:vAlign w:val="bottom"/>
          </w:tcPr>
          <w:p w:rsidR="00C8233B" w:rsidRDefault="002F3F7B" w:rsidP="002F3F7B">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Concentraciones </w:t>
            </w:r>
          </w:p>
          <w:p w:rsidR="00C8233B" w:rsidRDefault="002F3F7B" w:rsidP="002F3F7B">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de </w:t>
            </w:r>
            <w:r w:rsidRPr="00497605">
              <w:rPr>
                <w:rFonts w:asciiTheme="majorHAnsi" w:hAnsiTheme="majorHAnsi" w:cstheme="majorHAnsi"/>
                <w:color w:val="000000"/>
                <w:sz w:val="18"/>
                <w:szCs w:val="22"/>
                <w:lang w:val="es-ES"/>
              </w:rPr>
              <w:t>CO</w:t>
            </w:r>
            <w:r w:rsidRPr="00497605">
              <w:rPr>
                <w:rFonts w:asciiTheme="majorHAnsi" w:hAnsiTheme="majorHAnsi" w:cstheme="majorHAnsi"/>
                <w:color w:val="000000"/>
                <w:sz w:val="18"/>
                <w:szCs w:val="22"/>
                <w:vertAlign w:val="subscript"/>
                <w:lang w:val="es-ES"/>
              </w:rPr>
              <w:t>2</w:t>
            </w:r>
            <w:r>
              <w:rPr>
                <w:rFonts w:asciiTheme="majorHAnsi" w:hAnsiTheme="majorHAnsi" w:cstheme="majorHAnsi"/>
                <w:color w:val="000000"/>
                <w:sz w:val="18"/>
                <w:szCs w:val="22"/>
                <w:vertAlign w:val="subscript"/>
                <w:lang w:val="es-ES"/>
              </w:rPr>
              <w:t xml:space="preserve"> </w:t>
            </w:r>
            <w:r>
              <w:rPr>
                <w:rFonts w:asciiTheme="majorHAnsi" w:hAnsiTheme="majorHAnsi" w:cstheme="majorHAnsi"/>
                <w:color w:val="000000"/>
                <w:sz w:val="18"/>
                <w:szCs w:val="22"/>
                <w:lang w:val="es-ES"/>
              </w:rPr>
              <w:t>equivalente</w:t>
            </w:r>
          </w:p>
          <w:p w:rsidR="002F3F7B" w:rsidRPr="00C8233B" w:rsidRDefault="00C8233B" w:rsidP="002F3F7B">
            <w:pPr>
              <w:jc w:val="center"/>
              <w:cnfStyle w:val="100000000000"/>
              <w:rPr>
                <w:rFonts w:asciiTheme="majorHAnsi" w:hAnsiTheme="majorHAnsi" w:cstheme="majorHAnsi"/>
                <w:color w:val="000000"/>
                <w:sz w:val="18"/>
                <w:szCs w:val="22"/>
                <w:vertAlign w:val="superscript"/>
                <w:lang w:val="es-ES"/>
              </w:rPr>
            </w:pPr>
            <w:r>
              <w:rPr>
                <w:rFonts w:asciiTheme="majorHAnsi" w:hAnsiTheme="majorHAnsi" w:cstheme="majorHAnsi"/>
                <w:color w:val="000000"/>
                <w:sz w:val="18"/>
                <w:szCs w:val="22"/>
                <w:lang w:val="es-ES"/>
              </w:rPr>
              <w:t xml:space="preserve"> </w:t>
            </w:r>
            <w:r>
              <w:rPr>
                <w:rFonts w:asciiTheme="majorHAnsi" w:hAnsiTheme="majorHAnsi" w:cstheme="majorHAnsi"/>
                <w:color w:val="000000"/>
                <w:sz w:val="18"/>
                <w:szCs w:val="22"/>
                <w:vertAlign w:val="subscript"/>
                <w:lang w:val="es-ES"/>
              </w:rPr>
              <w:softHyphen/>
            </w:r>
            <w:r>
              <w:rPr>
                <w:rFonts w:asciiTheme="majorHAnsi" w:hAnsiTheme="majorHAnsi" w:cstheme="majorHAnsi"/>
                <w:color w:val="000000"/>
                <w:sz w:val="18"/>
                <w:szCs w:val="22"/>
                <w:lang w:val="es-ES"/>
              </w:rPr>
              <w:t>en 2100</w:t>
            </w:r>
            <w:r>
              <w:rPr>
                <w:rFonts w:asciiTheme="majorHAnsi" w:hAnsiTheme="majorHAnsi" w:cstheme="majorHAnsi"/>
                <w:color w:val="000000"/>
                <w:sz w:val="18"/>
                <w:szCs w:val="22"/>
                <w:vertAlign w:val="superscript"/>
                <w:lang w:val="es-ES"/>
              </w:rPr>
              <w:t>a</w:t>
            </w:r>
          </w:p>
          <w:p w:rsidR="002F3F7B" w:rsidRPr="002F3F7B" w:rsidRDefault="002F3F7B" w:rsidP="002F3F7B">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(ppm)</w:t>
            </w:r>
          </w:p>
        </w:tc>
        <w:tc>
          <w:tcPr>
            <w:tcW w:w="0" w:type="auto"/>
            <w:noWrap/>
            <w:vAlign w:val="center"/>
            <w:hideMark/>
          </w:tcPr>
          <w:p w:rsidR="002F3F7B" w:rsidRPr="00497605" w:rsidRDefault="002F3F7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Trayectoria</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SRES</w:t>
            </w:r>
          </w:p>
          <w:p w:rsidR="002F3F7B" w:rsidRPr="00497605"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equivalente</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2.6</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2.6</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421</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475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Mitigación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4.5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4.5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538</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630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Estabilización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B1</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6.0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6.0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670</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800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Estabilización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B2</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8.5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8.5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936</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1313</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Alta</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A1F1</w:t>
            </w:r>
          </w:p>
        </w:tc>
      </w:tr>
    </w:tbl>
    <w:p w:rsidR="002F3F7B" w:rsidRPr="002F3F7B" w:rsidRDefault="002F3F7B" w:rsidP="00387665">
      <w:pPr>
        <w:rPr>
          <w:lang w:val="es-ES"/>
        </w:rPr>
      </w:pPr>
      <w:proofErr w:type="gramStart"/>
      <w:r w:rsidRPr="002F3F7B">
        <w:rPr>
          <w:vertAlign w:val="superscript"/>
          <w:lang w:val="es-ES"/>
        </w:rPr>
        <w:t>a</w:t>
      </w:r>
      <w:proofErr w:type="gramEnd"/>
      <w:r w:rsidRPr="002F3F7B">
        <w:rPr>
          <w:lang w:val="es-ES"/>
        </w:rPr>
        <w:t xml:space="preserve"> Considera las concentraciones de CH</w:t>
      </w:r>
      <w:r w:rsidRPr="002F3F7B">
        <w:rPr>
          <w:vertAlign w:val="subscript"/>
          <w:lang w:val="es-ES"/>
        </w:rPr>
        <w:t>4</w:t>
      </w:r>
      <w:r w:rsidRPr="002F3F7B">
        <w:rPr>
          <w:lang w:val="es-ES"/>
        </w:rPr>
        <w:t xml:space="preserve"> yN</w:t>
      </w:r>
      <w:r w:rsidRPr="002F3F7B">
        <w:rPr>
          <w:vertAlign w:val="subscript"/>
          <w:lang w:val="es-ES"/>
        </w:rPr>
        <w:t>2</w:t>
      </w:r>
      <w:r w:rsidRPr="002F3F7B">
        <w:rPr>
          <w:lang w:val="es-ES"/>
        </w:rPr>
        <w:t>O</w:t>
      </w:r>
      <w:r>
        <w:rPr>
          <w:vertAlign w:val="superscript"/>
          <w:lang w:val="es-ES"/>
        </w:rPr>
        <w:t>.</w:t>
      </w:r>
    </w:p>
    <w:p w:rsidR="00387665" w:rsidRPr="00387665" w:rsidRDefault="00387665" w:rsidP="00387665">
      <w:pPr>
        <w:rPr>
          <w:lang w:val="en-US"/>
        </w:rPr>
      </w:pPr>
      <w:proofErr w:type="spellStart"/>
      <w:r w:rsidRPr="00387665">
        <w:rPr>
          <w:b/>
          <w:lang w:val="en-US"/>
        </w:rPr>
        <w:t>Fuente</w:t>
      </w:r>
      <w:proofErr w:type="spellEnd"/>
      <w:r w:rsidRPr="00387665">
        <w:rPr>
          <w:b/>
          <w:lang w:val="en-US"/>
        </w:rPr>
        <w:t xml:space="preserve">: </w:t>
      </w:r>
      <w:proofErr w:type="spellStart"/>
      <w:r w:rsidRPr="00387665">
        <w:rPr>
          <w:lang w:val="en-US"/>
        </w:rPr>
        <w:t>Elaboración</w:t>
      </w:r>
      <w:proofErr w:type="spellEnd"/>
      <w:r w:rsidRPr="00387665">
        <w:rPr>
          <w:lang w:val="en-US"/>
        </w:rPr>
        <w:t xml:space="preserve"> </w:t>
      </w:r>
      <w:proofErr w:type="spellStart"/>
      <w:r w:rsidRPr="00387665">
        <w:rPr>
          <w:lang w:val="en-US"/>
        </w:rPr>
        <w:t>propia</w:t>
      </w:r>
      <w:proofErr w:type="spellEnd"/>
      <w:r w:rsidRPr="00387665">
        <w:rPr>
          <w:lang w:val="en-US"/>
        </w:rPr>
        <w:t xml:space="preserve"> en base a IPCC, Intergovernmental Panel on Climate Change (2013), «Summary for Policymakers», </w:t>
      </w:r>
      <w:r w:rsidRPr="00387665">
        <w:rPr>
          <w:i/>
          <w:iCs/>
          <w:lang w:val="en-US"/>
        </w:rPr>
        <w:t>Climate Change 2013: The Physical Science Basis. Contribution of Working Group I to the Fifth Assessment Report of the Intergovernmental Panel on Climate Change</w:t>
      </w:r>
      <w:r w:rsidRPr="00387665">
        <w:rPr>
          <w:lang w:val="en-US"/>
        </w:rPr>
        <w:t xml:space="preserve">, </w:t>
      </w:r>
      <w:proofErr w:type="spellStart"/>
      <w:r w:rsidRPr="00387665">
        <w:rPr>
          <w:lang w:val="en-US"/>
        </w:rPr>
        <w:t>eds</w:t>
      </w:r>
      <w:proofErr w:type="spellEnd"/>
      <w:r w:rsidRPr="00387665">
        <w:rPr>
          <w:lang w:val="en-US"/>
        </w:rPr>
        <w:t xml:space="preserve"> T. F. Stocker y </w:t>
      </w:r>
      <w:proofErr w:type="spellStart"/>
      <w:r w:rsidRPr="00387665">
        <w:rPr>
          <w:lang w:val="en-US"/>
        </w:rPr>
        <w:t>otros</w:t>
      </w:r>
      <w:proofErr w:type="spellEnd"/>
      <w:r w:rsidRPr="00387665">
        <w:rPr>
          <w:lang w:val="en-US"/>
        </w:rPr>
        <w:t>, Cambridge, United Kingdom and New York, NY, U</w:t>
      </w:r>
      <w:r>
        <w:rPr>
          <w:lang w:val="en-US"/>
        </w:rPr>
        <w:t xml:space="preserve">SA., Cambridge University Press y </w:t>
      </w:r>
      <w:r w:rsidRPr="00387665">
        <w:rPr>
          <w:lang w:val="en-US"/>
        </w:rPr>
        <w:t xml:space="preserve">Moss, Richard H. y </w:t>
      </w:r>
      <w:proofErr w:type="spellStart"/>
      <w:r w:rsidRPr="00387665">
        <w:rPr>
          <w:lang w:val="en-US"/>
        </w:rPr>
        <w:t>otros</w:t>
      </w:r>
      <w:proofErr w:type="spellEnd"/>
      <w:r w:rsidRPr="00387665">
        <w:rPr>
          <w:lang w:val="en-US"/>
        </w:rPr>
        <w:t xml:space="preserve"> (2008), «Towards New Scenarios for Analysis of Emissions, Climate Change, Impacts, and Response Strategies», Geneva, Intergovernmental Panel on Climate Change, p. 132, </w:t>
      </w:r>
      <w:proofErr w:type="spellStart"/>
      <w:r w:rsidRPr="00387665">
        <w:rPr>
          <w:lang w:val="en-US"/>
        </w:rPr>
        <w:t>octubre</w:t>
      </w:r>
      <w:proofErr w:type="spellEnd"/>
      <w:r w:rsidRPr="00387665">
        <w:rPr>
          <w:lang w:val="en-US"/>
        </w:rPr>
        <w:t>.</w:t>
      </w:r>
    </w:p>
    <w:p w:rsidR="00497605" w:rsidRPr="00387665" w:rsidRDefault="00387665" w:rsidP="006F7D8E">
      <w:pPr>
        <w:rPr>
          <w:lang w:val="en-US"/>
        </w:rPr>
      </w:pPr>
      <w:r w:rsidRPr="00387665">
        <w:rPr>
          <w:lang w:val="en-US"/>
        </w:rPr>
        <w:t xml:space="preserve"> </w:t>
      </w:r>
    </w:p>
    <w:p w:rsidR="002425D3" w:rsidRDefault="002425D3" w:rsidP="006F7D8E">
      <w:pPr>
        <w:rPr>
          <w:lang w:val="en-US"/>
        </w:rPr>
      </w:pPr>
    </w:p>
    <w:p w:rsidR="00C37657" w:rsidRDefault="0089312B" w:rsidP="006F7D8E">
      <w:pPr>
        <w:rPr>
          <w:lang w:val="es-ES"/>
        </w:rPr>
      </w:pPr>
      <w:r w:rsidRPr="0089312B">
        <w:rPr>
          <w:lang w:val="es-ES"/>
        </w:rPr>
        <w:t xml:space="preserve">Los niveles de forzamiento radiativo y de </w:t>
      </w:r>
      <w:r w:rsidR="00E94052" w:rsidRPr="0089312B">
        <w:rPr>
          <w:lang w:val="es-ES"/>
        </w:rPr>
        <w:t>concentraciones</w:t>
      </w:r>
      <w:r w:rsidR="001C1128">
        <w:rPr>
          <w:lang w:val="es-ES"/>
        </w:rPr>
        <w:t xml:space="preserve"> son consistentes con </w:t>
      </w:r>
      <w:r w:rsidR="005C5EA3">
        <w:rPr>
          <w:lang w:val="es-ES"/>
        </w:rPr>
        <w:t>aumentos</w:t>
      </w:r>
      <w:r w:rsidR="001C1128">
        <w:rPr>
          <w:lang w:val="es-ES"/>
        </w:rPr>
        <w:t xml:space="preserve"> de temperatura de entre 1°C y 2°C grados en promedio para mediados del siglo XXI y entre 1°C y 3.7°C  hacia 2100</w:t>
      </w:r>
      <w:r w:rsidR="00DA209F">
        <w:rPr>
          <w:lang w:val="es-ES"/>
        </w:rPr>
        <w:t>, aunque los intervalos probables máximos alcanzan hasta los 4.8</w:t>
      </w:r>
      <w:r w:rsidR="00DA209F">
        <w:rPr>
          <w:rFonts w:ascii="Vrinda" w:hAnsi="Vrinda" w:cs="Vrinda"/>
          <w:lang w:val="es-ES"/>
        </w:rPr>
        <w:t>°</w:t>
      </w:r>
      <w:r w:rsidR="00DA209F">
        <w:rPr>
          <w:lang w:val="es-ES"/>
        </w:rPr>
        <w:t xml:space="preserve">C de </w:t>
      </w:r>
      <w:r w:rsidR="00DA209F" w:rsidRPr="00DA209F">
        <w:rPr>
          <w:rFonts w:asciiTheme="minorHAnsi" w:hAnsiTheme="minorHAnsi" w:cstheme="minorHAnsi"/>
          <w:lang w:val="es-ES"/>
        </w:rPr>
        <w:t>incremento (</w:t>
      </w:r>
      <w:fldSimple w:instr=" REF _Ref380078187 \h  \* MERGEFORMAT ">
        <w:r w:rsidR="00DA209F" w:rsidRPr="00DA209F">
          <w:rPr>
            <w:rFonts w:asciiTheme="minorHAnsi" w:hAnsiTheme="minorHAnsi" w:cstheme="minorHAnsi"/>
          </w:rPr>
          <w:t xml:space="preserve">Cuadro </w:t>
        </w:r>
        <w:r w:rsidR="00DA209F" w:rsidRPr="00DA209F">
          <w:rPr>
            <w:rFonts w:asciiTheme="minorHAnsi" w:hAnsiTheme="minorHAnsi" w:cstheme="minorHAnsi"/>
            <w:noProof/>
          </w:rPr>
          <w:t>3</w:t>
        </w:r>
      </w:fldSimple>
      <w:r w:rsidR="00DA209F" w:rsidRPr="00DA209F">
        <w:rPr>
          <w:rFonts w:asciiTheme="minorHAnsi" w:hAnsiTheme="minorHAnsi" w:cstheme="minorHAnsi"/>
          <w:lang w:val="es-ES"/>
        </w:rPr>
        <w:t>)</w:t>
      </w:r>
      <w:r w:rsidR="001C1128" w:rsidRPr="00DA209F">
        <w:rPr>
          <w:rFonts w:asciiTheme="minorHAnsi" w:hAnsiTheme="minorHAnsi" w:cstheme="minorHAnsi"/>
          <w:lang w:val="es-ES"/>
        </w:rPr>
        <w:t>. Con</w:t>
      </w:r>
      <w:r w:rsidR="001C1128">
        <w:rPr>
          <w:lang w:val="es-ES"/>
        </w:rPr>
        <w:t xml:space="preserve"> lo cual, es probable que, para fines del siglo XXI, el incremento de temperatura de la superficie terrestre con respecto a los niveles observados entre 1850 y 1900 supere los 1.5°C (a excepción del escenario RCP2.6). Es importante notar que para los escenarios RCP4.5, RCP6.0 y RCP8.5 </w:t>
      </w:r>
      <w:r w:rsidR="00DA209F">
        <w:rPr>
          <w:lang w:val="es-ES"/>
        </w:rPr>
        <w:t xml:space="preserve">existe una probabilidad real de superar niveles de 2°C. </w:t>
      </w:r>
      <w:r w:rsidR="0008743C">
        <w:rPr>
          <w:lang w:val="es-ES"/>
        </w:rPr>
        <w:t xml:space="preserve">De hecho, se vincula el escenario RCP2.6 con el escenario donde la temperatura se mantiene por debajo de los </w:t>
      </w:r>
      <w:r w:rsidR="0008743C">
        <w:rPr>
          <w:lang w:val="es-ES"/>
        </w:rPr>
        <w:lastRenderedPageBreak/>
        <w:t xml:space="preserve">2°C con respecto a los niveles pre industriales y el escenario extremo, RCP8.5, se asocia con un aumento igual o mayor a los 4°C </w:t>
      </w:r>
      <w:r w:rsidR="002C32F8">
        <w:rPr>
          <w:lang w:val="es-ES"/>
        </w:rPr>
        <w:fldChar w:fldCharType="begin"/>
      </w:r>
      <w:r w:rsidR="0008743C">
        <w:rPr>
          <w:lang w:val="es-ES"/>
        </w:rPr>
        <w:instrText xml:space="preserve"> ADDIN ZOTERO_ITEM CSL_CITATION {"citationID":"Rm81GkM4","properties":{"formattedCitation":"(World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2C32F8">
        <w:rPr>
          <w:lang w:val="es-ES"/>
        </w:rPr>
        <w:fldChar w:fldCharType="separate"/>
      </w:r>
      <w:r w:rsidR="0008743C" w:rsidRPr="0008743C">
        <w:t>(World Bank, 2013)</w:t>
      </w:r>
      <w:r w:rsidR="002C32F8">
        <w:rPr>
          <w:lang w:val="es-ES"/>
        </w:rPr>
        <w:fldChar w:fldCharType="end"/>
      </w:r>
      <w:r w:rsidR="0008743C">
        <w:rPr>
          <w:lang w:val="es-ES"/>
        </w:rPr>
        <w:t>.</w:t>
      </w:r>
    </w:p>
    <w:p w:rsidR="00E94052" w:rsidRDefault="00E94052" w:rsidP="006F7D8E">
      <w:pPr>
        <w:rPr>
          <w:lang w:val="es-ES"/>
        </w:rPr>
      </w:pPr>
    </w:p>
    <w:p w:rsidR="00E94052" w:rsidRDefault="00E94052" w:rsidP="006F7D8E">
      <w:pPr>
        <w:rPr>
          <w:lang w:val="es-ES"/>
        </w:rPr>
      </w:pPr>
    </w:p>
    <w:p w:rsidR="00263289" w:rsidRDefault="00263289" w:rsidP="006F7D8E">
      <w:pPr>
        <w:rPr>
          <w:lang w:val="es-ES"/>
        </w:rPr>
      </w:pPr>
    </w:p>
    <w:p w:rsidR="00263289" w:rsidRPr="0004426B" w:rsidRDefault="00263289" w:rsidP="00263289">
      <w:pPr>
        <w:pStyle w:val="Caption"/>
        <w:spacing w:after="0"/>
        <w:jc w:val="center"/>
        <w:rPr>
          <w:rFonts w:ascii="Arial" w:hAnsi="Arial" w:cs="Arial"/>
          <w:color w:val="auto"/>
        </w:rPr>
      </w:pPr>
      <w:bookmarkStart w:id="4" w:name="_Ref380078187"/>
      <w:r w:rsidRPr="0004426B">
        <w:rPr>
          <w:rFonts w:ascii="Arial" w:hAnsi="Arial" w:cs="Arial"/>
          <w:color w:val="auto"/>
        </w:rPr>
        <w:t xml:space="preserve">CUADRO </w:t>
      </w:r>
      <w:r w:rsidR="002C32F8" w:rsidRPr="0004426B">
        <w:rPr>
          <w:rFonts w:ascii="Arial" w:hAnsi="Arial" w:cs="Arial"/>
          <w:color w:val="auto"/>
        </w:rPr>
        <w:fldChar w:fldCharType="begin"/>
      </w:r>
      <w:r w:rsidRPr="0004426B">
        <w:rPr>
          <w:rFonts w:ascii="Arial" w:hAnsi="Arial" w:cs="Arial"/>
          <w:color w:val="auto"/>
        </w:rPr>
        <w:instrText xml:space="preserve"> SEQ CUADRO \* ARABIC </w:instrText>
      </w:r>
      <w:r w:rsidR="002C32F8" w:rsidRPr="0004426B">
        <w:rPr>
          <w:rFonts w:ascii="Arial" w:hAnsi="Arial" w:cs="Arial"/>
          <w:color w:val="auto"/>
        </w:rPr>
        <w:fldChar w:fldCharType="separate"/>
      </w:r>
      <w:r>
        <w:rPr>
          <w:rFonts w:ascii="Arial" w:hAnsi="Arial" w:cs="Arial"/>
          <w:noProof/>
          <w:color w:val="auto"/>
        </w:rPr>
        <w:t>3</w:t>
      </w:r>
      <w:r w:rsidR="002C32F8" w:rsidRPr="0004426B">
        <w:rPr>
          <w:rFonts w:ascii="Arial" w:hAnsi="Arial" w:cs="Arial"/>
          <w:color w:val="auto"/>
        </w:rPr>
        <w:fldChar w:fldCharType="end"/>
      </w:r>
      <w:bookmarkEnd w:id="4"/>
    </w:p>
    <w:p w:rsidR="00263289" w:rsidRPr="0004426B" w:rsidRDefault="00263289" w:rsidP="00263289">
      <w:pPr>
        <w:jc w:val="center"/>
        <w:rPr>
          <w:b/>
        </w:rPr>
      </w:pPr>
      <w:r>
        <w:rPr>
          <w:rFonts w:ascii="Arial" w:hAnsi="Arial" w:cs="Arial"/>
          <w:b/>
          <w:sz w:val="18"/>
          <w:szCs w:val="18"/>
        </w:rPr>
        <w:t>Proyección del cambio en la temperatura media global del aire en la superficie y de elevación media mundial del nivel del mar para mediados y finales del siglo XXI, en relación a 1986 – 2005.</w:t>
      </w:r>
    </w:p>
    <w:tbl>
      <w:tblPr>
        <w:tblStyle w:val="LightShading3"/>
        <w:tblW w:w="5000" w:type="pct"/>
        <w:tblLook w:val="06A0"/>
      </w:tblPr>
      <w:tblGrid>
        <w:gridCol w:w="3073"/>
        <w:gridCol w:w="1077"/>
        <w:gridCol w:w="1276"/>
        <w:gridCol w:w="1682"/>
        <w:gridCol w:w="785"/>
        <w:gridCol w:w="1683"/>
      </w:tblGrid>
      <w:tr w:rsidR="00E94052" w:rsidRPr="00013B86" w:rsidTr="00E94052">
        <w:trPr>
          <w:cnfStyle w:val="100000000000"/>
          <w:trHeight w:val="300"/>
        </w:trPr>
        <w:tc>
          <w:tcPr>
            <w:cnfStyle w:val="001000000000"/>
            <w:tcW w:w="1605" w:type="pct"/>
            <w:tcBorders>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100000000000"/>
              <w:rPr>
                <w:rFonts w:asciiTheme="majorHAnsi" w:hAnsiTheme="majorHAnsi" w:cstheme="majorHAnsi"/>
                <w:b w:val="0"/>
                <w:color w:val="000000"/>
                <w:sz w:val="18"/>
                <w:szCs w:val="18"/>
                <w:lang w:val="es-ES"/>
              </w:rPr>
            </w:pPr>
          </w:p>
        </w:tc>
        <w:tc>
          <w:tcPr>
            <w:tcW w:w="1544" w:type="pct"/>
            <w:gridSpan w:val="2"/>
            <w:tcBorders>
              <w:left w:val="single" w:sz="4" w:space="0" w:color="auto"/>
              <w:bottom w:val="single" w:sz="4" w:space="0" w:color="auto"/>
            </w:tcBorders>
            <w:noWrap/>
            <w:vAlign w:val="center"/>
            <w:hideMark/>
          </w:tcPr>
          <w:p w:rsidR="00E94052" w:rsidRPr="00E94052" w:rsidRDefault="00E94052" w:rsidP="00E94052">
            <w:pPr>
              <w:jc w:val="center"/>
              <w:cnfStyle w:val="1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2046 - 2065</w:t>
            </w:r>
          </w:p>
        </w:tc>
        <w:tc>
          <w:tcPr>
            <w:tcW w:w="1289" w:type="pct"/>
            <w:gridSpan w:val="2"/>
            <w:tcBorders>
              <w:bottom w:val="single" w:sz="4" w:space="0" w:color="auto"/>
            </w:tcBorders>
            <w:vAlign w:val="center"/>
          </w:tcPr>
          <w:p w:rsidR="00E94052" w:rsidRPr="00E94052" w:rsidRDefault="00E94052" w:rsidP="00E94052">
            <w:pPr>
              <w:jc w:val="center"/>
              <w:cnfStyle w:val="1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2081 - 2100</w:t>
            </w:r>
          </w:p>
        </w:tc>
      </w:tr>
      <w:tr w:rsidR="00E94052" w:rsidRPr="00013B86" w:rsidTr="00E94052">
        <w:trPr>
          <w:trHeight w:val="300"/>
        </w:trPr>
        <w:tc>
          <w:tcPr>
            <w:cnfStyle w:val="001000000000"/>
            <w:tcW w:w="1605" w:type="pct"/>
            <w:tcBorders>
              <w:top w:val="single" w:sz="4" w:space="0" w:color="auto"/>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Variable</w:t>
            </w:r>
          </w:p>
        </w:tc>
        <w:tc>
          <w:tcPr>
            <w:tcW w:w="562" w:type="pct"/>
            <w:tcBorders>
              <w:top w:val="single" w:sz="4" w:space="0" w:color="auto"/>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Escenario</w:t>
            </w:r>
          </w:p>
        </w:tc>
        <w:tc>
          <w:tcPr>
            <w:tcW w:w="666" w:type="pct"/>
            <w:tcBorders>
              <w:top w:val="single" w:sz="4" w:space="0" w:color="auto"/>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8"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c>
          <w:tcPr>
            <w:tcW w:w="410" w:type="pct"/>
            <w:tcBorders>
              <w:top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9"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r>
      <w:tr w:rsidR="00E94052" w:rsidRPr="00013B86" w:rsidTr="00E94052">
        <w:trPr>
          <w:trHeight w:val="300"/>
        </w:trPr>
        <w:tc>
          <w:tcPr>
            <w:cnfStyle w:val="001000000000"/>
            <w:tcW w:w="1605" w:type="pct"/>
            <w:vMerge w:val="restart"/>
            <w:tcBorders>
              <w:top w:val="single" w:sz="4" w:space="0" w:color="auto"/>
              <w:right w:val="single" w:sz="4" w:space="0" w:color="auto"/>
            </w:tcBorders>
            <w:noWrap/>
            <w:vAlign w:val="center"/>
            <w:hideMark/>
          </w:tcPr>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Cambio en la</w:t>
            </w:r>
          </w:p>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temperatura media</w:t>
            </w:r>
          </w:p>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de la superficie</w:t>
            </w:r>
          </w:p>
          <w:p w:rsidR="00E94052" w:rsidRPr="00E94052" w:rsidRDefault="00E94052" w:rsidP="00E94052">
            <w:pPr>
              <w:jc w:val="center"/>
              <w:rPr>
                <w:rFonts w:asciiTheme="majorHAnsi" w:hAnsiTheme="majorHAnsi" w:cstheme="majorHAnsi"/>
                <w:b w:val="0"/>
                <w:i/>
                <w:color w:val="000000"/>
                <w:sz w:val="18"/>
                <w:szCs w:val="18"/>
                <w:lang w:val="es-ES"/>
              </w:rPr>
            </w:pPr>
            <w:r w:rsidRPr="00E94052">
              <w:rPr>
                <w:rFonts w:asciiTheme="majorHAnsi" w:hAnsiTheme="majorHAnsi" w:cstheme="majorHAnsi"/>
                <w:b w:val="0"/>
                <w:i/>
                <w:color w:val="000000"/>
                <w:sz w:val="18"/>
                <w:szCs w:val="18"/>
                <w:lang w:val="es-ES"/>
              </w:rPr>
              <w:t>(°C)</w:t>
            </w:r>
          </w:p>
        </w:tc>
        <w:tc>
          <w:tcPr>
            <w:tcW w:w="562" w:type="pct"/>
            <w:tcBorders>
              <w:top w:val="single" w:sz="4" w:space="0" w:color="auto"/>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2.6</w:t>
            </w:r>
          </w:p>
        </w:tc>
        <w:tc>
          <w:tcPr>
            <w:tcW w:w="666" w:type="pct"/>
            <w:tcBorders>
              <w:top w:val="single" w:sz="4" w:space="0" w:color="auto"/>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1.0</w:t>
            </w:r>
          </w:p>
        </w:tc>
        <w:tc>
          <w:tcPr>
            <w:tcW w:w="878"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0.4 - 1.6</w:t>
            </w:r>
          </w:p>
        </w:tc>
        <w:tc>
          <w:tcPr>
            <w:tcW w:w="410"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1.0</w:t>
            </w:r>
          </w:p>
        </w:tc>
        <w:tc>
          <w:tcPr>
            <w:tcW w:w="879"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0.3 - 1.7</w:t>
            </w:r>
          </w:p>
        </w:tc>
      </w:tr>
      <w:tr w:rsidR="00E94052" w:rsidRPr="00013B86" w:rsidTr="00E94052">
        <w:trPr>
          <w:trHeight w:val="300"/>
        </w:trPr>
        <w:tc>
          <w:tcPr>
            <w:cnfStyle w:val="001000000000"/>
            <w:tcW w:w="1605" w:type="pct"/>
            <w:vMerge/>
            <w:tcBorders>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4.5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0.9 - 2.0</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1.8</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1.1 - 2.6</w:t>
            </w:r>
          </w:p>
        </w:tc>
      </w:tr>
      <w:tr w:rsidR="00E94052" w:rsidRPr="00013B86" w:rsidTr="00E94052">
        <w:trPr>
          <w:trHeight w:val="300"/>
        </w:trPr>
        <w:tc>
          <w:tcPr>
            <w:cnfStyle w:val="001000000000"/>
            <w:tcW w:w="1605" w:type="pct"/>
            <w:vMerge/>
            <w:tcBorders>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6.0</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1.3</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0.8 - 1.8</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2.2</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1.4 - 3.1</w:t>
            </w:r>
          </w:p>
        </w:tc>
      </w:tr>
      <w:tr w:rsidR="00E94052" w:rsidRPr="00013B86" w:rsidTr="00E94052">
        <w:trPr>
          <w:trHeight w:val="300"/>
        </w:trPr>
        <w:tc>
          <w:tcPr>
            <w:cnfStyle w:val="001000000000"/>
            <w:tcW w:w="1605" w:type="pct"/>
            <w:vMerge/>
            <w:tcBorders>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8.5</w:t>
            </w:r>
          </w:p>
        </w:tc>
        <w:tc>
          <w:tcPr>
            <w:tcW w:w="666" w:type="pct"/>
            <w:tcBorders>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w:t>
            </w:r>
          </w:p>
        </w:tc>
        <w:tc>
          <w:tcPr>
            <w:tcW w:w="878"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1.4 - 2.6</w:t>
            </w:r>
          </w:p>
        </w:tc>
        <w:tc>
          <w:tcPr>
            <w:tcW w:w="410"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3.7</w:t>
            </w:r>
          </w:p>
        </w:tc>
        <w:tc>
          <w:tcPr>
            <w:tcW w:w="879"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2.6 - 4.8</w:t>
            </w:r>
          </w:p>
        </w:tc>
      </w:tr>
      <w:tr w:rsidR="00E94052" w:rsidRPr="00013B86" w:rsidTr="00E94052">
        <w:trPr>
          <w:trHeight w:val="300"/>
        </w:trPr>
        <w:tc>
          <w:tcPr>
            <w:cnfStyle w:val="001000000000"/>
            <w:tcW w:w="1605" w:type="pct"/>
            <w:tcBorders>
              <w:top w:val="single" w:sz="4" w:space="0" w:color="auto"/>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top w:val="single" w:sz="4" w:space="0" w:color="auto"/>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Escenario</w:t>
            </w:r>
          </w:p>
        </w:tc>
        <w:tc>
          <w:tcPr>
            <w:tcW w:w="666" w:type="pct"/>
            <w:tcBorders>
              <w:top w:val="single" w:sz="4" w:space="0" w:color="auto"/>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8"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c>
          <w:tcPr>
            <w:tcW w:w="410" w:type="pct"/>
            <w:tcBorders>
              <w:top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9"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r>
      <w:tr w:rsidR="00E94052" w:rsidRPr="00013B86" w:rsidTr="00E94052">
        <w:trPr>
          <w:trHeight w:val="300"/>
        </w:trPr>
        <w:tc>
          <w:tcPr>
            <w:cnfStyle w:val="001000000000"/>
            <w:tcW w:w="1605" w:type="pct"/>
            <w:vMerge w:val="restart"/>
            <w:tcBorders>
              <w:top w:val="single" w:sz="4" w:space="0" w:color="auto"/>
              <w:right w:val="single" w:sz="4" w:space="0" w:color="auto"/>
            </w:tcBorders>
            <w:noWrap/>
            <w:vAlign w:val="center"/>
            <w:hideMark/>
          </w:tcPr>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Aumento en el nivel</w:t>
            </w:r>
          </w:p>
          <w:p w:rsidR="0065173B"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 xml:space="preserve">medio del mar </w:t>
            </w:r>
          </w:p>
          <w:p w:rsidR="00E94052" w:rsidRPr="00E94052"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b w:val="0"/>
                <w:i/>
                <w:color w:val="000000"/>
                <w:sz w:val="18"/>
                <w:szCs w:val="18"/>
                <w:lang w:val="es-ES"/>
              </w:rPr>
              <w:t>(m</w:t>
            </w:r>
            <w:r w:rsidR="0065173B" w:rsidRPr="00013B86">
              <w:rPr>
                <w:rFonts w:asciiTheme="majorHAnsi" w:hAnsiTheme="majorHAnsi" w:cstheme="majorHAnsi"/>
                <w:b w:val="0"/>
                <w:i/>
                <w:color w:val="000000"/>
                <w:sz w:val="18"/>
                <w:szCs w:val="18"/>
                <w:lang w:val="es-ES"/>
              </w:rPr>
              <w:t>etros</w:t>
            </w:r>
            <w:r w:rsidRPr="00E94052">
              <w:rPr>
                <w:rFonts w:asciiTheme="majorHAnsi" w:hAnsiTheme="majorHAnsi" w:cstheme="majorHAnsi"/>
                <w:b w:val="0"/>
                <w:i/>
                <w:color w:val="000000"/>
                <w:sz w:val="18"/>
                <w:szCs w:val="18"/>
                <w:lang w:val="es-ES"/>
              </w:rPr>
              <w:t>)</w:t>
            </w:r>
          </w:p>
        </w:tc>
        <w:tc>
          <w:tcPr>
            <w:tcW w:w="562" w:type="pct"/>
            <w:tcBorders>
              <w:top w:val="single" w:sz="4" w:space="0" w:color="auto"/>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2.6</w:t>
            </w:r>
          </w:p>
        </w:tc>
        <w:tc>
          <w:tcPr>
            <w:tcW w:w="666" w:type="pct"/>
            <w:tcBorders>
              <w:top w:val="single" w:sz="4" w:space="0" w:color="auto"/>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0.24</w:t>
            </w:r>
          </w:p>
        </w:tc>
        <w:tc>
          <w:tcPr>
            <w:tcW w:w="878"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0.17 - 0.32</w:t>
            </w:r>
          </w:p>
        </w:tc>
        <w:tc>
          <w:tcPr>
            <w:tcW w:w="410"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0.40</w:t>
            </w:r>
          </w:p>
        </w:tc>
        <w:tc>
          <w:tcPr>
            <w:tcW w:w="879"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0.26 - 0.55</w:t>
            </w:r>
          </w:p>
        </w:tc>
      </w:tr>
      <w:tr w:rsidR="00E94052" w:rsidRPr="00013B86" w:rsidTr="00E94052">
        <w:trPr>
          <w:trHeight w:val="300"/>
        </w:trPr>
        <w:tc>
          <w:tcPr>
            <w:cnfStyle w:val="001000000000"/>
            <w:tcW w:w="1605" w:type="pct"/>
            <w:vMerge/>
            <w:tcBorders>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4.5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0.26</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0.19 - 0.33</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0.47</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0.32 - 0.63</w:t>
            </w:r>
          </w:p>
        </w:tc>
      </w:tr>
      <w:tr w:rsidR="00E94052" w:rsidRPr="00013B86" w:rsidTr="00E94052">
        <w:trPr>
          <w:trHeight w:val="300"/>
        </w:trPr>
        <w:tc>
          <w:tcPr>
            <w:cnfStyle w:val="001000000000"/>
            <w:tcW w:w="1605" w:type="pct"/>
            <w:vMerge/>
            <w:tcBorders>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6.0</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0.25</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0.18 - 0.32</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0.48</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0.33 - 0.63</w:t>
            </w:r>
          </w:p>
        </w:tc>
      </w:tr>
      <w:tr w:rsidR="00E94052" w:rsidRPr="00013B86" w:rsidTr="00E94052">
        <w:trPr>
          <w:trHeight w:val="300"/>
        </w:trPr>
        <w:tc>
          <w:tcPr>
            <w:cnfStyle w:val="001000000000"/>
            <w:tcW w:w="1605" w:type="pct"/>
            <w:vMerge/>
            <w:tcBorders>
              <w:bottom w:val="single" w:sz="8" w:space="0" w:color="000000" w:themeColor="text1"/>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bottom w:val="single" w:sz="8" w:space="0" w:color="000000" w:themeColor="text1"/>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8.5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0.30</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0.22 - 0.38</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0.63</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0.45 - 0.82</w:t>
            </w:r>
          </w:p>
        </w:tc>
      </w:tr>
    </w:tbl>
    <w:p w:rsidR="00E94052" w:rsidRPr="00C204E0" w:rsidRDefault="00C204E0" w:rsidP="006F7D8E">
      <w:pPr>
        <w:rPr>
          <w:lang w:val="en-US"/>
        </w:rPr>
      </w:pPr>
      <w:proofErr w:type="spellStart"/>
      <w:r w:rsidRPr="00387665">
        <w:rPr>
          <w:b/>
          <w:lang w:val="en-US"/>
        </w:rPr>
        <w:t>Fuente</w:t>
      </w:r>
      <w:proofErr w:type="spellEnd"/>
      <w:r w:rsidRPr="00387665">
        <w:rPr>
          <w:b/>
          <w:lang w:val="en-US"/>
        </w:rPr>
        <w:t xml:space="preserve">: </w:t>
      </w:r>
      <w:proofErr w:type="spellStart"/>
      <w:r w:rsidRPr="00387665">
        <w:rPr>
          <w:lang w:val="en-US"/>
        </w:rPr>
        <w:t>Elaboración</w:t>
      </w:r>
      <w:proofErr w:type="spellEnd"/>
      <w:r w:rsidRPr="00387665">
        <w:rPr>
          <w:lang w:val="en-US"/>
        </w:rPr>
        <w:t xml:space="preserve"> </w:t>
      </w:r>
      <w:proofErr w:type="spellStart"/>
      <w:r w:rsidRPr="00387665">
        <w:rPr>
          <w:lang w:val="en-US"/>
        </w:rPr>
        <w:t>propia</w:t>
      </w:r>
      <w:proofErr w:type="spellEnd"/>
      <w:r w:rsidRPr="00387665">
        <w:rPr>
          <w:lang w:val="en-US"/>
        </w:rPr>
        <w:t xml:space="preserve"> en base a IPCC, Intergovernmental Panel on Climate Change (2013), «Summary for Policymakers», </w:t>
      </w:r>
      <w:r w:rsidRPr="00387665">
        <w:rPr>
          <w:i/>
          <w:iCs/>
          <w:lang w:val="en-US"/>
        </w:rPr>
        <w:t>Climate Change 2013: The Physical Science Basis. Contribution of Working Group I to the Fifth Assessment Report of the Intergovernmental Panel on Climate Change</w:t>
      </w:r>
      <w:r w:rsidRPr="00387665">
        <w:rPr>
          <w:lang w:val="en-US"/>
        </w:rPr>
        <w:t xml:space="preserve">, </w:t>
      </w:r>
      <w:proofErr w:type="spellStart"/>
      <w:r w:rsidRPr="00387665">
        <w:rPr>
          <w:lang w:val="en-US"/>
        </w:rPr>
        <w:t>eds</w:t>
      </w:r>
      <w:proofErr w:type="spellEnd"/>
      <w:r w:rsidRPr="00387665">
        <w:rPr>
          <w:lang w:val="en-US"/>
        </w:rPr>
        <w:t xml:space="preserve"> T. F. Stocker y </w:t>
      </w:r>
      <w:proofErr w:type="spellStart"/>
      <w:r w:rsidRPr="00387665">
        <w:rPr>
          <w:lang w:val="en-US"/>
        </w:rPr>
        <w:t>otros</w:t>
      </w:r>
      <w:proofErr w:type="spellEnd"/>
      <w:r w:rsidRPr="00387665">
        <w:rPr>
          <w:lang w:val="en-US"/>
        </w:rPr>
        <w:t>, Cambridge, United Kingdom and New York, NY, U</w:t>
      </w:r>
      <w:r>
        <w:rPr>
          <w:lang w:val="en-US"/>
        </w:rPr>
        <w:t>SA., Cambridge University Press.</w:t>
      </w:r>
    </w:p>
    <w:p w:rsidR="00C37657" w:rsidRDefault="00C37657" w:rsidP="006F7D8E">
      <w:pPr>
        <w:rPr>
          <w:lang w:val="en-US"/>
        </w:rPr>
      </w:pPr>
    </w:p>
    <w:p w:rsidR="00C37657" w:rsidRDefault="00D35B53" w:rsidP="00D35B53">
      <w:pPr>
        <w:ind w:firstLine="720"/>
        <w:rPr>
          <w:lang w:val="es-ES"/>
        </w:rPr>
      </w:pPr>
      <w:r>
        <w:rPr>
          <w:lang w:val="es-ES"/>
        </w:rPr>
        <w:t xml:space="preserve">En los  escenarios que consideran un nivel alto de emisiones se incrementa de manera importante la intensidad de días con temperaturas extremas, así como la duración de estas condiciones </w:t>
      </w:r>
      <w:r w:rsidR="002C32F8">
        <w:rPr>
          <w:lang w:val="es-ES"/>
        </w:rPr>
        <w:fldChar w:fldCharType="begin"/>
      </w:r>
      <w:r>
        <w:rPr>
          <w:lang w:val="es-ES"/>
        </w:rPr>
        <w:instrText xml:space="preserve"> ADDIN ZOTERO_ITEM CSL_CITATION {"citationID":"4pXNTYSD","properties":{"formattedCitation":"(World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2C32F8">
        <w:rPr>
          <w:lang w:val="es-ES"/>
        </w:rPr>
        <w:fldChar w:fldCharType="separate"/>
      </w:r>
      <w:r w:rsidRPr="00D35B53">
        <w:t>(World Bank, 2013)</w:t>
      </w:r>
      <w:r w:rsidR="002C32F8">
        <w:rPr>
          <w:lang w:val="es-ES"/>
        </w:rPr>
        <w:fldChar w:fldCharType="end"/>
      </w:r>
      <w:r>
        <w:rPr>
          <w:lang w:val="es-ES"/>
        </w:rPr>
        <w:t>. Por otro lado, la capacidad del aire más cálido de contener más vapor de agua, generará la tendencia de hacer más secas las regiones secas, mientras que las regiones húmedas se volverán más húmedas</w:t>
      </w:r>
      <w:r w:rsidR="008D5F61">
        <w:rPr>
          <w:lang w:val="es-ES"/>
        </w:rPr>
        <w:t xml:space="preserve"> </w:t>
      </w:r>
      <w:r w:rsidR="002C32F8">
        <w:rPr>
          <w:lang w:val="es-ES"/>
        </w:rPr>
        <w:fldChar w:fldCharType="begin"/>
      </w:r>
      <w:r w:rsidR="008D5F61">
        <w:rPr>
          <w:lang w:val="es-ES"/>
        </w:rPr>
        <w:instrText xml:space="preserve"> ADDIN ZOTERO_ITEM CSL_CITATION {"citationID":"YIOgKRjc","properties":{"formattedCitation":"(World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2C32F8">
        <w:rPr>
          <w:lang w:val="es-ES"/>
        </w:rPr>
        <w:fldChar w:fldCharType="separate"/>
      </w:r>
      <w:r w:rsidR="008D5F61" w:rsidRPr="00D35B53">
        <w:t>(World Bank, 2013)</w:t>
      </w:r>
      <w:r w:rsidR="002C32F8">
        <w:rPr>
          <w:lang w:val="es-ES"/>
        </w:rPr>
        <w:fldChar w:fldCharType="end"/>
      </w:r>
      <w:r>
        <w:rPr>
          <w:lang w:val="es-ES"/>
        </w:rPr>
        <w:t>.</w:t>
      </w:r>
      <w:r w:rsidR="008D5F61">
        <w:rPr>
          <w:lang w:val="es-ES"/>
        </w:rPr>
        <w:t xml:space="preserve"> Asimismo, el aumento en la temperatura hará muy probable que la cubierta de hielo Ártico siga decreciendo, al igual que la extensión de los glaciares </w:t>
      </w:r>
      <w:r w:rsidR="002C32F8">
        <w:rPr>
          <w:lang w:val="es-ES"/>
        </w:rPr>
        <w:fldChar w:fldCharType="begin"/>
      </w:r>
      <w:r w:rsidR="008D5F61">
        <w:rPr>
          <w:lang w:val="es-ES"/>
        </w:rPr>
        <w:instrText xml:space="preserve"> ADDIN ZOTERO_ITEM CSL_CITATION {"citationID":"laOnbz9J","properties":{"formattedCitation":"(IPCC,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008D5F61" w:rsidRPr="008D5F61">
        <w:t>(IPCC, 2013)</w:t>
      </w:r>
      <w:r w:rsidR="002C32F8">
        <w:rPr>
          <w:lang w:val="es-ES"/>
        </w:rPr>
        <w:fldChar w:fldCharType="end"/>
      </w:r>
      <w:r w:rsidR="008D5F61">
        <w:rPr>
          <w:lang w:val="es-ES"/>
        </w:rPr>
        <w:t>.</w:t>
      </w:r>
    </w:p>
    <w:p w:rsidR="00D35B53" w:rsidRDefault="00D35B53" w:rsidP="006F7D8E">
      <w:pPr>
        <w:rPr>
          <w:lang w:val="es-ES"/>
        </w:rPr>
      </w:pPr>
    </w:p>
    <w:p w:rsidR="008D5F61" w:rsidRDefault="008D5F61" w:rsidP="008D5F61">
      <w:pPr>
        <w:ind w:firstLine="720"/>
        <w:rPr>
          <w:lang w:val="es-ES"/>
        </w:rPr>
      </w:pPr>
      <w:r>
        <w:rPr>
          <w:lang w:val="es-ES"/>
        </w:rPr>
        <w:t xml:space="preserve">Por otro lado, las proyecciones muestran que el aumento del nivel del mar continuará, y se espera una mayor ritmo de aumento que el experimentado en el periodo 1971 – 2010, esto debido a la expansión oceánica producida por un mayor calentamiento, así como a la pérdida de masa de los glaciares y los mantos de hielo </w:t>
      </w:r>
      <w:r w:rsidR="002C32F8">
        <w:rPr>
          <w:lang w:val="es-ES"/>
        </w:rPr>
        <w:fldChar w:fldCharType="begin"/>
      </w:r>
      <w:r>
        <w:rPr>
          <w:lang w:val="es-ES"/>
        </w:rPr>
        <w:instrText xml:space="preserve"> ADDIN ZOTERO_ITEM CSL_CITATION {"citationID":"laOnbz9J","properties":{"formattedCitation":"(IPCC,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2C32F8">
        <w:rPr>
          <w:lang w:val="es-ES"/>
        </w:rPr>
        <w:fldChar w:fldCharType="separate"/>
      </w:r>
      <w:r w:rsidRPr="008D5F61">
        <w:t>(IPCC, 2013)</w:t>
      </w:r>
      <w:r w:rsidR="002C32F8">
        <w:rPr>
          <w:lang w:val="es-ES"/>
        </w:rPr>
        <w:fldChar w:fldCharType="end"/>
      </w:r>
      <w:r>
        <w:rPr>
          <w:lang w:val="es-ES"/>
        </w:rPr>
        <w:t>.</w:t>
      </w:r>
      <w:r w:rsidR="00375A16">
        <w:rPr>
          <w:lang w:val="es-ES"/>
        </w:rPr>
        <w:t xml:space="preserve"> De esta manera, se espera que un aumento de entre 24 cm. y 30 cm. para mediados de siglo, y de entre 40 cm. y 63 cm. para finales de siglo XXI</w:t>
      </w:r>
      <w:r w:rsidR="002265EB">
        <w:rPr>
          <w:lang w:val="es-ES"/>
        </w:rPr>
        <w:t xml:space="preserve"> </w:t>
      </w:r>
      <w:r w:rsidR="002265EB" w:rsidRPr="00DA209F">
        <w:rPr>
          <w:rFonts w:asciiTheme="minorHAnsi" w:hAnsiTheme="minorHAnsi" w:cstheme="minorHAnsi"/>
          <w:lang w:val="es-ES"/>
        </w:rPr>
        <w:t>(</w:t>
      </w:r>
      <w:fldSimple w:instr=" REF _Ref380078187 \h  \* MERGEFORMAT ">
        <w:r w:rsidR="002265EB" w:rsidRPr="00DA209F">
          <w:rPr>
            <w:rFonts w:asciiTheme="minorHAnsi" w:hAnsiTheme="minorHAnsi" w:cstheme="minorHAnsi"/>
          </w:rPr>
          <w:t xml:space="preserve">Cuadro </w:t>
        </w:r>
        <w:r w:rsidR="002265EB" w:rsidRPr="00DA209F">
          <w:rPr>
            <w:rFonts w:asciiTheme="minorHAnsi" w:hAnsiTheme="minorHAnsi" w:cstheme="minorHAnsi"/>
            <w:noProof/>
          </w:rPr>
          <w:t>3</w:t>
        </w:r>
      </w:fldSimple>
      <w:r w:rsidR="002265EB" w:rsidRPr="00DA209F">
        <w:rPr>
          <w:rFonts w:asciiTheme="minorHAnsi" w:hAnsiTheme="minorHAnsi" w:cstheme="minorHAnsi"/>
          <w:lang w:val="es-ES"/>
        </w:rPr>
        <w:t>)</w:t>
      </w:r>
      <w:r w:rsidR="00375A16">
        <w:rPr>
          <w:lang w:val="es-ES"/>
        </w:rPr>
        <w:t xml:space="preserve">. </w:t>
      </w:r>
      <w:r w:rsidR="002265EB">
        <w:rPr>
          <w:lang w:val="es-ES"/>
        </w:rPr>
        <w:t>Asimismo, la mayor absorción de CO</w:t>
      </w:r>
      <w:r w:rsidR="002265EB" w:rsidRPr="002265EB">
        <w:rPr>
          <w:vertAlign w:val="subscript"/>
          <w:lang w:val="es-ES"/>
        </w:rPr>
        <w:t>2</w:t>
      </w:r>
      <w:r w:rsidR="002265EB">
        <w:rPr>
          <w:lang w:val="es-ES"/>
        </w:rPr>
        <w:t xml:space="preserve"> por parte de los océanos intensificará su acidificación.</w:t>
      </w:r>
    </w:p>
    <w:p w:rsidR="005C5EA3" w:rsidRDefault="005C5EA3" w:rsidP="008D5F61">
      <w:pPr>
        <w:ind w:firstLine="720"/>
        <w:rPr>
          <w:lang w:val="es-ES"/>
        </w:rPr>
      </w:pPr>
    </w:p>
    <w:p w:rsidR="005C5EA3" w:rsidRDefault="005C5EA3" w:rsidP="008D5F61">
      <w:pPr>
        <w:ind w:firstLine="720"/>
        <w:rPr>
          <w:lang w:val="es-ES"/>
        </w:rPr>
      </w:pPr>
      <w:r>
        <w:rPr>
          <w:lang w:val="es-ES"/>
        </w:rPr>
        <w:t>La tendencia de las emisiones actuales sigue muy de cerca la senda relativa al escenario de mayor forzamiento</w:t>
      </w:r>
      <w:r w:rsidR="0008728A">
        <w:rPr>
          <w:lang w:val="es-ES"/>
        </w:rPr>
        <w:t xml:space="preserve"> radiativo, RCP8.5, por lo cual, derivado de la retroalimentación del sistema climático, aún cuando las emisiones fueran reducidas significativamente hay un nivel de calentamiento comprometido (</w:t>
      </w:r>
      <w:r w:rsidR="002C32F8">
        <w:rPr>
          <w:lang w:val="es-ES"/>
        </w:rPr>
        <w:fldChar w:fldCharType="begin"/>
      </w:r>
      <w:r w:rsidR="0008728A">
        <w:rPr>
          <w:lang w:val="es-ES"/>
        </w:rPr>
        <w:instrText xml:space="preserve"> REF _Ref380751840 \h </w:instrText>
      </w:r>
      <w:r w:rsidR="002C32F8">
        <w:rPr>
          <w:lang w:val="es-ES"/>
        </w:rPr>
      </w:r>
      <w:r w:rsidR="002C32F8">
        <w:rPr>
          <w:lang w:val="es-ES"/>
        </w:rPr>
        <w:fldChar w:fldCharType="separate"/>
      </w:r>
      <w:r w:rsidR="0008728A" w:rsidRPr="00E47A79">
        <w:t xml:space="preserve">Gráfico </w:t>
      </w:r>
      <w:r w:rsidR="0008728A">
        <w:rPr>
          <w:noProof/>
        </w:rPr>
        <w:t>4</w:t>
      </w:r>
      <w:r w:rsidR="002C32F8">
        <w:rPr>
          <w:lang w:val="es-ES"/>
        </w:rPr>
        <w:fldChar w:fldCharType="end"/>
      </w:r>
      <w:r w:rsidR="0008728A">
        <w:rPr>
          <w:lang w:val="es-ES"/>
        </w:rPr>
        <w:t xml:space="preserve">). De esta manera, un aumento de 2°C con respecto a los niveles pre industriales para mediados del siglo XXI parece inevitable </w:t>
      </w:r>
      <w:r w:rsidR="002C32F8">
        <w:rPr>
          <w:lang w:val="es-ES"/>
        </w:rPr>
        <w:fldChar w:fldCharType="begin"/>
      </w:r>
      <w:r w:rsidR="0008728A">
        <w:rPr>
          <w:lang w:val="es-ES"/>
        </w:rPr>
        <w:instrText xml:space="preserve"> ADDIN ZOTERO_ITEM CSL_CITATION {"citationID":"5OEa3GtV","properties":{"formattedCitation":"(Vergara y otros, 2013)","plainCitation":"(Vergara y otros, 2013)"},"citationItems":[{"id":4647,"uris":["http://zotero.org/users/98373/items/6BQAJGWV"],"uri":["http://zotero.org/users/98373/items/6BQAJGWV"],"itemData":{"id":4647,"type":"book","title":"The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2C32F8">
        <w:rPr>
          <w:lang w:val="es-ES"/>
        </w:rPr>
        <w:fldChar w:fldCharType="separate"/>
      </w:r>
      <w:r w:rsidR="0008728A" w:rsidRPr="0008728A">
        <w:t>(Vergara y otros, 2013)</w:t>
      </w:r>
      <w:r w:rsidR="002C32F8">
        <w:rPr>
          <w:lang w:val="es-ES"/>
        </w:rPr>
        <w:fldChar w:fldCharType="end"/>
      </w:r>
      <w:r w:rsidR="0008728A">
        <w:rPr>
          <w:lang w:val="es-ES"/>
        </w:rPr>
        <w:t>. Es importante notar que los cambios predichos, y observados, en el sistema climático se manifiestan con distintas intensidades en las diversas regiones del planeta.</w:t>
      </w: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Default="005C5EA3" w:rsidP="008D5F61">
      <w:pPr>
        <w:ind w:firstLine="720"/>
        <w:rPr>
          <w:lang w:val="es-ES"/>
        </w:rPr>
      </w:pPr>
    </w:p>
    <w:p w:rsidR="005C5EA3" w:rsidRPr="00DC1BC3" w:rsidRDefault="005C5EA3" w:rsidP="005C5EA3">
      <w:pPr>
        <w:pStyle w:val="Caption"/>
        <w:spacing w:after="0"/>
        <w:jc w:val="center"/>
        <w:rPr>
          <w:color w:val="auto"/>
          <w:sz w:val="20"/>
          <w:szCs w:val="20"/>
        </w:rPr>
      </w:pPr>
      <w:bookmarkStart w:id="5" w:name="_Ref380751840"/>
      <w:r w:rsidRPr="00DC1BC3">
        <w:rPr>
          <w:color w:val="auto"/>
          <w:sz w:val="20"/>
          <w:szCs w:val="20"/>
        </w:rPr>
        <w:t xml:space="preserve">GRÁFICO </w:t>
      </w:r>
      <w:r w:rsidR="002C32F8" w:rsidRPr="00DC1BC3">
        <w:rPr>
          <w:color w:val="auto"/>
          <w:sz w:val="20"/>
          <w:szCs w:val="20"/>
        </w:rPr>
        <w:fldChar w:fldCharType="begin"/>
      </w:r>
      <w:r w:rsidRPr="00DC1BC3">
        <w:rPr>
          <w:color w:val="auto"/>
          <w:sz w:val="20"/>
          <w:szCs w:val="20"/>
        </w:rPr>
        <w:instrText xml:space="preserve"> SEQ GRÁFICO \* ARABIC </w:instrText>
      </w:r>
      <w:r w:rsidR="002C32F8" w:rsidRPr="00DC1BC3">
        <w:rPr>
          <w:color w:val="auto"/>
          <w:sz w:val="20"/>
          <w:szCs w:val="20"/>
        </w:rPr>
        <w:fldChar w:fldCharType="separate"/>
      </w:r>
      <w:r w:rsidRPr="00DC1BC3">
        <w:rPr>
          <w:noProof/>
          <w:color w:val="auto"/>
          <w:sz w:val="20"/>
          <w:szCs w:val="20"/>
        </w:rPr>
        <w:t>4</w:t>
      </w:r>
      <w:r w:rsidR="002C32F8" w:rsidRPr="00DC1BC3">
        <w:rPr>
          <w:color w:val="auto"/>
          <w:sz w:val="20"/>
          <w:szCs w:val="20"/>
        </w:rPr>
        <w:fldChar w:fldCharType="end"/>
      </w:r>
      <w:bookmarkEnd w:id="5"/>
    </w:p>
    <w:p w:rsidR="005C5EA3" w:rsidRPr="009E39EE" w:rsidRDefault="005C5EA3" w:rsidP="005C5EA3">
      <w:pPr>
        <w:jc w:val="center"/>
        <w:rPr>
          <w:b/>
          <w:sz w:val="20"/>
          <w:lang w:val="es-ES"/>
        </w:rPr>
      </w:pPr>
      <w:r w:rsidRPr="009E39EE">
        <w:rPr>
          <w:b/>
          <w:sz w:val="20"/>
          <w:lang w:val="es-ES"/>
        </w:rPr>
        <w:t>MUNDO: EMISIONES DE CO</w:t>
      </w:r>
      <w:r w:rsidRPr="009E39EE">
        <w:rPr>
          <w:b/>
          <w:sz w:val="20"/>
          <w:vertAlign w:val="subscript"/>
          <w:lang w:val="es-ES"/>
        </w:rPr>
        <w:t>2</w:t>
      </w:r>
      <w:r w:rsidRPr="009E39EE">
        <w:rPr>
          <w:b/>
          <w:sz w:val="20"/>
          <w:lang w:val="es-ES"/>
        </w:rPr>
        <w:t>, 2000 – 2100</w:t>
      </w:r>
    </w:p>
    <w:p w:rsidR="005C5EA3" w:rsidRPr="005C5EA3" w:rsidRDefault="005C5EA3" w:rsidP="005C5EA3">
      <w:pPr>
        <w:ind w:firstLine="720"/>
        <w:jc w:val="center"/>
        <w:rPr>
          <w:lang w:val="es-ES"/>
        </w:rPr>
      </w:pPr>
      <w:r w:rsidRPr="005C5EA3">
        <w:rPr>
          <w:i/>
          <w:lang w:val="es-ES"/>
        </w:rPr>
        <w:t>(</w:t>
      </w:r>
      <w:proofErr w:type="spellStart"/>
      <w:r w:rsidRPr="005C5EA3">
        <w:rPr>
          <w:i/>
          <w:lang w:val="es-ES"/>
        </w:rPr>
        <w:t>Gigatoneladas</w:t>
      </w:r>
      <w:proofErr w:type="spellEnd"/>
      <w:r w:rsidRPr="005C5EA3">
        <w:rPr>
          <w:i/>
          <w:lang w:val="es-ES"/>
        </w:rPr>
        <w:t xml:space="preserve"> de carbono al año)</w:t>
      </w:r>
    </w:p>
    <w:p w:rsidR="005C5EA3" w:rsidRDefault="005C5EA3" w:rsidP="005C5EA3">
      <w:pPr>
        <w:jc w:val="center"/>
        <w:rPr>
          <w:b/>
          <w:lang w:val="en-US"/>
        </w:rPr>
      </w:pPr>
      <w:r w:rsidRPr="005C5EA3">
        <w:rPr>
          <w:noProof/>
          <w:lang w:val="en-US"/>
        </w:rPr>
        <w:drawing>
          <wp:inline distT="0" distB="0" distL="0" distR="0">
            <wp:extent cx="3948899" cy="29181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51632" cy="2920148"/>
                    </a:xfrm>
                    <a:prstGeom prst="rect">
                      <a:avLst/>
                    </a:prstGeom>
                    <a:noFill/>
                    <a:ln w="9525">
                      <a:noFill/>
                      <a:miter lim="800000"/>
                      <a:headEnd/>
                      <a:tailEnd/>
                    </a:ln>
                  </pic:spPr>
                </pic:pic>
              </a:graphicData>
            </a:graphic>
          </wp:inline>
        </w:drawing>
      </w:r>
    </w:p>
    <w:p w:rsidR="00C37657" w:rsidRDefault="005C5EA3" w:rsidP="00EB07C8">
      <w:r w:rsidRPr="005C5EA3">
        <w:rPr>
          <w:b/>
          <w:lang w:val="es-ES"/>
        </w:rPr>
        <w:t xml:space="preserve">Fuente: </w:t>
      </w:r>
      <w:r w:rsidRPr="005C5EA3">
        <w:rPr>
          <w:lang w:val="es-ES"/>
        </w:rPr>
        <w:t xml:space="preserve">Elaboración propia en base a </w:t>
      </w:r>
      <w:r w:rsidRPr="005C5EA3">
        <w:t xml:space="preserve">RCP </w:t>
      </w:r>
      <w:proofErr w:type="spellStart"/>
      <w:r w:rsidRPr="005C5EA3">
        <w:t>Database</w:t>
      </w:r>
      <w:proofErr w:type="spellEnd"/>
      <w:r w:rsidRPr="005C5EA3">
        <w:t>,</w:t>
      </w:r>
      <w:r>
        <w:t xml:space="preserve"> </w:t>
      </w:r>
      <w:r w:rsidRPr="005C5EA3">
        <w:t>2009</w:t>
      </w:r>
      <w:r>
        <w:t>, disponible en línea</w:t>
      </w:r>
      <w:r w:rsidRPr="005C5EA3">
        <w:t xml:space="preserve"> </w:t>
      </w:r>
      <w:r>
        <w:t>[</w:t>
      </w:r>
      <w:r w:rsidRPr="005C5EA3">
        <w:t>http://www.iiasa.ac.at/web-apps/tnt/RcpDb</w:t>
      </w:r>
      <w:r>
        <w:t>].</w:t>
      </w:r>
    </w:p>
    <w:p w:rsidR="005C5EA3" w:rsidRPr="005C5EA3" w:rsidRDefault="005C5EA3" w:rsidP="00EB07C8">
      <w:pPr>
        <w:rPr>
          <w:lang w:val="es-ES"/>
        </w:rPr>
      </w:pPr>
    </w:p>
    <w:p w:rsidR="006F7D8E" w:rsidRPr="00AD3BBC" w:rsidRDefault="006F7D8E" w:rsidP="009D2D1D"/>
    <w:p w:rsidR="009D2D1D" w:rsidRDefault="009D2D1D" w:rsidP="009D2D1D"/>
    <w:p w:rsidR="00982BB6" w:rsidRDefault="00982BB6" w:rsidP="00982BB6">
      <w:pPr>
        <w:pStyle w:val="STituloJerarquia2SINnumeral"/>
        <w:numPr>
          <w:ilvl w:val="0"/>
          <w:numId w:val="9"/>
        </w:numPr>
      </w:pPr>
      <w:r>
        <w:t>Impactos esperados del cambio climático</w:t>
      </w:r>
      <w:r w:rsidR="001A03EB">
        <w:t xml:space="preserve"> en América Latina y el Caribe</w:t>
      </w:r>
    </w:p>
    <w:p w:rsidR="00982BB6" w:rsidRDefault="00982BB6" w:rsidP="00CD7CFE">
      <w:pPr>
        <w:rPr>
          <w:lang w:val="es-ES"/>
        </w:rPr>
      </w:pPr>
    </w:p>
    <w:p w:rsidR="00656BF5" w:rsidRDefault="00292840" w:rsidP="00CD7CFE">
      <w:pPr>
        <w:rPr>
          <w:lang w:val="es-ES"/>
        </w:rPr>
      </w:pPr>
      <w:r>
        <w:rPr>
          <w:lang w:val="es-ES"/>
        </w:rPr>
        <w:t xml:space="preserve">Como se muestra en la sección anterior, el crecimiento </w:t>
      </w:r>
      <w:r w:rsidR="009A6DBC">
        <w:rPr>
          <w:lang w:val="es-ES"/>
        </w:rPr>
        <w:t>observado</w:t>
      </w:r>
      <w:r>
        <w:rPr>
          <w:lang w:val="es-ES"/>
        </w:rPr>
        <w:t xml:space="preserve"> de las</w:t>
      </w:r>
      <w:r w:rsidR="006F482E">
        <w:rPr>
          <w:lang w:val="es-ES"/>
        </w:rPr>
        <w:t xml:space="preserve"> emisiones de gases de efecto invernadero (GEI) ha tenido y tendrá incidencia sobre la temperatura del planeta. </w:t>
      </w:r>
      <w:r w:rsidR="00B951D8">
        <w:rPr>
          <w:lang w:val="es-ES"/>
        </w:rPr>
        <w:t xml:space="preserve">Dichos cambios tendrán repercusiones sobre </w:t>
      </w:r>
      <w:r w:rsidR="00426B2F">
        <w:rPr>
          <w:lang w:val="es-ES"/>
        </w:rPr>
        <w:t xml:space="preserve">los ecosistemas, las actividades económicas y el bienestar humano. </w:t>
      </w:r>
      <w:r w:rsidR="00ED775A">
        <w:rPr>
          <w:lang w:val="es-ES"/>
        </w:rPr>
        <w:t xml:space="preserve"> Sin embargo la estimación de los costos económicos de dichos impactos </w:t>
      </w:r>
      <w:r w:rsidR="00FA2270">
        <w:rPr>
          <w:lang w:val="es-ES"/>
        </w:rPr>
        <w:t>conlleva</w:t>
      </w:r>
      <w:r w:rsidR="00ED775A">
        <w:rPr>
          <w:lang w:val="es-ES"/>
        </w:rPr>
        <w:t xml:space="preserve"> </w:t>
      </w:r>
      <w:r w:rsidR="00FA2270">
        <w:rPr>
          <w:lang w:val="es-ES"/>
        </w:rPr>
        <w:t>un importante nivel</w:t>
      </w:r>
      <w:r w:rsidR="00ED775A">
        <w:rPr>
          <w:lang w:val="es-ES"/>
        </w:rPr>
        <w:t xml:space="preserve"> de incertidumbre.</w:t>
      </w:r>
    </w:p>
    <w:p w:rsidR="002D2C8F" w:rsidRDefault="002D2C8F" w:rsidP="00CD7CFE">
      <w:pPr>
        <w:rPr>
          <w:lang w:val="es-ES"/>
        </w:rPr>
      </w:pPr>
    </w:p>
    <w:p w:rsidR="002D2C8F" w:rsidRDefault="002D2C8F" w:rsidP="00CD7CFE">
      <w:pPr>
        <w:rPr>
          <w:lang w:val="es-ES"/>
        </w:rPr>
      </w:pPr>
      <w:r>
        <w:rPr>
          <w:lang w:val="es-ES"/>
        </w:rPr>
        <w:t xml:space="preserve">Los impactos esperados del cambio climático dependen del sector, la región y la capacidad de adaptación. </w:t>
      </w:r>
    </w:p>
    <w:p w:rsidR="002D2C8F" w:rsidRDefault="002D2C8F" w:rsidP="00CD7CFE">
      <w:pPr>
        <w:rPr>
          <w:lang w:val="es-ES"/>
        </w:rPr>
      </w:pPr>
    </w:p>
    <w:p w:rsidR="009A6DBC" w:rsidRDefault="009A6DBC" w:rsidP="00DC1BC3">
      <w:pPr>
        <w:ind w:firstLine="720"/>
        <w:rPr>
          <w:lang w:val="es-ES"/>
        </w:rPr>
      </w:pPr>
      <w:r w:rsidRPr="009A6DBC">
        <w:rPr>
          <w:lang w:val="es-ES"/>
        </w:rPr>
        <w:t xml:space="preserve">Independientemente de las medidas de mitigación que se adopten, la acumulación histórica de GEI implica un aumento inevitable de temperatura. Asimismo, los compromisos de mitigación asumidos por los países en las recientes negociaciones no han sido suficientes para alcanzar la reducción de GEI necesarias para alcanzar el objetivo climático </w:t>
      </w:r>
      <w:r w:rsidR="002C32F8" w:rsidRPr="002C32F8">
        <w:rPr>
          <w:lang w:val="es-ES"/>
        </w:rPr>
        <w:fldChar w:fldCharType="begin"/>
      </w:r>
      <w:r w:rsidRPr="009A6DBC">
        <w:rPr>
          <w:lang w:val="es-ES"/>
        </w:rPr>
        <w:instrText xml:space="preserve"> ADDIN ZOTERO_ITEM CSL_CITATION {"citationID":"Dpjp3ZhX","properties":{"formattedCitation":"(UNEP, 2013)","plainCitation":"(UNEP, 2013)"},"citationItems":[{"id":4646,"uris":["http://zotero.org/users/98373/items/69ZKQMHC"],"uri":["http://zotero.org/users/98373/items/69ZKQMHC"],"itemData":{"id":4646,"type":"book","title":"The Emissions Gap Report 2013","publisher":"United Nations Environment Programme (UNEP)","publisher-place":"Nairobi","event-place":"Nairobi","author":[{"family":"UNEP","given":"United Nations Environment Programme"}],"issued":{"date-parts":[["2013"]]}}}],"schema":"https://github.com/citation-style-language/schema/raw/master/csl-citation.json"} </w:instrText>
      </w:r>
      <w:r w:rsidR="002C32F8" w:rsidRPr="002C32F8">
        <w:rPr>
          <w:lang w:val="es-ES"/>
        </w:rPr>
        <w:fldChar w:fldCharType="separate"/>
      </w:r>
      <w:r w:rsidRPr="009A6DBC">
        <w:rPr>
          <w:lang w:val="es-ES"/>
        </w:rPr>
        <w:t>(UNEP, 2013)</w:t>
      </w:r>
      <w:r w:rsidR="002C32F8" w:rsidRPr="009A6DBC">
        <w:rPr>
          <w:lang w:val="en-US"/>
        </w:rPr>
        <w:fldChar w:fldCharType="end"/>
      </w:r>
      <w:r w:rsidRPr="009A6DBC">
        <w:rPr>
          <w:lang w:val="es-ES"/>
        </w:rPr>
        <w:t>. En este sentido, resulta fundamental que los países de América Latina y el Caribe incluyan en sus estrategias de desarrollo sostenible procesos oportunos de adaptación al cambio climático.</w:t>
      </w:r>
    </w:p>
    <w:p w:rsidR="00DC1BC3" w:rsidRPr="009A6DBC" w:rsidRDefault="00DC1BC3" w:rsidP="00DC1BC3">
      <w:pPr>
        <w:ind w:firstLine="720"/>
        <w:rPr>
          <w:lang w:val="es-ES"/>
        </w:rPr>
      </w:pPr>
    </w:p>
    <w:p w:rsidR="009A6DBC" w:rsidRPr="009A6DBC" w:rsidRDefault="009A6DBC" w:rsidP="00DC1BC3">
      <w:pPr>
        <w:ind w:firstLine="360"/>
        <w:rPr>
          <w:lang w:val="es-ES"/>
        </w:rPr>
      </w:pPr>
      <w:r w:rsidRPr="009A6DBC">
        <w:rPr>
          <w:lang w:val="es-ES"/>
        </w:rPr>
        <w:t xml:space="preserve">América Latina y el Caribe presenta características que lo hacen altamente vulnerable a los efectos del cambio climático, entre ellos encuentran su geografía, la distribución de la población e infraestructura, su </w:t>
      </w:r>
      <w:r w:rsidRPr="009A6DBC">
        <w:rPr>
          <w:lang w:val="es-ES"/>
        </w:rPr>
        <w:lastRenderedPageBreak/>
        <w:t xml:space="preserve">dependencia de los recursos naturales, así como otras características sociales tales como el alto porcentaje de personas que viven apenas por encima de la línea de pobreza </w:t>
      </w:r>
      <w:r w:rsidR="002C32F8" w:rsidRPr="002C32F8">
        <w:rPr>
          <w:lang w:val="es-ES"/>
        </w:rPr>
        <w:fldChar w:fldCharType="begin"/>
      </w:r>
      <w:r w:rsidRPr="009A6DBC">
        <w:rPr>
          <w:lang w:val="es-ES"/>
        </w:rPr>
        <w:instrText xml:space="preserve"> ADDIN ZOTERO_ITEM CSL_CITATION {"citationID":"UX0nvaKU","properties":{"formattedCitation":"(CEPAL, 2010; Cecchini y otros, 2012; Vergara y otros, 2013; CEPAL, 2011)","plainCitation":"(CEPAL, 2010; Cecchini y otros, 2012; Vergara y otros, 2013; CEPAL, 2011)"},"citationItems":[{"id":1312,"uris":["http://zotero.org/users/98373/items/GEVN2KQ9"],"uri":["http://zotero.org/users/98373/items/GEVN2KQ9"],"itemData":{"id":1312,"type":"book","title":"La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Caribe"}],"issued":{"date-parts":[["2010"]]}}},{"id":755,"uris":["http://zotero.org/users/98373/items/5UCKI54E"],"uri":["http://zotero.org/users/98373/items/5UCKI54E"],"itemData":{"id":755,"type":"article-journal","title":"Vulnerabilidad de la estructura social en América Latina: medición y políticas públicas","container-title":"Revista Internacional de Estadística y Geografía","volume":"3","issue":"2","author":[{"family":"Cecchini","given":"Simone"},{"family":"Espíndola","given":"Ernesto"},{"family":"Filgueira","given":"Fernando"},{"family":"Hernández","given":"Diego"},{"family":"Martínez","given":"Rodrigo"}],"issued":{"date-parts":[["2012"]]}}},{"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H."},{"family":"Samaniego","given":"Joseluis"}],"issued":{"date-parts":[["2013"]]}}},{"id":1773,"uris":["http://zotero.org/users/98373/items/R7XQ6BPJ"],"uri":["http://zotero.org/users/98373/items/R7XQ6BPJ"],"itemData":{"id":1773,"type":"book","title":"Efectos del cambio climático en la costa de América Latina y el Caribe. Impactos.","publisher":"Naciones Unidas","note":"Inédito","author":[{"family":"CEPAL","given":"Comisión Económica para América Latina y el Caribe"}],"issued":{"date-parts":[["2011"]]}}}],"schema":"https://github.com/citation-style-language/schema/raw/master/csl-citation.json"} </w:instrText>
      </w:r>
      <w:r w:rsidR="002C32F8" w:rsidRPr="002C32F8">
        <w:rPr>
          <w:lang w:val="es-ES"/>
        </w:rPr>
        <w:fldChar w:fldCharType="separate"/>
      </w:r>
      <w:r w:rsidRPr="009A6DBC">
        <w:rPr>
          <w:lang w:val="es-ES"/>
        </w:rPr>
        <w:t>(CEPAL, 2010; Cecchini y otros, 2012; Vergara y otros, 2013; CEPAL, 2011)</w:t>
      </w:r>
      <w:r w:rsidR="002C32F8" w:rsidRPr="009A6DBC">
        <w:rPr>
          <w:lang w:val="en-US"/>
        </w:rPr>
        <w:fldChar w:fldCharType="end"/>
      </w:r>
      <w:r w:rsidRPr="009A6DBC">
        <w:rPr>
          <w:lang w:val="es-ES"/>
        </w:rPr>
        <w:t xml:space="preserve">. Entre los principales impactos físicos proyectados para la región ante un aumento de 2°C se encuentran </w:t>
      </w:r>
      <w:r w:rsidR="002C32F8" w:rsidRPr="002C32F8">
        <w:rPr>
          <w:lang w:val="es-ES"/>
        </w:rPr>
        <w:fldChar w:fldCharType="begin"/>
      </w:r>
      <w:r w:rsidRPr="009A6DBC">
        <w:rPr>
          <w:lang w:val="es-ES"/>
        </w:rPr>
        <w:instrText xml:space="preserve"> ADDIN ZOTERO_ITEM CSL_CITATION {"citationID":"Jw7VUCE3","properties":{"formattedCitation":"(Vergara y otros, 2013)","plainCitation":"(Vergara y otros, 2013)"},"citationItems":[{"id":4647,"uris":["http://zotero.org/users/98373/items/6BQAJGWV"],"uri":["http://zotero.org/users/98373/items/6BQAJGWV"],"itemData":{"id":4647,"type":"book","title":"The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2C32F8" w:rsidRPr="002C32F8">
        <w:rPr>
          <w:lang w:val="es-ES"/>
        </w:rPr>
        <w:fldChar w:fldCharType="separate"/>
      </w:r>
      <w:r w:rsidRPr="009A6DBC">
        <w:rPr>
          <w:lang w:val="es-ES"/>
        </w:rPr>
        <w:t>(Vergara y otros, 2013)</w:t>
      </w:r>
      <w:r w:rsidR="002C32F8" w:rsidRPr="009A6DBC">
        <w:rPr>
          <w:lang w:val="en-US"/>
        </w:rPr>
        <w:fldChar w:fldCharType="end"/>
      </w:r>
      <w:r w:rsidRPr="009A6DBC">
        <w:rPr>
          <w:lang w:val="es-ES"/>
        </w:rPr>
        <w:t xml:space="preserve">: </w:t>
      </w:r>
    </w:p>
    <w:p w:rsidR="009A6DBC" w:rsidRPr="009A6DBC" w:rsidRDefault="009A6DBC" w:rsidP="009A6DBC">
      <w:pPr>
        <w:rPr>
          <w:lang w:val="es-ES"/>
        </w:rPr>
      </w:pPr>
    </w:p>
    <w:p w:rsidR="009A6DBC" w:rsidRPr="009A6DBC" w:rsidRDefault="009A6DBC" w:rsidP="009A6DBC">
      <w:pPr>
        <w:numPr>
          <w:ilvl w:val="0"/>
          <w:numId w:val="10"/>
        </w:numPr>
        <w:rPr>
          <w:lang w:val="es-ES"/>
        </w:rPr>
      </w:pPr>
      <w:r w:rsidRPr="009A6DBC">
        <w:rPr>
          <w:lang w:val="es-ES"/>
        </w:rPr>
        <w:t xml:space="preserve">Pérdida de humedad de los suelos, cambio en los patrones de temperatura y precipitación afectando la productividad agrícola y a las zonas ecológicas. </w:t>
      </w:r>
    </w:p>
    <w:p w:rsidR="009A6DBC" w:rsidRPr="009A6DBC" w:rsidRDefault="009A6DBC" w:rsidP="009A6DBC">
      <w:pPr>
        <w:numPr>
          <w:ilvl w:val="0"/>
          <w:numId w:val="10"/>
        </w:numPr>
        <w:rPr>
          <w:lang w:val="es-ES"/>
        </w:rPr>
      </w:pPr>
      <w:r w:rsidRPr="009A6DBC">
        <w:rPr>
          <w:lang w:val="es-ES"/>
        </w:rPr>
        <w:t>Aumento del nivel del mar y de la temperatura de la superficie oceánica, lo cual afectará las zonas marítimas y costeras. La evidencia indica que el aumento de nivel del mar implica una presión sobre los yacimientos de agua dulce en las zonas costeras, lo cual es de gran relevancia sobre todo para las islas del Caribe, asimismo, el aumento en el nivel de mar afecta la salinidad de las zonas costeras donde se encuentran los manglares. Por otro lado, el aumento observado de la temperatura oceánica acelera el proceso de blanqueamiento de los bancos de coral, lo cual puede importantes pérdidas de biodiversidad.</w:t>
      </w:r>
    </w:p>
    <w:p w:rsidR="009A6DBC" w:rsidRPr="009A6DBC" w:rsidRDefault="009A6DBC" w:rsidP="009A6DBC">
      <w:pPr>
        <w:numPr>
          <w:ilvl w:val="0"/>
          <w:numId w:val="10"/>
        </w:numPr>
        <w:rPr>
          <w:lang w:val="es-ES"/>
        </w:rPr>
      </w:pPr>
      <w:r w:rsidRPr="009A6DBC">
        <w:rPr>
          <w:lang w:val="es-ES"/>
        </w:rPr>
        <w:t>Aumento en la intensidad y frecuencia de eventos climáticos extremos. A pesar de la dificultad de establecer una clara relación entre la incidencia de eventos climáticos extremos y el calentamiento global, existe evidencia que muestra que el aumento reciente de huracanes se debe, en parte, al aumento de la temperatura de la superficie oceánica. De esta manera, es de esperarse una mayor frecuencia de estos eventos.</w:t>
      </w:r>
    </w:p>
    <w:p w:rsidR="009A6DBC" w:rsidRPr="009A6DBC" w:rsidRDefault="009A6DBC" w:rsidP="009A6DBC">
      <w:pPr>
        <w:numPr>
          <w:ilvl w:val="0"/>
          <w:numId w:val="10"/>
        </w:numPr>
        <w:rPr>
          <w:lang w:val="es-ES"/>
        </w:rPr>
      </w:pPr>
      <w:r w:rsidRPr="009A6DBC">
        <w:rPr>
          <w:lang w:val="es-ES"/>
        </w:rPr>
        <w:t xml:space="preserve">Mayor exposición a enfermedades tropicales relacionadas con el aumento de temperatura y cambios en los patrones de precipitación. </w:t>
      </w:r>
      <w:r w:rsidRPr="009A6DBC">
        <w:t>Los efectos del cambio climático sobre la salud humana se relacionan con el aumento en la incidencia de casos de malaria, dengue, cólera y estrés de calor</w:t>
      </w:r>
      <w:r w:rsidRPr="009A6DBC">
        <w:rPr>
          <w:lang w:val="es-MX"/>
        </w:rPr>
        <w:t xml:space="preserve">. </w:t>
      </w:r>
    </w:p>
    <w:p w:rsidR="009A6DBC" w:rsidRPr="009A6DBC" w:rsidRDefault="009A6DBC" w:rsidP="009A6DBC">
      <w:pPr>
        <w:numPr>
          <w:ilvl w:val="0"/>
          <w:numId w:val="10"/>
        </w:numPr>
        <w:rPr>
          <w:lang w:val="es-ES"/>
        </w:rPr>
      </w:pPr>
      <w:r w:rsidRPr="009A6DBC">
        <w:rPr>
          <w:lang w:val="es-ES"/>
        </w:rPr>
        <w:t>Aumento en el retroceso de los glaciares andinos. Se espera que el cambio climático sea aún más pronunciado en zonas montañosas de alta elevación. Los efectos del cambio climático ya son notorios en los glaciares de la zona de los Andes, los cuales se han reducido de manera significativa. Se espera que estos cambios tengan repercusiones en la regulación del ciclo hidrológico y en la provisión de agua para hidroelectricidad y para el consumo humano.</w:t>
      </w:r>
    </w:p>
    <w:p w:rsidR="009A6DBC" w:rsidRPr="009A6DBC" w:rsidRDefault="009A6DBC" w:rsidP="009A6DBC">
      <w:pPr>
        <w:numPr>
          <w:ilvl w:val="0"/>
          <w:numId w:val="10"/>
        </w:numPr>
        <w:rPr>
          <w:lang w:val="es-ES"/>
        </w:rPr>
      </w:pPr>
      <w:r w:rsidRPr="009A6DBC">
        <w:rPr>
          <w:lang w:val="es-ES"/>
        </w:rPr>
        <w:t>Impactos en las cuencas hidrológicas. El calentamiento global incrementará la amplitud y la frecuencia de eventos de precipitaciones extremas, lo cual afectará el régimen hidrológico de las cuencas de la región. Asimismo, la baja estabilidad del régimen hidrológico tendrá impactos en la producción hidroeléctrica.</w:t>
      </w:r>
    </w:p>
    <w:p w:rsidR="009A6DBC" w:rsidRDefault="009A6DBC" w:rsidP="009A6DBC">
      <w:pPr>
        <w:numPr>
          <w:ilvl w:val="0"/>
          <w:numId w:val="10"/>
        </w:numPr>
        <w:rPr>
          <w:lang w:val="es-ES"/>
        </w:rPr>
      </w:pPr>
      <w:r w:rsidRPr="009A6DBC">
        <w:rPr>
          <w:lang w:val="es-ES"/>
        </w:rPr>
        <w:t>Aumento de efectos adversos sobre la biodiversidad y la estabilidad de los ecosistemas. Se espera que el cambio climático altere las especies y los ecosistemas naturales, modificando la biodiversidad, la composición de ecosistemas y su distribución espacial. Asimismo, se espera que, adicionalmente a los procesos de deforestación, el cambio climático reduzca la resiliencia de la selva Amazónica, lo cual disminuirá su capacidad de captura de carbono.</w:t>
      </w:r>
    </w:p>
    <w:p w:rsidR="009A6DBC" w:rsidRDefault="009A6DBC" w:rsidP="009A6DBC">
      <w:pPr>
        <w:rPr>
          <w:lang w:val="es-ES"/>
        </w:rPr>
      </w:pPr>
    </w:p>
    <w:p w:rsidR="009A6DBC" w:rsidRPr="009A6DBC" w:rsidRDefault="009A6DBC" w:rsidP="009A6DBC">
      <w:pPr>
        <w:rPr>
          <w:lang w:val="es-ES"/>
        </w:rPr>
      </w:pPr>
    </w:p>
    <w:p w:rsidR="009A6DBC" w:rsidRDefault="009A6DBC" w:rsidP="009E39EE">
      <w:pPr>
        <w:ind w:firstLine="360"/>
        <w:rPr>
          <w:lang w:val="es-ES"/>
        </w:rPr>
      </w:pPr>
      <w:r w:rsidRPr="009A6DBC">
        <w:rPr>
          <w:lang w:val="es-ES"/>
        </w:rPr>
        <w:t>De esta manera, los costos estimados asociados a los principales impactos físicos relacionados con un aumento de 2°C en América Latina y el Caribe son de entre $85.000 y $110.000 millones de dólares anuales hasta 2050, o alternativamente, de entre 1.8% y 2.4% del PIB de 2010 (</w:t>
      </w:r>
      <w:fldSimple w:instr=" REF _Ref381285039 \h  \* MERGEFORMAT ">
        <w:r w:rsidR="009E39EE" w:rsidRPr="009E39EE">
          <w:rPr>
            <w:lang w:val="es-ES"/>
          </w:rPr>
          <w:t>Cuadro 4</w:t>
        </w:r>
      </w:fldSimple>
      <w:r w:rsidRPr="009A6DBC">
        <w:rPr>
          <w:lang w:val="es-ES"/>
        </w:rPr>
        <w:t xml:space="preserve">) </w:t>
      </w:r>
      <w:r w:rsidR="002C32F8" w:rsidRPr="002C32F8">
        <w:rPr>
          <w:lang w:val="es-ES"/>
        </w:rPr>
        <w:fldChar w:fldCharType="begin"/>
      </w:r>
      <w:r w:rsidRPr="009A6DBC">
        <w:rPr>
          <w:lang w:val="es-ES"/>
        </w:rPr>
        <w:instrText xml:space="preserve"> ADDIN ZOTERO_ITEM CSL_CITATION {"citationID":"lqIykXF2","properties":{"formattedCitation":"(CEPAL, 2009, 2010; Vergara y otros, 2013)","plainCitation":"(CEPAL, 2009, 2010; Vergara y otros, 2013)"},"citationItems":[{"id":1558,"uris":["http://zotero.org/users/98373/items/MAVRT9CZ"],"uri":["http://zotero.org/users/98373/items/MAVRT9CZ"],"itemData":{"id":1558,"type":"book","title":"La economía del cambio climático en América Latina y el Caribe. Síntesis 2009","note":"LC/G.2425","author":[{"family":"CEPAL","given":"Comisión Económica para América Latina y el Caribe"}],"issued":{"date-parts":[["2009",11]]}}},{"id":1312,"uris":["http://zotero.org/users/98373/items/GEVN2KQ9"],"uri":["http://zotero.org/users/98373/items/GEVN2KQ9"],"itemData":{"id":1312,"type":"book","title":"La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2C32F8" w:rsidRPr="002C32F8">
        <w:rPr>
          <w:lang w:val="es-ES"/>
        </w:rPr>
        <w:fldChar w:fldCharType="separate"/>
      </w:r>
      <w:r w:rsidRPr="009A6DBC">
        <w:rPr>
          <w:lang w:val="es-ES"/>
        </w:rPr>
        <w:t>(Vergara y otros, 2013)</w:t>
      </w:r>
      <w:r w:rsidR="002C32F8" w:rsidRPr="009A6DBC">
        <w:rPr>
          <w:lang w:val="en-US"/>
        </w:rPr>
        <w:fldChar w:fldCharType="end"/>
      </w:r>
      <w:r w:rsidRPr="009A6DBC">
        <w:rPr>
          <w:lang w:val="es-ES"/>
        </w:rPr>
        <w:t>. Esta estimación es conservadora y se limita a ciertos sectores y regiones</w:t>
      </w:r>
      <w:r w:rsidRPr="009A6DBC">
        <w:rPr>
          <w:vertAlign w:val="superscript"/>
          <w:lang w:val="es-ES"/>
        </w:rPr>
        <w:footnoteReference w:id="6"/>
      </w:r>
      <w:r w:rsidRPr="009A6DBC">
        <w:rPr>
          <w:lang w:val="es-ES"/>
        </w:rPr>
        <w:t>, sin embargo, muestran un escenario plausible que señala la necesidad de tomar acciones oportunas de adaptación en la región. Asimismo, muestra que el cambio climático limitará las posibilidades de desarrollo de la región, disminuyendo sus recursos y afectando de forma potencialmente</w:t>
      </w:r>
      <w:r>
        <w:rPr>
          <w:lang w:val="es-ES"/>
        </w:rPr>
        <w:t xml:space="preserve"> irreversible sus ecosistemas. </w:t>
      </w:r>
    </w:p>
    <w:p w:rsidR="00DC1BC3" w:rsidRDefault="00DC1BC3" w:rsidP="009A6DBC">
      <w:pPr>
        <w:rPr>
          <w:lang w:val="es-ES"/>
        </w:rPr>
      </w:pPr>
    </w:p>
    <w:p w:rsidR="00DC1BC3" w:rsidRDefault="00DC1BC3" w:rsidP="009A6DBC">
      <w:pPr>
        <w:rPr>
          <w:lang w:val="es-ES"/>
        </w:rPr>
      </w:pPr>
    </w:p>
    <w:p w:rsidR="00DC1BC3" w:rsidRDefault="00DC1BC3" w:rsidP="009A6DBC">
      <w:pPr>
        <w:rPr>
          <w:lang w:val="es-ES"/>
        </w:rPr>
      </w:pPr>
    </w:p>
    <w:p w:rsidR="009A6DBC" w:rsidRDefault="009A6DBC" w:rsidP="009A6DBC">
      <w:pPr>
        <w:rPr>
          <w:lang w:val="es-ES"/>
        </w:rPr>
      </w:pPr>
    </w:p>
    <w:p w:rsidR="009A6DBC" w:rsidRPr="009A6DBC" w:rsidRDefault="009A6DBC" w:rsidP="009A6DBC">
      <w:pPr>
        <w:rPr>
          <w:lang w:val="es-ES"/>
        </w:rPr>
      </w:pPr>
    </w:p>
    <w:p w:rsidR="00955E52" w:rsidRPr="0004426B" w:rsidRDefault="00955E52" w:rsidP="00955E52">
      <w:pPr>
        <w:pStyle w:val="Caption"/>
        <w:spacing w:after="0"/>
        <w:jc w:val="center"/>
        <w:rPr>
          <w:rFonts w:ascii="Arial" w:hAnsi="Arial" w:cs="Arial"/>
          <w:color w:val="auto"/>
        </w:rPr>
      </w:pPr>
      <w:bookmarkStart w:id="6" w:name="_Ref381285039"/>
      <w:r w:rsidRPr="0004426B">
        <w:rPr>
          <w:rFonts w:ascii="Arial" w:hAnsi="Arial" w:cs="Arial"/>
          <w:color w:val="auto"/>
        </w:rPr>
        <w:t xml:space="preserve">CUADRO </w:t>
      </w:r>
      <w:r w:rsidR="002C32F8" w:rsidRPr="0004426B">
        <w:rPr>
          <w:rFonts w:ascii="Arial" w:hAnsi="Arial" w:cs="Arial"/>
          <w:color w:val="auto"/>
        </w:rPr>
        <w:fldChar w:fldCharType="begin"/>
      </w:r>
      <w:r w:rsidRPr="0004426B">
        <w:rPr>
          <w:rFonts w:ascii="Arial" w:hAnsi="Arial" w:cs="Arial"/>
          <w:color w:val="auto"/>
        </w:rPr>
        <w:instrText xml:space="preserve"> SEQ CUADRO \* ARABIC </w:instrText>
      </w:r>
      <w:r w:rsidR="002C32F8" w:rsidRPr="0004426B">
        <w:rPr>
          <w:rFonts w:ascii="Arial" w:hAnsi="Arial" w:cs="Arial"/>
          <w:color w:val="auto"/>
        </w:rPr>
        <w:fldChar w:fldCharType="separate"/>
      </w:r>
      <w:r w:rsidR="009E39EE">
        <w:rPr>
          <w:rFonts w:ascii="Arial" w:hAnsi="Arial" w:cs="Arial"/>
          <w:noProof/>
          <w:color w:val="auto"/>
        </w:rPr>
        <w:t>4</w:t>
      </w:r>
      <w:r w:rsidR="002C32F8" w:rsidRPr="0004426B">
        <w:rPr>
          <w:rFonts w:ascii="Arial" w:hAnsi="Arial" w:cs="Arial"/>
          <w:color w:val="auto"/>
        </w:rPr>
        <w:fldChar w:fldCharType="end"/>
      </w:r>
      <w:bookmarkEnd w:id="6"/>
    </w:p>
    <w:p w:rsidR="009A6DBC" w:rsidRPr="009A6DBC" w:rsidRDefault="009A6DBC" w:rsidP="009E39EE">
      <w:pPr>
        <w:jc w:val="center"/>
        <w:rPr>
          <w:b/>
          <w:lang w:val="es-ES"/>
        </w:rPr>
      </w:pPr>
      <w:r w:rsidRPr="009A6DBC">
        <w:rPr>
          <w:b/>
          <w:lang w:val="es-ES"/>
        </w:rPr>
        <w:t>ESTIMACIÓN DE DAÑOS ANUALES DE ALGUNOS IMPACTOS FÍSICOS A 2050</w:t>
      </w:r>
      <w:r w:rsidR="009E39EE">
        <w:rPr>
          <w:b/>
          <w:lang w:val="es-ES"/>
        </w:rPr>
        <w:t xml:space="preserve"> </w:t>
      </w:r>
    </w:p>
    <w:tbl>
      <w:tblPr>
        <w:tblW w:w="5000" w:type="pct"/>
        <w:jc w:val="center"/>
        <w:tblCellMar>
          <w:left w:w="0" w:type="dxa"/>
          <w:right w:w="0" w:type="dxa"/>
        </w:tblCellMar>
        <w:tblLook w:val="04A0"/>
      </w:tblPr>
      <w:tblGrid>
        <w:gridCol w:w="2748"/>
        <w:gridCol w:w="1595"/>
        <w:gridCol w:w="1423"/>
        <w:gridCol w:w="1533"/>
        <w:gridCol w:w="2073"/>
      </w:tblGrid>
      <w:tr w:rsidR="009A6DBC" w:rsidRPr="009A6DBC" w:rsidTr="00681090">
        <w:trPr>
          <w:trHeight w:val="20"/>
          <w:jc w:val="center"/>
        </w:trPr>
        <w:tc>
          <w:tcPr>
            <w:tcW w:w="146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Impacto</w:t>
            </w:r>
          </w:p>
        </w:tc>
        <w:tc>
          <w:tcPr>
            <w:tcW w:w="851"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Área</w:t>
            </w:r>
          </w:p>
        </w:tc>
        <w:tc>
          <w:tcPr>
            <w:tcW w:w="759"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 anuales</w:t>
            </w:r>
          </w:p>
          <w:p w:rsidR="009A6DBC" w:rsidRPr="009A6DBC" w:rsidRDefault="009A6DBC" w:rsidP="009A6DBC">
            <w:pPr>
              <w:rPr>
                <w:lang w:val="es-ES"/>
              </w:rPr>
            </w:pPr>
            <w:r w:rsidRPr="009A6DBC">
              <w:rPr>
                <w:b/>
                <w:bCs/>
                <w:lang w:val="es-ES"/>
              </w:rPr>
              <w:t>proyectados</w:t>
            </w:r>
          </w:p>
        </w:tc>
        <w:tc>
          <w:tcPr>
            <w:tcW w:w="818"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w:t>
            </w:r>
          </w:p>
          <w:p w:rsidR="009A6DBC" w:rsidRPr="009A6DBC" w:rsidRDefault="009A6DBC" w:rsidP="009A6DBC">
            <w:pPr>
              <w:rPr>
                <w:lang w:val="es-ES"/>
              </w:rPr>
            </w:pPr>
            <w:r w:rsidRPr="009A6DBC">
              <w:rPr>
                <w:b/>
                <w:bCs/>
                <w:lang w:val="es-ES"/>
              </w:rPr>
              <w:t>acumulados</w:t>
            </w:r>
          </w:p>
        </w:tc>
        <w:tc>
          <w:tcPr>
            <w:tcW w:w="110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Fuente</w:t>
            </w:r>
          </w:p>
        </w:tc>
      </w:tr>
      <w:tr w:rsidR="009A6DBC" w:rsidRPr="009A6DBC" w:rsidTr="00090471">
        <w:trPr>
          <w:trHeight w:val="20"/>
          <w:jc w:val="center"/>
        </w:trPr>
        <w:tc>
          <w:tcPr>
            <w:tcW w:w="146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Pérdida de ingresos</w:t>
            </w:r>
          </w:p>
          <w:p w:rsidR="009A6DBC" w:rsidRPr="009A6DBC" w:rsidRDefault="009A6DBC" w:rsidP="00090471">
            <w:pPr>
              <w:jc w:val="left"/>
              <w:rPr>
                <w:b/>
                <w:bCs/>
                <w:lang w:val="es-ES"/>
              </w:rPr>
            </w:pPr>
            <w:r w:rsidRPr="009A6DBC">
              <w:rPr>
                <w:b/>
                <w:bCs/>
                <w:lang w:val="es-ES"/>
              </w:rPr>
              <w:t>por exportaciones netas</w:t>
            </w:r>
          </w:p>
          <w:p w:rsidR="009A6DBC" w:rsidRPr="009A6DBC" w:rsidRDefault="009A6DBC" w:rsidP="00090471">
            <w:pPr>
              <w:jc w:val="left"/>
              <w:rPr>
                <w:b/>
                <w:bCs/>
                <w:lang w:val="es-ES"/>
              </w:rPr>
            </w:pPr>
            <w:r w:rsidRPr="009A6DBC">
              <w:rPr>
                <w:b/>
                <w:bCs/>
                <w:lang w:val="es-ES"/>
              </w:rPr>
              <w:t>agrícolas: Trigo, soya,</w:t>
            </w:r>
          </w:p>
          <w:p w:rsidR="009A6DBC" w:rsidRPr="009A6DBC" w:rsidRDefault="009A6DBC" w:rsidP="00090471">
            <w:pPr>
              <w:jc w:val="left"/>
              <w:rPr>
                <w:lang w:val="es-ES"/>
              </w:rPr>
            </w:pPr>
            <w:r w:rsidRPr="009A6DBC">
              <w:rPr>
                <w:b/>
                <w:bCs/>
                <w:lang w:val="es-ES"/>
              </w:rPr>
              <w:t>maíz, arroz</w:t>
            </w:r>
          </w:p>
        </w:tc>
        <w:tc>
          <w:tcPr>
            <w:tcW w:w="851"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26 - 44</w:t>
            </w:r>
          </w:p>
        </w:tc>
        <w:tc>
          <w:tcPr>
            <w:tcW w:w="818"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Fernandes</w:t>
            </w:r>
            <w:proofErr w:type="spellEnd"/>
            <w:r w:rsidRPr="009A6DBC">
              <w:rPr>
                <w:lang w:val="es-ES"/>
              </w:rPr>
              <w:t xml:space="preserve"> et al. (2012)</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Alza del nivel del mar (1m)</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22</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Dasgupta</w:t>
            </w:r>
            <w:proofErr w:type="spellEnd"/>
            <w:r w:rsidRPr="009A6DBC">
              <w:rPr>
                <w:lang w:val="es-ES"/>
              </w:rPr>
              <w:t xml:space="preserve"> et al. (2007)</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Blanqueamiento del coral</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8 - 11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(2009)</w:t>
            </w:r>
          </w:p>
        </w:tc>
      </w:tr>
      <w:tr w:rsidR="009A6DBC" w:rsidRPr="009A6DBC" w:rsidTr="00090471">
        <w:trPr>
          <w:trHeight w:val="20"/>
          <w:jc w:val="center"/>
        </w:trPr>
        <w:tc>
          <w:tcPr>
            <w:tcW w:w="1466" w:type="pct"/>
            <w:vMerge w:val="restar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Intensificación y aumento de</w:t>
            </w:r>
          </w:p>
          <w:p w:rsidR="009A6DBC" w:rsidRPr="009A6DBC" w:rsidRDefault="009A6DBC" w:rsidP="00090471">
            <w:pPr>
              <w:jc w:val="left"/>
              <w:rPr>
                <w:b/>
                <w:bCs/>
                <w:lang w:val="es-ES"/>
              </w:rPr>
            </w:pPr>
            <w:r w:rsidRPr="009A6DBC">
              <w:rPr>
                <w:b/>
                <w:bCs/>
                <w:lang w:val="es-ES"/>
              </w:rPr>
              <w:t>frecuencia de los eventos</w:t>
            </w:r>
          </w:p>
          <w:p w:rsidR="009A6DBC" w:rsidRPr="009A6DBC" w:rsidRDefault="009A6DBC" w:rsidP="00090471">
            <w:pPr>
              <w:jc w:val="left"/>
              <w:rPr>
                <w:lang w:val="es-ES"/>
              </w:rPr>
            </w:pPr>
            <w:r w:rsidRPr="009A6DBC">
              <w:rPr>
                <w:b/>
                <w:bCs/>
                <w:lang w:val="es-ES"/>
              </w:rPr>
              <w:t>climáticos extremos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CARICOM</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5</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Toba (2009)</w:t>
            </w:r>
          </w:p>
        </w:tc>
      </w:tr>
      <w:tr w:rsidR="009A6DBC" w:rsidRPr="009A6DBC" w:rsidTr="00090471">
        <w:trPr>
          <w:trHeight w:val="20"/>
          <w:jc w:val="center"/>
        </w:trPr>
        <w:tc>
          <w:tcPr>
            <w:tcW w:w="1466" w:type="pct"/>
            <w:vMerge/>
            <w:tcBorders>
              <w:top w:val="nil"/>
              <w:left w:val="nil"/>
              <w:bottom w:val="nil"/>
              <w:right w:val="nil"/>
            </w:tcBorders>
            <w:vAlign w:val="center"/>
            <w:hideMark/>
          </w:tcPr>
          <w:p w:rsidR="009A6DBC" w:rsidRPr="009A6DBC" w:rsidRDefault="009A6DBC" w:rsidP="00090471">
            <w:pPr>
              <w:jc w:val="left"/>
              <w:rPr>
                <w:lang w:val="es-ES"/>
              </w:rPr>
            </w:pP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Golfo de México,</w:t>
            </w:r>
          </w:p>
          <w:p w:rsidR="009A6DBC" w:rsidRPr="009A6DBC" w:rsidRDefault="009A6DBC" w:rsidP="00090471">
            <w:pPr>
              <w:jc w:val="center"/>
              <w:rPr>
                <w:lang w:val="es-ES"/>
              </w:rPr>
            </w:pPr>
            <w:r w:rsidRPr="009A6DBC">
              <w:rPr>
                <w:lang w:val="es-ES"/>
              </w:rPr>
              <w:t>Centroamérica y</w:t>
            </w:r>
          </w:p>
          <w:p w:rsidR="009A6DBC" w:rsidRPr="009A6DBC" w:rsidRDefault="009A6DBC" w:rsidP="00090471">
            <w:pPr>
              <w:jc w:val="center"/>
              <w:rPr>
                <w:lang w:val="es-ES"/>
              </w:rPr>
            </w:pPr>
            <w:r w:rsidRPr="009A6DBC">
              <w:rPr>
                <w:lang w:val="es-ES"/>
              </w:rPr>
              <w:t>el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110-149</w:t>
            </w:r>
          </w:p>
          <w:p w:rsidR="009A6DBC" w:rsidRPr="009A6DBC" w:rsidRDefault="009A6DBC" w:rsidP="00090471">
            <w:pPr>
              <w:jc w:val="center"/>
              <w:rPr>
                <w:lang w:val="es-ES"/>
              </w:rPr>
            </w:pPr>
            <w:r w:rsidRPr="009A6DBC">
              <w:rPr>
                <w:lang w:val="es-ES"/>
              </w:rPr>
              <w:t>para 2021 - 2025</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Curry et al. (2009)</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Salud (Aumento en la</w:t>
            </w:r>
          </w:p>
          <w:p w:rsidR="009A6DBC" w:rsidRPr="009A6DBC" w:rsidRDefault="009A6DBC" w:rsidP="00090471">
            <w:pPr>
              <w:jc w:val="left"/>
              <w:rPr>
                <w:b/>
                <w:bCs/>
                <w:lang w:val="es-ES"/>
              </w:rPr>
            </w:pPr>
            <w:r w:rsidRPr="009A6DBC">
              <w:rPr>
                <w:b/>
                <w:bCs/>
                <w:lang w:val="es-ES"/>
              </w:rPr>
              <w:t>incidencia de casos</w:t>
            </w:r>
          </w:p>
          <w:p w:rsidR="009A6DBC" w:rsidRPr="009A6DBC" w:rsidRDefault="009A6DBC" w:rsidP="00090471">
            <w:pPr>
              <w:jc w:val="left"/>
              <w:rPr>
                <w:lang w:val="es-ES"/>
              </w:rPr>
            </w:pPr>
            <w:r w:rsidRPr="009A6DBC">
              <w:rPr>
                <w:b/>
                <w:bCs/>
                <w:lang w:val="es-ES"/>
              </w:rPr>
              <w:t>de diarrea y desnutrición)</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Ebi</w:t>
            </w:r>
            <w:proofErr w:type="spellEnd"/>
            <w:r w:rsidRPr="009A6DBC">
              <w:rPr>
                <w:lang w:val="es-ES"/>
              </w:rPr>
              <w:t xml:space="preserve"> (2008)</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Muerte de los perímetros</w:t>
            </w:r>
          </w:p>
          <w:p w:rsidR="009A6DBC" w:rsidRPr="009A6DBC" w:rsidRDefault="009A6DBC" w:rsidP="00090471">
            <w:pPr>
              <w:jc w:val="left"/>
              <w:rPr>
                <w:lang w:val="es-ES"/>
              </w:rPr>
            </w:pPr>
            <w:r w:rsidRPr="009A6DBC">
              <w:rPr>
                <w:b/>
                <w:bCs/>
                <w:lang w:val="es-ES"/>
              </w:rPr>
              <w:t>forestales del Amazonas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4 - 8</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Retroceso de los glaciares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Perú</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(2007)</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Pérdida de los</w:t>
            </w:r>
          </w:p>
          <w:p w:rsidR="009A6DBC" w:rsidRPr="009A6DBC" w:rsidRDefault="009A6DBC" w:rsidP="00090471">
            <w:pPr>
              <w:jc w:val="left"/>
              <w:rPr>
                <w:lang w:val="es-ES"/>
              </w:rPr>
            </w:pPr>
            <w:r w:rsidRPr="009A6DBC">
              <w:rPr>
                <w:b/>
                <w:bCs/>
                <w:lang w:val="es-ES"/>
              </w:rPr>
              <w:t xml:space="preserve">servicios </w:t>
            </w:r>
            <w:proofErr w:type="spellStart"/>
            <w:r w:rsidRPr="009A6DBC">
              <w:rPr>
                <w:b/>
                <w:bCs/>
                <w:lang w:val="es-ES"/>
              </w:rPr>
              <w:t>ecosistémicos</w:t>
            </w:r>
            <w:proofErr w:type="spellEnd"/>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w:t>
            </w:r>
          </w:p>
        </w:tc>
        <w:tc>
          <w:tcPr>
            <w:tcW w:w="759" w:type="pct"/>
            <w:tcBorders>
              <w:top w:val="nil"/>
              <w:left w:val="nil"/>
              <w:bottom w:val="nil"/>
              <w:right w:val="nil"/>
            </w:tcBorders>
            <w:shd w:val="clear" w:color="auto" w:fill="auto"/>
            <w:vAlign w:val="center"/>
          </w:tcPr>
          <w:p w:rsidR="009A6DBC" w:rsidRPr="009A6DBC" w:rsidRDefault="009A6DBC" w:rsidP="00090471">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36</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Generación hídrica</w:t>
            </w:r>
          </w:p>
        </w:tc>
        <w:tc>
          <w:tcPr>
            <w:tcW w:w="851"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Brasil</w:t>
            </w:r>
          </w:p>
        </w:tc>
        <w:tc>
          <w:tcPr>
            <w:tcW w:w="759"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18</w:t>
            </w:r>
          </w:p>
        </w:tc>
        <w:tc>
          <w:tcPr>
            <w:tcW w:w="818"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Total</w:t>
            </w:r>
          </w:p>
        </w:tc>
        <w:tc>
          <w:tcPr>
            <w:tcW w:w="851"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759"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b/>
                <w:bCs/>
                <w:lang w:val="es-ES"/>
              </w:rPr>
              <w:t>85 - 110</w:t>
            </w:r>
          </w:p>
        </w:tc>
        <w:tc>
          <w:tcPr>
            <w:tcW w:w="818"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r>
      <w:tr w:rsidR="009A6DBC" w:rsidRPr="009A6DBC" w:rsidTr="00090471">
        <w:trPr>
          <w:trHeight w:val="20"/>
          <w:jc w:val="center"/>
        </w:trPr>
        <w:tc>
          <w:tcPr>
            <w:tcW w:w="146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 xml:space="preserve">% del PIB de 2010 </w:t>
            </w:r>
          </w:p>
        </w:tc>
        <w:tc>
          <w:tcPr>
            <w:tcW w:w="851"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759"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b/>
                <w:bCs/>
                <w:lang w:val="es-ES"/>
              </w:rPr>
              <w:t>(1.8 - 2.4)</w:t>
            </w:r>
          </w:p>
        </w:tc>
        <w:tc>
          <w:tcPr>
            <w:tcW w:w="818"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r>
    </w:tbl>
    <w:p w:rsidR="001A1F7A" w:rsidRDefault="009A6DBC" w:rsidP="00CD7CFE">
      <w:pPr>
        <w:rPr>
          <w:lang w:val="en-US"/>
        </w:rPr>
      </w:pPr>
      <w:proofErr w:type="spellStart"/>
      <w:r w:rsidRPr="009A6DBC">
        <w:rPr>
          <w:b/>
          <w:lang w:val="en-US" w:bidi="en-US"/>
        </w:rPr>
        <w:t>Fuente</w:t>
      </w:r>
      <w:proofErr w:type="spellEnd"/>
      <w:r w:rsidRPr="009A6DBC">
        <w:rPr>
          <w:b/>
          <w:lang w:val="en-US" w:bidi="en-US"/>
        </w:rPr>
        <w:t>:</w:t>
      </w:r>
      <w:r w:rsidRPr="009A6DBC">
        <w:rPr>
          <w:lang w:val="en-US" w:bidi="en-US"/>
        </w:rPr>
        <w:t xml:space="preserve"> </w:t>
      </w:r>
      <w:proofErr w:type="spellStart"/>
      <w:r w:rsidRPr="009A6DBC">
        <w:rPr>
          <w:lang w:val="en-US"/>
        </w:rPr>
        <w:t>Vergara</w:t>
      </w:r>
      <w:proofErr w:type="spellEnd"/>
      <w:r w:rsidRPr="009A6DBC">
        <w:rPr>
          <w:lang w:val="en-US"/>
        </w:rPr>
        <w:t xml:space="preserve">, Walter y </w:t>
      </w:r>
      <w:proofErr w:type="spellStart"/>
      <w:r w:rsidRPr="009A6DBC">
        <w:rPr>
          <w:lang w:val="en-US"/>
        </w:rPr>
        <w:t>otros</w:t>
      </w:r>
      <w:proofErr w:type="spellEnd"/>
      <w:r w:rsidRPr="009A6DBC">
        <w:rPr>
          <w:lang w:val="en-US"/>
        </w:rPr>
        <w:t xml:space="preserve"> (2013), </w:t>
      </w:r>
      <w:proofErr w:type="gramStart"/>
      <w:r w:rsidRPr="009A6DBC">
        <w:rPr>
          <w:i/>
          <w:iCs/>
          <w:lang w:val="en-US"/>
        </w:rPr>
        <w:t>The</w:t>
      </w:r>
      <w:proofErr w:type="gramEnd"/>
      <w:r w:rsidRPr="009A6DBC">
        <w:rPr>
          <w:i/>
          <w:iCs/>
          <w:lang w:val="en-US"/>
        </w:rPr>
        <w:t xml:space="preserve"> climate and development challenge for Latin America and the Caribbean: options for climate-resilient, low-carbon development</w:t>
      </w:r>
      <w:r w:rsidRPr="009A6DBC">
        <w:rPr>
          <w:lang w:val="en-US"/>
        </w:rPr>
        <w:t>, Inter-American Development Bank.</w:t>
      </w:r>
    </w:p>
    <w:p w:rsidR="001A03EB" w:rsidRDefault="001A03EB" w:rsidP="00CD7CFE">
      <w:pPr>
        <w:rPr>
          <w:lang w:val="en-US"/>
        </w:rPr>
      </w:pPr>
    </w:p>
    <w:p w:rsidR="001A03EB" w:rsidRDefault="001A03EB" w:rsidP="00CD7CFE">
      <w:pPr>
        <w:rPr>
          <w:lang w:val="en-US"/>
        </w:rPr>
      </w:pPr>
    </w:p>
    <w:p w:rsidR="009E39EE" w:rsidRPr="005874E0" w:rsidRDefault="009E39EE" w:rsidP="00CD7CFE">
      <w:pPr>
        <w:rPr>
          <w:lang w:val="en-US"/>
        </w:rPr>
      </w:pPr>
      <w:r w:rsidRPr="005874E0">
        <w:rPr>
          <w:lang w:val="en-US"/>
        </w:rPr>
        <w:tab/>
      </w:r>
    </w:p>
    <w:p w:rsidR="009E39EE" w:rsidRPr="005874E0" w:rsidRDefault="009E39EE" w:rsidP="00CD7CFE">
      <w:pPr>
        <w:rPr>
          <w:lang w:val="en-US"/>
        </w:rPr>
      </w:pPr>
    </w:p>
    <w:p w:rsidR="001A03EB" w:rsidRDefault="001A03EB" w:rsidP="001A03EB">
      <w:pPr>
        <w:pStyle w:val="STituloJerarquia2SINnumeral"/>
        <w:numPr>
          <w:ilvl w:val="0"/>
          <w:numId w:val="9"/>
        </w:numPr>
      </w:pPr>
      <w:r>
        <w:t>Cambio climático y pobreza</w:t>
      </w:r>
    </w:p>
    <w:p w:rsidR="001A03EB" w:rsidRDefault="001A03EB" w:rsidP="00CD7CFE">
      <w:pPr>
        <w:rPr>
          <w:lang w:val="pt-BR"/>
        </w:rPr>
      </w:pPr>
    </w:p>
    <w:p w:rsidR="005874E0" w:rsidRDefault="005874E0" w:rsidP="00CD7CFE">
      <w:pPr>
        <w:rPr>
          <w:lang w:val="pt-BR"/>
        </w:rPr>
      </w:pPr>
    </w:p>
    <w:p w:rsidR="005874E0" w:rsidRDefault="00001E8E" w:rsidP="00CD7CFE">
      <w:pPr>
        <w:rPr>
          <w:lang w:val="pt-BR"/>
        </w:rPr>
      </w:pPr>
      <w:r>
        <w:rPr>
          <w:lang w:val="pt-BR"/>
        </w:rPr>
        <w:t xml:space="preserve">Los párrafos anteriores muestrn los cambios experimentados por el sistema climático y sus principales implicaciones sobre los []. Una de las principales características del cambio climático es la heterogeneridad de sus consecuencias. Se espera que sus impactos sean particularmente agudos en las regiones más pobres del planeta .  </w:t>
      </w:r>
    </w:p>
    <w:p w:rsidR="005874E0" w:rsidRPr="001A03EB" w:rsidRDefault="005874E0" w:rsidP="00CD7CFE">
      <w:pPr>
        <w:rPr>
          <w:lang w:val="pt-BR"/>
        </w:rPr>
        <w:sectPr w:rsidR="005874E0" w:rsidRPr="001A03EB" w:rsidSect="0045379A">
          <w:type w:val="oddPage"/>
          <w:pgSz w:w="12240" w:h="15840"/>
          <w:pgMar w:top="1440" w:right="1440" w:bottom="1440" w:left="1440" w:header="720" w:footer="720" w:gutter="0"/>
          <w:cols w:space="720"/>
          <w:docGrid w:linePitch="360"/>
        </w:sectPr>
      </w:pPr>
    </w:p>
    <w:p w:rsidR="00652C8E" w:rsidRPr="001A1F7A" w:rsidRDefault="00214E56" w:rsidP="00214E56">
      <w:pPr>
        <w:pStyle w:val="STituloJerarquia1"/>
      </w:pPr>
      <w:r>
        <w:rPr>
          <w:lang w:val="es-ES"/>
        </w:rPr>
        <w:lastRenderedPageBreak/>
        <w:t>III.</w:t>
      </w:r>
      <w:r>
        <w:rPr>
          <w:lang w:val="es-ES"/>
        </w:rPr>
        <w:tab/>
      </w:r>
      <w:r w:rsidR="00656BF5" w:rsidRPr="001A1F7A">
        <w:t>Crecimiento y pobreza</w:t>
      </w:r>
    </w:p>
    <w:p w:rsidR="00E264BA" w:rsidRDefault="00E264BA" w:rsidP="00E264BA">
      <w:pPr>
        <w:pStyle w:val="STituloJerarquia2SINnumeral"/>
        <w:numPr>
          <w:ilvl w:val="0"/>
          <w:numId w:val="11"/>
        </w:numPr>
      </w:pPr>
      <w:r>
        <w:t>Panorama regional</w:t>
      </w:r>
    </w:p>
    <w:p w:rsidR="00E264BA" w:rsidRDefault="00E264BA" w:rsidP="005E2F79">
      <w:pPr>
        <w:ind w:firstLine="567"/>
        <w:rPr>
          <w:lang w:val="es-ES"/>
        </w:rPr>
      </w:pPr>
    </w:p>
    <w:p w:rsidR="00E264BA" w:rsidRDefault="00E264BA" w:rsidP="005E2F79">
      <w:pPr>
        <w:ind w:firstLine="567"/>
        <w:rPr>
          <w:lang w:val="es-ES"/>
        </w:rPr>
      </w:pPr>
    </w:p>
    <w:p w:rsidR="004C0CC0" w:rsidRDefault="0043659D" w:rsidP="005E2F79">
      <w:pPr>
        <w:ind w:firstLine="567"/>
        <w:rPr>
          <w:lang w:val="es-ES"/>
        </w:rPr>
      </w:pPr>
      <w:r>
        <w:rPr>
          <w:lang w:val="es-ES"/>
        </w:rPr>
        <w:t xml:space="preserve">América Latina y el Caribe </w:t>
      </w:r>
      <w:proofErr w:type="gramStart"/>
      <w:r>
        <w:rPr>
          <w:lang w:val="es-ES"/>
        </w:rPr>
        <w:t>ha</w:t>
      </w:r>
      <w:proofErr w:type="gramEnd"/>
      <w:r>
        <w:rPr>
          <w:lang w:val="es-ES"/>
        </w:rPr>
        <w:t xml:space="preserve"> experimentado un </w:t>
      </w:r>
      <w:r w:rsidR="00656BF5">
        <w:rPr>
          <w:lang w:val="es-ES"/>
        </w:rPr>
        <w:t>crecimiento relativamente lento</w:t>
      </w:r>
      <w:r>
        <w:rPr>
          <w:lang w:val="es-ES"/>
        </w:rPr>
        <w:t>, considerando su PIB per cápita</w:t>
      </w:r>
      <w:r w:rsidR="00656BF5">
        <w:rPr>
          <w:lang w:val="es-ES"/>
        </w:rPr>
        <w:t xml:space="preserve">. </w:t>
      </w:r>
      <w:r>
        <w:rPr>
          <w:lang w:val="es-ES"/>
        </w:rPr>
        <w:t xml:space="preserve">Para el periodo 1980 – 2011, el PIB de la región creció a una tasa de 2,6% anual, mientras que la población se expandió a una tasa de 1,7%, por lo que en términos per cápita la región solamente creció al 0,9% anual. Esto contrasta con lo alcanzado por otras regiones, principalmente en Asia, donde el crecimiento del producto por habitante </w:t>
      </w:r>
      <w:r w:rsidR="00D30736">
        <w:rPr>
          <w:lang w:val="es-ES"/>
        </w:rPr>
        <w:t xml:space="preserve">creció. </w:t>
      </w:r>
    </w:p>
    <w:p w:rsidR="0043659D" w:rsidRDefault="0043659D" w:rsidP="00214E56">
      <w:pPr>
        <w:rPr>
          <w:lang w:val="es-ES"/>
        </w:rPr>
      </w:pPr>
    </w:p>
    <w:p w:rsidR="000B3111" w:rsidRDefault="000B3111" w:rsidP="000B3111">
      <w:pPr>
        <w:pStyle w:val="Caption"/>
        <w:spacing w:after="0"/>
        <w:jc w:val="center"/>
        <w:rPr>
          <w:color w:val="auto"/>
        </w:rPr>
      </w:pPr>
      <w:r w:rsidRPr="00E47A79">
        <w:rPr>
          <w:color w:val="auto"/>
        </w:rPr>
        <w:t xml:space="preserve">GRÁFICO </w:t>
      </w:r>
      <w:r w:rsidR="002C32F8" w:rsidRPr="00E47A79">
        <w:rPr>
          <w:color w:val="auto"/>
        </w:rPr>
        <w:fldChar w:fldCharType="begin"/>
      </w:r>
      <w:r w:rsidRPr="00E47A79">
        <w:rPr>
          <w:color w:val="auto"/>
        </w:rPr>
        <w:instrText xml:space="preserve"> SEQ GRÁFICO \* ARABIC </w:instrText>
      </w:r>
      <w:r w:rsidR="002C32F8" w:rsidRPr="00E47A79">
        <w:rPr>
          <w:color w:val="auto"/>
        </w:rPr>
        <w:fldChar w:fldCharType="separate"/>
      </w:r>
      <w:r w:rsidR="00DC1BC3">
        <w:rPr>
          <w:noProof/>
          <w:color w:val="auto"/>
        </w:rPr>
        <w:t>5</w:t>
      </w:r>
      <w:r w:rsidR="002C32F8" w:rsidRPr="00E47A79">
        <w:rPr>
          <w:color w:val="auto"/>
        </w:rPr>
        <w:fldChar w:fldCharType="end"/>
      </w:r>
    </w:p>
    <w:p w:rsidR="00FF5D05" w:rsidRPr="00FF5D05" w:rsidRDefault="00FF5D05" w:rsidP="00FF5D05">
      <w:pPr>
        <w:jc w:val="center"/>
        <w:rPr>
          <w:b/>
          <w:lang w:val="es-ES"/>
        </w:rPr>
      </w:pPr>
      <w:r w:rsidRPr="00FF5D05">
        <w:rPr>
          <w:b/>
          <w:lang w:val="es-ES"/>
        </w:rPr>
        <w:t>América Latina: evolución de la pobreza y de la indigencia, 1980-2013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43659D" w:rsidRPr="00D30736" w:rsidTr="00424DA4">
        <w:tc>
          <w:tcPr>
            <w:tcW w:w="4788" w:type="dxa"/>
          </w:tcPr>
          <w:p w:rsidR="0043659D" w:rsidRDefault="0043659D" w:rsidP="00214E56">
            <w:pPr>
              <w:rPr>
                <w:lang w:val="es-ES"/>
              </w:rPr>
            </w:pPr>
          </w:p>
        </w:tc>
        <w:tc>
          <w:tcPr>
            <w:tcW w:w="4788" w:type="dxa"/>
          </w:tcPr>
          <w:p w:rsidR="0043659D" w:rsidRDefault="0043659D" w:rsidP="00214E56">
            <w:pPr>
              <w:rPr>
                <w:lang w:val="es-ES"/>
              </w:rPr>
            </w:pPr>
          </w:p>
        </w:tc>
      </w:tr>
      <w:tr w:rsidR="0043659D" w:rsidTr="00424DA4">
        <w:tc>
          <w:tcPr>
            <w:tcW w:w="4788" w:type="dxa"/>
          </w:tcPr>
          <w:p w:rsidR="0043659D" w:rsidRDefault="00293BC4" w:rsidP="00214E56">
            <w:pPr>
              <w:rPr>
                <w:lang w:val="es-ES"/>
              </w:rPr>
            </w:pPr>
            <w:r w:rsidRPr="00293BC4">
              <w:rPr>
                <w:noProof/>
                <w:lang w:val="en-US"/>
              </w:rPr>
              <w:lastRenderedPageBreak/>
              <w:drawing>
                <wp:inline distT="0" distB="0" distL="0" distR="0">
                  <wp:extent cx="2962656" cy="2596896"/>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788" w:type="dxa"/>
          </w:tcPr>
          <w:p w:rsidR="0043659D" w:rsidRDefault="00293BC4" w:rsidP="00214E56">
            <w:pPr>
              <w:rPr>
                <w:lang w:val="es-ES"/>
              </w:rPr>
            </w:pPr>
            <w:r w:rsidRPr="00293BC4">
              <w:rPr>
                <w:noProof/>
                <w:lang w:val="en-US"/>
              </w:rPr>
              <w:drawing>
                <wp:inline distT="0" distB="0" distL="0" distR="0">
                  <wp:extent cx="2977287" cy="25968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FF5D05" w:rsidRPr="00FF5D05" w:rsidRDefault="00293BC4" w:rsidP="00FF5D05">
      <w:pPr>
        <w:rPr>
          <w:sz w:val="20"/>
          <w:szCs w:val="24"/>
          <w:lang w:val="es-ES"/>
        </w:rPr>
      </w:pPr>
      <w:r>
        <w:rPr>
          <w:lang w:val="es-ES"/>
        </w:rPr>
        <w:t xml:space="preserve">Fuente: Elaboración propia con datos </w:t>
      </w:r>
      <w:r w:rsidR="00FF5D05" w:rsidRPr="00FF5D05">
        <w:rPr>
          <w:sz w:val="20"/>
          <w:szCs w:val="24"/>
          <w:lang w:val="es-ES"/>
        </w:rPr>
        <w:t xml:space="preserve">CEPAL, Comisión Económica para América Latina y el Caribe (2013), </w:t>
      </w:r>
      <w:r w:rsidR="00FF5D05" w:rsidRPr="00FF5D05">
        <w:rPr>
          <w:i/>
          <w:iCs/>
          <w:sz w:val="20"/>
          <w:szCs w:val="24"/>
          <w:lang w:val="es-ES"/>
        </w:rPr>
        <w:t>Panorama social de América Latina, 2012</w:t>
      </w:r>
      <w:r w:rsidR="00FF5D05" w:rsidRPr="00FF5D05">
        <w:rPr>
          <w:sz w:val="20"/>
          <w:szCs w:val="24"/>
          <w:lang w:val="es-ES"/>
        </w:rPr>
        <w:t>, Panorama Social de América Latina, Santiago, CEPAL.</w:t>
      </w:r>
      <w:r w:rsidR="00FF5D05">
        <w:rPr>
          <w:sz w:val="20"/>
          <w:szCs w:val="24"/>
          <w:lang w:val="es-ES"/>
        </w:rPr>
        <w:t xml:space="preserve"> </w:t>
      </w:r>
      <w:proofErr w:type="gramStart"/>
      <w:r w:rsidR="00FF5D05">
        <w:rPr>
          <w:sz w:val="20"/>
          <w:szCs w:val="24"/>
          <w:lang w:val="es-ES"/>
        </w:rPr>
        <w:t>y</w:t>
      </w:r>
      <w:proofErr w:type="gramEnd"/>
      <w:r w:rsidR="00FF5D05">
        <w:rPr>
          <w:sz w:val="20"/>
          <w:szCs w:val="24"/>
          <w:lang w:val="es-ES"/>
        </w:rPr>
        <w:t xml:space="preserve"> CEPAL </w:t>
      </w:r>
      <w:r w:rsidR="00FF5D05" w:rsidRPr="00FF5D05">
        <w:rPr>
          <w:sz w:val="20"/>
          <w:szCs w:val="24"/>
          <w:lang w:val="es-ES"/>
        </w:rPr>
        <w:t xml:space="preserve"> (2013), </w:t>
      </w:r>
      <w:r w:rsidR="00FF5D05" w:rsidRPr="00FF5D05">
        <w:rPr>
          <w:i/>
          <w:iCs/>
          <w:sz w:val="20"/>
          <w:szCs w:val="24"/>
          <w:lang w:val="es-ES"/>
        </w:rPr>
        <w:t>Panorama social de América Latina, 2013. Documento Informativo</w:t>
      </w:r>
      <w:r w:rsidR="00FF5D05" w:rsidRPr="00FF5D05">
        <w:rPr>
          <w:sz w:val="20"/>
          <w:szCs w:val="24"/>
          <w:lang w:val="es-ES"/>
        </w:rPr>
        <w:t>, Panorama Social de América Latina, Santiago, CEPAL.</w:t>
      </w:r>
    </w:p>
    <w:p w:rsidR="004C0CC0" w:rsidRDefault="004C0CC0" w:rsidP="00FA2270">
      <w:pPr>
        <w:rPr>
          <w:sz w:val="18"/>
          <w:lang w:val="es-ES"/>
        </w:rPr>
      </w:pPr>
    </w:p>
    <w:p w:rsidR="00181D30" w:rsidRDefault="00181D30" w:rsidP="00181D30">
      <w:pPr>
        <w:rPr>
          <w:lang w:val="es-ES"/>
        </w:rPr>
      </w:pPr>
    </w:p>
    <w:p w:rsidR="00181D30" w:rsidRDefault="00181D30" w:rsidP="00181D30">
      <w:pPr>
        <w:rPr>
          <w:lang w:val="es-ES"/>
        </w:rPr>
      </w:pPr>
      <w:r>
        <w:rPr>
          <w:lang w:val="es-ES"/>
        </w:rPr>
        <w:t>Problemas con la medición de la pobreza*****</w:t>
      </w:r>
    </w:p>
    <w:p w:rsidR="009A6DBC" w:rsidRDefault="009A6DBC" w:rsidP="00181D30">
      <w:pPr>
        <w:rPr>
          <w:lang w:val="es-ES"/>
        </w:rPr>
      </w:pPr>
    </w:p>
    <w:p w:rsidR="001A1F7A" w:rsidRDefault="009A6DBC" w:rsidP="001A1F7A">
      <w:pPr>
        <w:rPr>
          <w:lang w:val="es-ES"/>
        </w:rPr>
      </w:pPr>
      <w:r>
        <w:rPr>
          <w:lang w:val="es-ES"/>
        </w:rPr>
        <w:t>Un enfoque es establecer el impacto del cambio climático en el crecimiento económico y sus implicaciones sobre los índices de pobreza.</w:t>
      </w:r>
    </w:p>
    <w:p w:rsidR="009E5C5C" w:rsidRDefault="009E5C5C" w:rsidP="001A1F7A">
      <w:pPr>
        <w:rPr>
          <w:lang w:val="es-ES"/>
        </w:rPr>
      </w:pPr>
    </w:p>
    <w:p w:rsidR="009E5C5C" w:rsidRPr="009E5C5C" w:rsidRDefault="009E5C5C" w:rsidP="009E5C5C">
      <w:r w:rsidRPr="009E5C5C">
        <w:t xml:space="preserve">En la actualidad América Latina se enfrenta a diversos desafíos económicos entre los cuales se encuentra de manera apremiante el logro de un cambio estructural que le permita diversificar su base productiva y reducir su vulnerabilidad frente al comercio exterior, dada la concentración de sus exportaciones en bienes primarios y </w:t>
      </w:r>
      <w:r w:rsidRPr="009E5C5C">
        <w:rPr>
          <w:i/>
        </w:rPr>
        <w:t>commodities</w:t>
      </w:r>
      <w:r w:rsidRPr="009E5C5C">
        <w:t>. Por su parte, el mayor desafío social de la región se encuentra focalizado en la reducción de la  pobreza y la indigencia y en conseguir una mejor distribución del ingreso, dado que América Latina sostiene actualmente los índices más elevados de desigualdad mundial superando los noveles de Asia, Europa del Este e incluso de países africanos</w:t>
      </w:r>
      <w:r w:rsidRPr="009E5C5C">
        <w:rPr>
          <w:vertAlign w:val="superscript"/>
        </w:rPr>
        <w:footnoteReference w:id="7"/>
      </w:r>
      <w:r w:rsidRPr="009E5C5C">
        <w:t xml:space="preserve">. Frente a esta situación, resulta importante prestar cuidadosa atención al ambiente económico y social actual de la región, de manera que su análisis detallado nos permita construir juicios y proponer soluciones a los desafíos presentes en la sociedad latinoamericana. El presenta análisis se hace poniendo especial énfasis en el crecimiento económico de los países latinoamericanos analizado a través del crecimiento de su producto interno bruto; la situación actual de la pobreza media y extrema  medida a través del índice de recuento, la brecha de pobreza y la brecha de pobreza al cuadrado, y finalmente la distribución del ingreso estudiada a través del índice de Gini. </w:t>
      </w:r>
    </w:p>
    <w:p w:rsidR="009E5C5C" w:rsidRPr="009E5C5C" w:rsidRDefault="009E5C5C" w:rsidP="009E5C5C"/>
    <w:p w:rsidR="009E5C5C" w:rsidRPr="009E5C5C" w:rsidRDefault="009E5C5C" w:rsidP="009E5C5C">
      <w:r w:rsidRPr="009E5C5C">
        <w:t xml:space="preserve">Existe una relación inversa innegable entre el crecimiento económico y los niveles de pobreza de una sociedad y, si bien es cierto que en la explicación del curso de la pobreza el crecimiento no es la única variable influyente, es bien sabido que aporta un gran porcentaje de la explicación del comportamiento de la variable social, por otro lado se encuentra la distribución del ingreso, que así mismo tiene un porcentaje importante de la explicación. </w:t>
      </w:r>
    </w:p>
    <w:p w:rsidR="009E5C5C" w:rsidRPr="009E5C5C" w:rsidRDefault="009E5C5C" w:rsidP="009E5C5C"/>
    <w:p w:rsidR="009E5C5C" w:rsidRPr="009E5C5C" w:rsidRDefault="009E5C5C" w:rsidP="009E5C5C">
      <w:r w:rsidRPr="009E5C5C">
        <w:t xml:space="preserve">En la actualidad la contribución de América Latina a la economía global es de 8-9%, mismo nivel registrado a principios de los años 90’s, el contexto económico ha estado marcado por la desaceleración de la economía global como resultado de la crisis en la zona Euro, los problemas en la economía china y las bajas tasas de crecimiento de Estados Unidos, con lo cual la región obtuvo en 2012 un crecimiento de 3%, que si bien es </w:t>
      </w:r>
      <w:r w:rsidRPr="009E5C5C">
        <w:lastRenderedPageBreak/>
        <w:t>mayor al promedio mundial (ubicado en 2,2%), es inferior a la obtenida en dos dos años anteriores. El crecimiento promedio del producto interno por habitante fue de 1,9%, resultado que es, de igual manera, inferior al obtenido en 2010 y 2011 y que fue causado principalmente por la desaceleración económica de Argentina y Brasil, ya que sin tomar en cuenta estos países el crecimiento per cápita habría sido de 2,9%.</w:t>
      </w:r>
      <w:r w:rsidRPr="009E5C5C">
        <w:rPr>
          <w:vertAlign w:val="superscript"/>
        </w:rPr>
        <w:footnoteReference w:id="8"/>
      </w:r>
    </w:p>
    <w:p w:rsidR="009E5C5C" w:rsidRPr="009E5C5C" w:rsidRDefault="009E5C5C" w:rsidP="009E5C5C"/>
    <w:p w:rsidR="009E5C5C" w:rsidRPr="009E5C5C" w:rsidRDefault="009E5C5C" w:rsidP="009E5C5C">
      <w:r w:rsidRPr="009E5C5C">
        <w:t xml:space="preserve">Los países que presentaron un mejor comportamiento macroeconómico (medido por el PIB per cápita) fueron: Chile, Panamá, Perú y Venezuela, seguidos por Bolivia, Costa Rica, Ecuador, Nicaragua y Uruguay, mientras que el único país de la región que presentó un crecimiento negativo del PIB por habitante fue Paraguay  con una tasa igual a -2,8% de 2011  a 2012. </w:t>
      </w:r>
      <w:r w:rsidRPr="009E5C5C">
        <w:rPr>
          <w:vertAlign w:val="superscript"/>
        </w:rPr>
        <w:footnoteReference w:id="9"/>
      </w:r>
    </w:p>
    <w:p w:rsidR="009E5C5C" w:rsidRPr="009E5C5C" w:rsidRDefault="009E5C5C" w:rsidP="009E5C5C"/>
    <w:p w:rsidR="009E5C5C" w:rsidRPr="009E5C5C" w:rsidRDefault="009E5C5C" w:rsidP="009E5C5C">
      <w:r w:rsidRPr="009E5C5C">
        <w:t xml:space="preserve">A pesar de presentar un comportamiento aceptable en comparación al contexto internacional, actualmente el panorama general de América Latina no se presenta de manera favorable, dados los numerosos  riesgos de comercio externo que hoy por hoy afronta la región propios de su estructura productiva, las diversas restricciones al volumen del comercio  global, las estructuras internacionales de precios y la incertidumbre financiera regional. </w:t>
      </w:r>
    </w:p>
    <w:p w:rsidR="009E5C5C" w:rsidRPr="009E5C5C" w:rsidRDefault="009E5C5C" w:rsidP="009E5C5C"/>
    <w:p w:rsidR="009E5C5C" w:rsidRPr="009E5C5C" w:rsidRDefault="009E5C5C" w:rsidP="009E5C5C">
      <w:r w:rsidRPr="009E5C5C">
        <w:t xml:space="preserve">La naturaleza de la producción latinoamericana para la comercialización externa determina la vulnerabilidad de la región frente al comercio internacional, haciendo evidentes los restos estructurales necesarios para que las crisis externas se puedan afrontar con mayor estabilidad. Actualmente el 60% de las exportaciones son materias primas (un 20% más que el nivel que representaban las mismas a principio de la década pasada) cuyo valor se incrementó principalmente por el aumento de los precios internacionales y no por un incremento en los volúmenes de comercio (como sucedió en los 90’s). La concentración de la producción regional en bienes primarios incentiva el aumento de las importaciones de bienes industriales y tecnológicos, que al no tener una oferta interna, obligan a saciar la demanda por medio las importaciones de dichos productos, lo cual afecta la poca producción manufacturera existente  e incrementa la brecha comercial del sector transable y no transable de la economía. </w:t>
      </w:r>
    </w:p>
    <w:p w:rsidR="009E5C5C" w:rsidRPr="009E5C5C" w:rsidRDefault="009E5C5C" w:rsidP="009E5C5C"/>
    <w:p w:rsidR="009E5C5C" w:rsidRPr="009E5C5C" w:rsidRDefault="009E5C5C" w:rsidP="009E5C5C">
      <w:r w:rsidRPr="009E5C5C">
        <w:t xml:space="preserve">Por la menor demanda mundial de los bienes producidos en la región, dado el menor ritmo de crecimiento internacional, las exportaciones de bienes y servicios bajaron en 2012 y, si bien es cierto que la demanda interna puede servir como ente compensador ante esta dificultad, América Latina enfrenta ahora el problema de la convergencia de muchos de sus países a su PIB potencial, a lo que debe sumarse que el precio externo de las principales materias primas exportadas por la región han disminuido desde 2012, mientras que el precio de las importaciones permaneció estable, lo que contribuyó al deterioro del balance externo latinoamericano,  afectando principalmente las economías centro y suramericanas, que actualmente cuentan con un déficit del orden del 10% de su PIB.  Sin embargo, cabe resaltar que los principales países exportadores de hidrocarburos han logrado mantener un superávit en su cuenta corriente. </w:t>
      </w:r>
    </w:p>
    <w:p w:rsidR="009E5C5C" w:rsidRPr="009E5C5C" w:rsidRDefault="009E5C5C" w:rsidP="009E5C5C"/>
    <w:p w:rsidR="009E5C5C" w:rsidRPr="009E5C5C" w:rsidRDefault="009E5C5C" w:rsidP="009E5C5C">
      <w:r w:rsidRPr="009E5C5C">
        <w:t xml:space="preserve">Un factor de riesgo que puede sumarse a los ya mencionados en el desarrollo económico de la región en la actualidad es el endurecimiento de la política monetaria estadounidense que conlleva a un encarecimiento del crédito externo además de reducir flujos de capitales a la región, con lo que la incertidumbre se incrementa y así mismo la volatilidad en los mercados de capitales. </w:t>
      </w:r>
    </w:p>
    <w:p w:rsidR="009E5C5C" w:rsidRPr="009E5C5C" w:rsidRDefault="009E5C5C" w:rsidP="009E5C5C">
      <w:r w:rsidRPr="009E5C5C">
        <w:t xml:space="preserve"> </w:t>
      </w:r>
    </w:p>
    <w:p w:rsidR="009E5C5C" w:rsidRPr="009E5C5C" w:rsidRDefault="009E5C5C" w:rsidP="009E5C5C">
      <w:r w:rsidRPr="009E5C5C">
        <w:t xml:space="preserve">Pese a lo anterior, existen aspectos positivos en el desempeño económico de la región, como es el majeo de la inflación, la evolución de los indicadores del mercado laboral y con ello el incremento en el poder adquisitivo de los salarios. En la mayoría de los países latinoamericanos, la inflación a 2012 presentó niveles menores a los obtenidos en 2011, siendo la tasa promedio 5.3% con 12 países por debajo de dicha cifra, por su parte los precios de los alimentos tuvieron el mismo comportamiento que la inflación general, pero con una diminución menos marcada y superando a la inflación general en 15 países. </w:t>
      </w:r>
      <w:r w:rsidRPr="009E5C5C">
        <w:rPr>
          <w:vertAlign w:val="superscript"/>
        </w:rPr>
        <w:footnoteReference w:id="10"/>
      </w:r>
      <w:r w:rsidRPr="009E5C5C">
        <w:t xml:space="preserve"> Por su parte el mercado laboral </w:t>
      </w:r>
      <w:r w:rsidRPr="009E5C5C">
        <w:lastRenderedPageBreak/>
        <w:t>latinoamericanos presenta las mejores cifras de desempleo de la última década  tras reducir dicha tasa al 6,4% en promedio. El comportamiento del desempleo naturalmente no fue igual en todos los países y así,  Brasil, Chile, Honduras, Panamá́ y el Perú se destacaron por tener una disminución de la tasa mientras que Cuba, Guatemala, el Paraguay y la Republica Dominicana presentaron un alza de 0,5 o más puntos porcentuales.</w:t>
      </w:r>
    </w:p>
    <w:p w:rsidR="009E5C5C" w:rsidRPr="009E5C5C" w:rsidRDefault="009E5C5C" w:rsidP="009E5C5C">
      <w:r w:rsidRPr="009E5C5C">
        <w:t xml:space="preserve"> </w:t>
      </w:r>
    </w:p>
    <w:p w:rsidR="009E5C5C" w:rsidRPr="009E5C5C" w:rsidRDefault="009E5C5C" w:rsidP="009E5C5C">
      <w:r w:rsidRPr="009E5C5C">
        <w:t>Un aspecto importante de la sociedad Latinoamérica es el surgimiento de una nueva “clase media” que surge después de la recuperación de la crisis financiera de 2008, se espera que para 2015 la población situada en esta clase sea el 78% lo cual puede considerarse como aspecto vital para el desarrollo económico por cuanto debe verse esa demanda naciente como potencial precursor de reformas estructurales que permitan diversificar la base productiva de la región, teniendo impactos positivos en el mercado laboral tanto en cantidad como el calidad del empleo y guíen, bajo las políticas complementarías correctas de  las reformas, a aumentos en la productividad regional, la cual se ha convertido en uno de los principales limitantes del crecimiento local. Así mismo, el fortalecimiento del comercio intrarregional ayudaría a ganar competitividad en los mercados internacionales y a fortalecer los procesos de diversificación productiva dado que en este tipo de comercio tiene mayor presencia bienes con alto valor  agregado y aprovechando la capacidad de especialización propia del comercio internacional.</w:t>
      </w:r>
    </w:p>
    <w:p w:rsidR="009E5C5C" w:rsidRPr="009E5C5C" w:rsidRDefault="009E5C5C" w:rsidP="009E5C5C"/>
    <w:p w:rsidR="009E5C5C" w:rsidRPr="009E5C5C" w:rsidRDefault="009E5C5C" w:rsidP="009E5C5C">
      <w:r w:rsidRPr="009E5C5C">
        <w:t>A lo anterior debe sumarse la necesidad y retomada preocupación sobre la formalización de una política industrial regional, con la intención de  apoyar el cambio estructural necesario para la diversificación de nuestra base exportadora, con miras a aprovechar los recursos provenientes del comercio intensivo de materias primas en inversión en conocimiento que permita implementar y aprovechar nuevas tecnologías en la producción. De esta manera, según lo señala el estudio “</w:t>
      </w:r>
      <w:r w:rsidRPr="009E5C5C">
        <w:rPr>
          <w:i/>
        </w:rPr>
        <w:t>Perspectivas económicas de América latina y el Caribe 2014</w:t>
      </w:r>
      <w:r w:rsidRPr="009E5C5C">
        <w:t xml:space="preserve">”, realizado por CEPAL se puede consolidar la formación de una clase media emergente y se aumentará la calidad del empleo, sin incluir que la reforma estructural daría paso a un crecimiento económico más inclusivo, al transferir mano de obra de sectores con baja productividad y alta informalidad, a sectores de mayor productividad capaces de generar encadenamientos productivos. </w:t>
      </w:r>
    </w:p>
    <w:p w:rsidR="009E5C5C" w:rsidRPr="009E5C5C" w:rsidRDefault="009E5C5C" w:rsidP="009E5C5C"/>
    <w:p w:rsidR="009E5C5C" w:rsidRPr="009E5C5C" w:rsidRDefault="009E5C5C" w:rsidP="009E5C5C">
      <w:r w:rsidRPr="009E5C5C">
        <w:t xml:space="preserve">Con base en todo lo anteriormente dicho, es de vital importancia para el desarrollo de nuestra economía, analizar el panorama económico de América latina  de manera integral con vías de proponer soluciones factibles que permitan el desarrollo del cambio estructural necesario que permita aprovechar las dinámicas comerciales internacionales, de la misma forma es importante proponer políticas complementarias para estas políticas de manera que se pueda dar una intensificación del capital humano con miras a mejorar los procesos productivos y aumentar el valor agregado de la producción local. De  igual manera, deben encontrarse soluciones a los problemas de infraestructura y  logística que promuevan el crecimiento y mejoren la competitividad regional. </w:t>
      </w:r>
    </w:p>
    <w:p w:rsidR="009E5C5C" w:rsidRPr="009E5C5C" w:rsidRDefault="009E5C5C" w:rsidP="009E5C5C"/>
    <w:p w:rsidR="009E5C5C" w:rsidRPr="009E5C5C" w:rsidRDefault="009E5C5C" w:rsidP="009E5C5C"/>
    <w:p w:rsidR="009E5C5C" w:rsidRPr="009E5C5C" w:rsidRDefault="009E5C5C" w:rsidP="009E5C5C">
      <w:r w:rsidRPr="009E5C5C">
        <w:t xml:space="preserve">Por si parte la pobreza en la región  ha presentado un comportamiento favorable, presentado una reducción sostenida a lo largo de la última década, con un caída acumulada de 15,7% desde 2002, mientras que la indigencia se ha reducido en 8%, debido principalmente a que el precio de los alimentos ha caído en menor magnitud que el índice general de precios, como se aclaró anteriormente; así, actualmente la pobreza media y extrema se encuentran en 28,2% y 11,3% de la población respectivamente, cifra en la que debe tenerse en cuenta la  </w:t>
      </w:r>
    </w:p>
    <w:p w:rsidR="009E5C5C" w:rsidRPr="009E5C5C" w:rsidRDefault="009E5C5C" w:rsidP="009E5C5C"/>
    <w:p w:rsidR="009E5C5C" w:rsidRPr="009E5C5C" w:rsidRDefault="009E5C5C" w:rsidP="009E5C5C">
      <w:r w:rsidRPr="009E5C5C">
        <w:t xml:space="preserve">Dada la relación existente entre crecimiento y pobreza, y conforme a que no se esperan cambios significativos en el crecimiento del producto interno per cápita en la región para 2013, ni variaciones significativas del nivel de empleo o  inflación, cabe esperar que los niveles de pobreza e indigencia conserven la tendencia y una magnitud parecida a la presentada en 2012, año para el cual se cuenta con información de 11 países sobre ambas variables, reflejando un comportamiento variado pero marcado por la reducción en los índices, con excepción de México, que presentó un aumento de pequeña cantidad de 2011 a 2012. </w:t>
      </w:r>
    </w:p>
    <w:p w:rsidR="009E5C5C" w:rsidRPr="009E5C5C" w:rsidRDefault="009E5C5C" w:rsidP="009E5C5C">
      <w:r w:rsidRPr="009E5C5C">
        <w:t xml:space="preserve">Los índices de pobreza monetaria Brecha de pobreza y brecha de pobreza al cuadrado, (que respectivamente dan cuenta de la distancia entre el ingreso promedio de las familias pobres y la línea de pobreza como porcentaje de la misma, y dicha distancia poniendo especial énfasis en la distribución del ingreso entre las </w:t>
      </w:r>
      <w:r w:rsidRPr="009E5C5C">
        <w:lastRenderedPageBreak/>
        <w:t>personas pobres), han tenido un comportamiento variante con tendencia a la reducción y que se presenta similar en distintos grupos de países como son: Colombia, Ecuador, Perú y República Dominicana, donde las variaciones son prácticamente idénticas; en Argentina, Costa Rica, Uruguay y Venezuela los índices disminuyeron en menor proporción que el índice de recuento, de lo que se deduce que la distancia promedio entre la línea de pobreza y los ingresos promedio de los pobres aumentó, situación que fue contraria en Brasil, México y El Salvador de 2011 a 2012.</w:t>
      </w:r>
    </w:p>
    <w:p w:rsidR="009E5C5C" w:rsidRPr="009E5C5C" w:rsidRDefault="009E5C5C" w:rsidP="009E5C5C"/>
    <w:p w:rsidR="009E5C5C" w:rsidRPr="009E5C5C" w:rsidRDefault="009E5C5C" w:rsidP="009E5C5C">
      <w:r w:rsidRPr="009E5C5C">
        <w:t>En el periodo de 2008 a 2011 en la región el índice de  brecha de pobreza y brecha de pobreza al cuadrado se ha reducido más que el índice de recuento, especialmente en los países con mayor reducción de la pobreza,  lo cual ha revelado la mejora en la situación de las personas que se encuentran bajo la línea de pobreza y no solo los que se encuentran cerca del umbral.</w:t>
      </w:r>
    </w:p>
    <w:p w:rsidR="009E5C5C" w:rsidRPr="009E5C5C" w:rsidRDefault="009E5C5C" w:rsidP="009E5C5C">
      <w:r w:rsidRPr="009E5C5C">
        <w:t xml:space="preserve"> </w:t>
      </w:r>
    </w:p>
    <w:p w:rsidR="009E5C5C" w:rsidRPr="009E5C5C" w:rsidRDefault="009E5C5C" w:rsidP="009E5C5C">
      <w:r w:rsidRPr="009E5C5C">
        <w:t>En los cambios que ha sufrido la región en los temas de pobreza e indigencia, han tenido un papel primordial la situación de los ingresos, el crecimiento económico (efecto crecimiento) y la distribución del ingreso (efecto distribución), de suerte que resulta útil analizar los factores determinantes de los cambios que han ocurrido en la región de 2011 a 2012.</w:t>
      </w:r>
      <w:r w:rsidRPr="009E5C5C">
        <w:rPr>
          <w:vertAlign w:val="superscript"/>
        </w:rPr>
        <w:footnoteReference w:id="11"/>
      </w:r>
    </w:p>
    <w:p w:rsidR="009E5C5C" w:rsidRPr="009E5C5C" w:rsidRDefault="009E5C5C" w:rsidP="009E5C5C"/>
    <w:p w:rsidR="009E5C5C" w:rsidRPr="009E5C5C" w:rsidRDefault="009E5C5C" w:rsidP="009E5C5C">
      <w:r w:rsidRPr="009E5C5C">
        <w:t>En el 2012 prácticamente todos los países tuvieron un aumento de los ingresos principalmente por el aumento de los ingresos de los ya ocupados, ya que el porcentaje de personas ocupadas no varió de forma significativa, este hecho es importante ya que si bien la tasa de desempleo en la región se encuentra en los niveles más bajos de la última década, este dato muestra que la población empleada no ha logrado superar los niveles actuales, hecho que, con buenas directrices, contribuiría en gran medida a la reducción de la pobreza.</w:t>
      </w:r>
    </w:p>
    <w:p w:rsidR="009E5C5C" w:rsidRPr="009E5C5C" w:rsidRDefault="009E5C5C" w:rsidP="009E5C5C"/>
    <w:p w:rsidR="009E5C5C" w:rsidRPr="009E5C5C" w:rsidRDefault="009E5C5C" w:rsidP="009E5C5C">
      <w:r w:rsidRPr="009E5C5C">
        <w:t>Según “</w:t>
      </w:r>
      <w:r w:rsidRPr="009E5C5C">
        <w:rPr>
          <w:i/>
        </w:rPr>
        <w:t>PANORAMA SOCIAL 2013”</w:t>
      </w:r>
      <w:r w:rsidRPr="009E5C5C">
        <w:t xml:space="preserve"> estudio lanzado en diciembre del mismo año, para los países de los cuales se tiene información de cifras actualizadas  a 2012, el efecto crecimiento explicó casi en su totalidad los cambios producidos en los niveles de pobreza en aquellos países donde la misma se redujo en al menos un punto porcentual de 2011 a 2012, mientras que en los países donde se presentaron menores niveles de reducción de la variable social predominó el efecto distribución.  Sin embargo, un estudio mas longitudinal con rango de 2008 a 2012 concluye que la diferencia en el aporte de ambos efectos no es tan marcada por cuanto, si bien es cierto que en la mayoría de los países el efecto crecimiento predominó en la explicación, para  dos países  con reducciones significativas de la pobreza, el efecto distribución explicó mas del 50% de los cambios de pobreza y contribuyó al 25% en otros seis </w:t>
      </w:r>
      <w:r w:rsidRPr="009E5C5C">
        <w:rPr>
          <w:vertAlign w:val="superscript"/>
        </w:rPr>
        <w:footnoteReference w:id="12"/>
      </w:r>
    </w:p>
    <w:p w:rsidR="009E5C5C" w:rsidRPr="009E5C5C" w:rsidRDefault="009E5C5C" w:rsidP="009E5C5C"/>
    <w:p w:rsidR="009E5C5C" w:rsidRPr="009E5C5C" w:rsidRDefault="009E5C5C" w:rsidP="009E5C5C">
      <w:r w:rsidRPr="009E5C5C">
        <w:t>GRÁFICO 1. América Latina (13 países): Cambios en la pobreza y contribución de los efectos crecimiento y distribución 2008-2012</w:t>
      </w:r>
    </w:p>
    <w:p w:rsidR="009E5C5C" w:rsidRPr="009E5C5C" w:rsidRDefault="009E5C5C" w:rsidP="009E5C5C">
      <w:r w:rsidRPr="009E5C5C">
        <w:rPr>
          <w:noProof/>
          <w:lang w:val="en-US"/>
        </w:rPr>
        <w:lastRenderedPageBreak/>
        <w:drawing>
          <wp:inline distT="0" distB="0" distL="0" distR="0">
            <wp:extent cx="5612130" cy="2667000"/>
            <wp:effectExtent l="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30.10.pn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13821" b="42862"/>
                    <a:stretch/>
                  </pic:blipFill>
                  <pic:spPr bwMode="auto">
                    <a:xfrm>
                      <a:off x="0" y="0"/>
                      <a:ext cx="5612130" cy="2667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r w:rsidRPr="009E5C5C">
        <w:t>GRÁFICO 2. América Latina (13 países): Cambios en la pobreza y contribución de los efectos crecimiento y distribución 2011-2012</w:t>
      </w:r>
    </w:p>
    <w:p w:rsidR="009E5C5C" w:rsidRPr="009E5C5C" w:rsidRDefault="009E5C5C" w:rsidP="009E5C5C"/>
    <w:p w:rsidR="009E5C5C" w:rsidRPr="009E5C5C" w:rsidRDefault="009E5C5C" w:rsidP="009E5C5C">
      <w:r w:rsidRPr="009E5C5C">
        <w:rPr>
          <w:noProof/>
          <w:lang w:val="en-US"/>
        </w:rPr>
        <w:drawing>
          <wp:inline distT="0" distB="0" distL="0" distR="0">
            <wp:extent cx="5612130" cy="2795905"/>
            <wp:effectExtent l="0" t="0" r="127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30 a la(s) 12.53.54.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612130" cy="2795905"/>
                    </a:xfrm>
                    <a:prstGeom prst="rect">
                      <a:avLst/>
                    </a:prstGeom>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p w:rsidR="009E5C5C" w:rsidRPr="009E5C5C" w:rsidRDefault="009E5C5C" w:rsidP="009E5C5C">
      <w:r w:rsidRPr="009E5C5C">
        <w:t xml:space="preserve">En cuanto a la distribución del ingreso, en esta se ha una reducción sostenida en el índice de Gini desde hace ya un decenio y en muchos países de la región la reducción en el último cuatrienio ha sido aun mayor que en la última década. A pesar de esto, América latina cuenta con un rasgo característica de su situación social del cual no puede enorgullecerse: presenta uno los mayores niveles de desigualdad  del mundo, lo que se refleja en que el 20% de los hogares con menores ingresos, capta tan solo un 5 % de los ingresos totales en promedio, dato que tiene un intervalo que varía entre menos del 4% (Honduras, Paraguay, y República Dominicana) y el 10% (Uruguay). En promedio  la participación del quintal más rico sobre el producto de la región es del 47%, con un rango que oscila entre el 35% (Uruguay) y el 55% en Brasil.  Los niveles actuales muestran como, paulatinamente, se han realizado mejoras en la distribución del ingreso a lo largo de la década. </w:t>
      </w:r>
    </w:p>
    <w:p w:rsidR="009E5C5C" w:rsidRPr="009E5C5C" w:rsidRDefault="009E5C5C" w:rsidP="009E5C5C"/>
    <w:p w:rsidR="009E5C5C" w:rsidRPr="009E5C5C" w:rsidRDefault="009E5C5C" w:rsidP="009E5C5C"/>
    <w:p w:rsidR="009E5C5C" w:rsidRPr="009E5C5C" w:rsidRDefault="009E5C5C" w:rsidP="009E5C5C">
      <w:r w:rsidRPr="009E5C5C">
        <w:rPr>
          <w:noProof/>
          <w:lang w:val="en-US"/>
        </w:rPr>
        <w:drawing>
          <wp:inline distT="0" distB="0" distL="0" distR="0">
            <wp:extent cx="5612130" cy="2925445"/>
            <wp:effectExtent l="0" t="0" r="127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41.45.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612130" cy="2925445"/>
                    </a:xfrm>
                    <a:prstGeom prst="rect">
                      <a:avLst/>
                    </a:prstGeom>
                  </pic:spPr>
                </pic:pic>
              </a:graphicData>
            </a:graphic>
          </wp:inline>
        </w:drawing>
      </w:r>
    </w:p>
    <w:p w:rsidR="009E5C5C" w:rsidRPr="009E5C5C" w:rsidRDefault="009E5C5C" w:rsidP="009E5C5C"/>
    <w:p w:rsidR="009E5C5C" w:rsidRPr="009E5C5C" w:rsidRDefault="009E5C5C" w:rsidP="009E5C5C">
      <w:r w:rsidRPr="009E5C5C">
        <w:t>De los 13 países con información sobre índice de desigualdad a 2012, 12 presentaron una reducción  que en promedio fue de 1% por año estando por encima de dicho promedio Argentina, Brasil, Perú, Uruguay y Venezuela, y ubicándose en menos 0.5% en Colombia, Chile, Ecuador y Panamá.</w:t>
      </w:r>
    </w:p>
    <w:p w:rsidR="009E5C5C" w:rsidRPr="009E5C5C" w:rsidRDefault="009E5C5C" w:rsidP="009E5C5C"/>
    <w:p w:rsidR="009E5C5C" w:rsidRPr="009E5C5C" w:rsidRDefault="009E5C5C" w:rsidP="009E5C5C">
      <w:r w:rsidRPr="009E5C5C">
        <w:t xml:space="preserve">La tendencia de reducir la desigualdad reflejada en la disminución de los índices propios de dicha medición, se ha hecho más fuerte en los últimos cuatro años entre los países  de este caso resaltan Bolivia y Uruguay con reducciones del orden de 4% en el índice de Gini, por otra parte la desigualdad aumentó en Brasil, Venezuela ecuador y México </w:t>
      </w:r>
    </w:p>
    <w:p w:rsidR="009E5C5C" w:rsidRPr="009E5C5C" w:rsidRDefault="009E5C5C" w:rsidP="009E5C5C"/>
    <w:p w:rsidR="009E5C5C" w:rsidRDefault="009E5C5C" w:rsidP="009E5C5C">
      <w:r w:rsidRPr="009E5C5C">
        <w:t>Dada la relación entre el crecimiento, pobreza  y desigualdad, es importante impulsar medidas que permitan que se tengan mayores tasas de crecimiento y con esto se pueda luchar contra la pobreza, así mismo es importante que se promuevan políticas redistributivas, ya que bien enfocadas contribuyen doblemente a la reducción de la pobreza, mediante un aumento en el crecimiento y por el impacto directo que tienen sobre la reducción en sí misma. De forma que resulta conveniente analizar las elasticidades propias de dichas relaciones, estudio del cual deben desprenderse apropiadas recomendaciones de política que favorezcan y faciliten la mejora de la situación social latinoamericana c</w:t>
      </w:r>
      <w:bookmarkStart w:id="7" w:name="_GoBack"/>
      <w:bookmarkEnd w:id="7"/>
      <w:r w:rsidRPr="009E5C5C">
        <w:t>on un enfoque ambiental, centrado en los impactos del cambio climático sobre los niveles de pobreza media y extrema, este es el objetivo del presente artículo .</w:t>
      </w:r>
    </w:p>
    <w:p w:rsidR="009E5C5C" w:rsidRDefault="009E5C5C" w:rsidP="009E5C5C"/>
    <w:p w:rsidR="009E5C5C" w:rsidRDefault="009E5C5C" w:rsidP="009E5C5C">
      <w:pPr>
        <w:rPr>
          <w:lang w:val="es-ES"/>
        </w:rPr>
        <w:sectPr w:rsidR="009E5C5C" w:rsidSect="001A1F7A">
          <w:pgSz w:w="12240" w:h="15840"/>
          <w:pgMar w:top="1440" w:right="1440" w:bottom="1440" w:left="1440" w:header="720" w:footer="720" w:gutter="0"/>
          <w:cols w:space="720"/>
          <w:docGrid w:linePitch="360"/>
        </w:sectPr>
      </w:pPr>
    </w:p>
    <w:p w:rsidR="001A1F7A" w:rsidRPr="001A1F7A" w:rsidRDefault="001A1F7A" w:rsidP="001A1F7A">
      <w:pPr>
        <w:pStyle w:val="STituloJerarquia1"/>
      </w:pPr>
      <w:r w:rsidRPr="001A1F7A">
        <w:lastRenderedPageBreak/>
        <w:t>I</w:t>
      </w:r>
      <w:r>
        <w:t>V</w:t>
      </w:r>
      <w:r w:rsidRPr="001A1F7A">
        <w:t>.</w:t>
      </w:r>
      <w:r w:rsidRPr="001A1F7A">
        <w:tab/>
      </w:r>
      <w:r w:rsidR="005F79C4">
        <w:t>Cambio climático y pobreza</w:t>
      </w:r>
      <w:r w:rsidR="001A135B">
        <w:t>: Aproximación empírica</w:t>
      </w:r>
    </w:p>
    <w:p w:rsidR="002B2493" w:rsidRDefault="002B2493" w:rsidP="002B2493">
      <w:pPr>
        <w:pStyle w:val="STituloJerarquia2SINnumeral"/>
        <w:numPr>
          <w:ilvl w:val="0"/>
          <w:numId w:val="12"/>
        </w:numPr>
      </w:pPr>
      <w:r>
        <w:t>Introducción</w:t>
      </w: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E264BA" w:rsidRDefault="002B2493" w:rsidP="00E264BA">
      <w:pPr>
        <w:pStyle w:val="STituloJerarquia2SINnumeral"/>
        <w:numPr>
          <w:ilvl w:val="0"/>
          <w:numId w:val="12"/>
        </w:numPr>
      </w:pPr>
      <w:r>
        <w:t>Metodología</w:t>
      </w:r>
      <w:r w:rsidR="001A135B">
        <w:t xml:space="preserve"> y evidencia empírica</w:t>
      </w:r>
    </w:p>
    <w:p w:rsidR="002B2493" w:rsidRDefault="002B2493" w:rsidP="005F79C4">
      <w:pPr>
        <w:ind w:firstLine="567"/>
      </w:pPr>
    </w:p>
    <w:p w:rsidR="009C47C8" w:rsidRDefault="005F79C4" w:rsidP="005F79C4">
      <w:pPr>
        <w:ind w:firstLine="567"/>
      </w:pPr>
      <w:r>
        <w:t>L</w:t>
      </w:r>
      <w:r w:rsidR="001012EF">
        <w:t>a cuantificación de los</w:t>
      </w:r>
      <w:r>
        <w:t xml:space="preserve"> impactos del cambio climático sobre la pobreza</w:t>
      </w:r>
      <w:r w:rsidR="001012EF">
        <w:t xml:space="preserve"> se </w:t>
      </w:r>
      <w:r w:rsidR="00D40D3E">
        <w:t>realiza</w:t>
      </w:r>
      <w:r w:rsidR="004357B9">
        <w:t xml:space="preserve"> en </w:t>
      </w:r>
      <w:r w:rsidR="00BA3E99">
        <w:t>tres</w:t>
      </w:r>
      <w:r w:rsidR="004357B9">
        <w:t xml:space="preserve"> etapas. </w:t>
      </w:r>
      <w:r w:rsidR="009C47C8">
        <w:t xml:space="preserve">La primera etapa consiste en cuantificar el efecto del crecimiento económico sobre la pobreza; en la segunda etapa se calcula los efectos del cambio climático sobre el crecimiento económico y, finalmente, se estima el impacto del cambio climático sobre los indicadores de pobreza, a través de su efecto sobre el crecimiento económico. </w:t>
      </w:r>
    </w:p>
    <w:p w:rsidR="005D7890" w:rsidRDefault="005D7890" w:rsidP="005F79C4">
      <w:pPr>
        <w:ind w:firstLine="567"/>
      </w:pPr>
    </w:p>
    <w:p w:rsidR="005D7890" w:rsidRDefault="005D7890" w:rsidP="005F79C4">
      <w:pPr>
        <w:ind w:firstLine="567"/>
      </w:pPr>
    </w:p>
    <w:p w:rsidR="009C47C8" w:rsidRDefault="009C47C8" w:rsidP="005F79C4">
      <w:pPr>
        <w:ind w:firstLine="567"/>
      </w:pPr>
    </w:p>
    <w:p w:rsidR="00E264BA" w:rsidRDefault="00E264BA" w:rsidP="00605794"/>
    <w:p w:rsidR="00605794" w:rsidRDefault="005D7890" w:rsidP="005D7890">
      <w:pPr>
        <w:pStyle w:val="Heading6"/>
        <w:numPr>
          <w:ilvl w:val="0"/>
          <w:numId w:val="15"/>
        </w:numPr>
        <w:rPr>
          <w:sz w:val="24"/>
        </w:rPr>
      </w:pPr>
      <w:r w:rsidRPr="005D7890">
        <w:rPr>
          <w:sz w:val="24"/>
        </w:rPr>
        <w:t>Estimación de</w:t>
      </w:r>
      <w:r w:rsidR="004357F6">
        <w:rPr>
          <w:sz w:val="24"/>
        </w:rPr>
        <w:t xml:space="preserve"> la relación entre</w:t>
      </w:r>
      <w:r w:rsidRPr="005D7890">
        <w:rPr>
          <w:sz w:val="24"/>
        </w:rPr>
        <w:t xml:space="preserve"> crecimiento y pobreza</w:t>
      </w:r>
    </w:p>
    <w:p w:rsidR="005D7890" w:rsidRDefault="005D7890" w:rsidP="005D7890">
      <w:pPr>
        <w:rPr>
          <w:lang w:val="es-CL"/>
        </w:rPr>
      </w:pPr>
    </w:p>
    <w:p w:rsidR="005D7890" w:rsidRDefault="005D7890" w:rsidP="005D7890">
      <w:pPr>
        <w:rPr>
          <w:lang w:val="es-CL"/>
        </w:rPr>
      </w:pPr>
    </w:p>
    <w:p w:rsidR="00786F11" w:rsidRDefault="00836464" w:rsidP="00836464">
      <w:pPr>
        <w:tabs>
          <w:tab w:val="left" w:pos="0"/>
        </w:tabs>
        <w:rPr>
          <w:lang w:val="es-CL"/>
        </w:rPr>
      </w:pPr>
      <w:r>
        <w:rPr>
          <w:lang w:val="es-CL"/>
        </w:rPr>
        <w:lastRenderedPageBreak/>
        <w:tab/>
      </w:r>
      <w:r w:rsidR="005D7890">
        <w:rPr>
          <w:lang w:val="es-CL"/>
        </w:rPr>
        <w:t xml:space="preserve">La relación entre el crecimiento </w:t>
      </w:r>
      <w:r w:rsidR="00786F11">
        <w:rPr>
          <w:lang w:val="es-CL"/>
        </w:rPr>
        <w:t>económico y la reducción de la pobreza se realiza a través de la estimación de la elasticidad-crecimiento de la pobreza</w:t>
      </w:r>
      <w:r w:rsidR="00067E8C">
        <w:rPr>
          <w:lang w:val="es-CL"/>
        </w:rPr>
        <w:t xml:space="preserve"> (</w:t>
      </w:r>
      <m:oMath>
        <m:r>
          <w:rPr>
            <w:rFonts w:ascii="Cambria Math" w:hAnsi="Cambria Math"/>
            <w:lang w:val="es-CL"/>
          </w:rPr>
          <m:t>η</m:t>
        </m:r>
      </m:oMath>
      <w:r w:rsidR="00067E8C">
        <w:rPr>
          <w:lang w:val="es-CL"/>
        </w:rPr>
        <w:t>)</w:t>
      </w:r>
      <w:r w:rsidR="00786F11">
        <w:rPr>
          <w:lang w:val="es-CL"/>
        </w:rPr>
        <w:t xml:space="preserve"> </w:t>
      </w:r>
      <w:r w:rsidR="002C32F8">
        <w:rPr>
          <w:lang w:val="es-CL"/>
        </w:rPr>
        <w:fldChar w:fldCharType="begin"/>
      </w:r>
      <w:r w:rsidR="008963F0">
        <w:rPr>
          <w:lang w:val="es-CL"/>
        </w:rPr>
        <w:instrText xml:space="preserve"> ADDIN ZOTERO_ITEM CSL_CITATION {"citationID":"dceviv5X","properties":{"formattedCitation":"{\\rtf (Bourguignon, 2003; Gasparini, Cicowiez y Sosa Escudero, 2013; Gasparini, Guti\\uc0\\u233{}rrez y Tornarolli, 2007)}","plainCitation":"(Bourguignon, 2003; Gasparini, Cicowiez y Sosa Escudero, 2013; Gasparini, Gutiérrez y Tornarolli, 2007)"},"citationItems":[{"id":4159,"uris":["http://zotero.org/groups/197651/items/F977UHPR"],"uri":["http://zotero.org/groups/197651/items/F977UHPR"],"itemData":{"id":4159,"type":"chapter","title":"The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Escudero","given":"Walter"}],"issued":{"date-parts":[["2013"]]}}},{"id":269,"uris":["http://zotero.org/groups/84346/items/U6XGZZCM"],"uri":["http://zotero.org/groups/84346/items/U6XGZZCM"],"itemData":{"id":269,"type":"article-journal","title":"Growth and income poverty in Latin America and the Caribbean: evidence from household surveys","container-title":"Review of Income and Wealth","page":"209–245","volume":"53","issue":"2","source":"Google Scholar","shortTitle":"Growth and income poverty in Latin America and the Caribbean","author":[{"family":"Gasparini","given":"L."},{"family":"Gutiérrez","given":"F."},{"family":"Tornarolli","given":"L."}],"issued":{"date-parts":[["2007"]]},"accessed":{"date-parts":[["2012",9,26]]}}}],"schema":"https://github.com/citation-style-language/schema/raw/master/csl-citation.json"} </w:instrText>
      </w:r>
      <w:r w:rsidR="002C32F8">
        <w:rPr>
          <w:lang w:val="es-CL"/>
        </w:rPr>
        <w:fldChar w:fldCharType="separate"/>
      </w:r>
      <w:r w:rsidR="008963F0" w:rsidRPr="008963F0">
        <w:rPr>
          <w:szCs w:val="24"/>
        </w:rPr>
        <w:t>(Bourguignon, 2003; Gasparini, Cicowiez y Sosa Escudero, 2013; Gasparini, Gutiérrez y Tornarolli, 2007)</w:t>
      </w:r>
      <w:r w:rsidR="002C32F8">
        <w:rPr>
          <w:lang w:val="es-CL"/>
        </w:rPr>
        <w:fldChar w:fldCharType="end"/>
      </w:r>
      <w:r w:rsidR="00786F11">
        <w:rPr>
          <w:lang w:val="es-CL"/>
        </w:rPr>
        <w:t xml:space="preserve">, la cual se define como el cambio porcentual en el indicador de pobreza por cada punto porcentual de cambio en el ingreso o consumo per cápita </w:t>
      </w:r>
      <w:r w:rsidR="002C32F8">
        <w:rPr>
          <w:lang w:val="es-CL"/>
        </w:rPr>
        <w:fldChar w:fldCharType="begin"/>
      </w:r>
      <w:r w:rsidR="00786F11">
        <w:rPr>
          <w:lang w:val="es-CL"/>
        </w:rPr>
        <w:instrText xml:space="preserve"> ADDIN ZOTERO_ITEM CSL_CITATION {"citationID":"5xcToiXP","properties":{"formattedCitation":"(Gasparini, Cicowiez y Sosa Escudero, 2013)","plainCitation":"(Gasparini, Cicowiez y Sosa Escudero, 2013)"},"citationItems":[{"id":4787,"uris":["http://zotero.org/users/98373/items/A9I3CU4A"],"uri":["http://zotero.org/users/98373/items/A9I3CU4A"],"itemData":{"id":4787,"type":"book","title":"Pobreza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Escudero","given":"Walter"}],"issued":{"date-parts":[["2013"]]}}}],"schema":"https://github.com/citation-style-language/schema/raw/master/csl-citation.json"} </w:instrText>
      </w:r>
      <w:r w:rsidR="002C32F8">
        <w:rPr>
          <w:lang w:val="es-CL"/>
        </w:rPr>
        <w:fldChar w:fldCharType="separate"/>
      </w:r>
      <w:r w:rsidR="00786F11" w:rsidRPr="00786F11">
        <w:t>(Gasparini, Cicowiez y Sosa Escudero, 2013)</w:t>
      </w:r>
      <w:r w:rsidR="002C32F8">
        <w:rPr>
          <w:lang w:val="es-CL"/>
        </w:rPr>
        <w:fldChar w:fldCharType="end"/>
      </w:r>
      <w:r w:rsidR="00786F11">
        <w:rPr>
          <w:lang w:val="es-CL"/>
        </w:rPr>
        <w:t>:</w:t>
      </w:r>
    </w:p>
    <w:p w:rsidR="00786F11" w:rsidRDefault="00786F11" w:rsidP="005D7890">
      <w:pPr>
        <w:ind w:left="360"/>
        <w:rPr>
          <w:lang w:val="es-C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02"/>
        <w:gridCol w:w="674"/>
      </w:tblGrid>
      <w:tr w:rsidR="00786F11" w:rsidTr="00E62498">
        <w:tc>
          <w:tcPr>
            <w:tcW w:w="4648" w:type="pct"/>
            <w:vAlign w:val="center"/>
          </w:tcPr>
          <w:p w:rsidR="00786F11" w:rsidRDefault="00786F11" w:rsidP="00E62498">
            <w:pPr>
              <w:jc w:val="center"/>
              <w:rPr>
                <w:lang w:val="es-CL"/>
              </w:rPr>
            </w:pPr>
            <m:oMathPara>
              <m:oMath>
                <m:r>
                  <w:rPr>
                    <w:rFonts w:ascii="Cambria Math" w:hAnsi="Cambria Math"/>
                    <w:lang w:val="es-CL"/>
                  </w:rPr>
                  <m:t>η=</m:t>
                </m:r>
                <m:f>
                  <m:fPr>
                    <m:ctrlPr>
                      <w:rPr>
                        <w:rFonts w:ascii="Cambria Math" w:hAnsi="Cambria Math"/>
                        <w:i/>
                        <w:lang w:val="es-CL"/>
                      </w:rPr>
                    </m:ctrlPr>
                  </m:fPr>
                  <m:num>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P</m:t>
                        </m:r>
                      </m:num>
                      <m:den>
                        <m:r>
                          <w:rPr>
                            <w:rFonts w:ascii="Cambria Math" w:hAnsi="Cambria Math"/>
                            <w:lang w:val="es-CL"/>
                          </w:rPr>
                          <m:t>P</m:t>
                        </m:r>
                      </m:den>
                    </m:f>
                  </m:num>
                  <m:den>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Y</m:t>
                        </m:r>
                      </m:num>
                      <m:den>
                        <m:r>
                          <w:rPr>
                            <w:rFonts w:ascii="Cambria Math" w:hAnsi="Cambria Math"/>
                            <w:lang w:val="es-CL"/>
                          </w:rPr>
                          <m:t>Y</m:t>
                        </m:r>
                      </m:den>
                    </m:f>
                  </m:den>
                </m:f>
              </m:oMath>
            </m:oMathPara>
          </w:p>
        </w:tc>
        <w:tc>
          <w:tcPr>
            <w:tcW w:w="352" w:type="pct"/>
            <w:vAlign w:val="center"/>
          </w:tcPr>
          <w:p w:rsidR="00786F11" w:rsidRPr="00E62498" w:rsidRDefault="00E62498" w:rsidP="00E62498">
            <w:pPr>
              <w:pStyle w:val="Caption"/>
              <w:jc w:val="center"/>
              <w:rPr>
                <w:lang w:val="es-CL"/>
              </w:rPr>
            </w:pPr>
            <w:r w:rsidRPr="00E62498">
              <w:rPr>
                <w:color w:val="auto"/>
                <w:sz w:val="21"/>
                <w:szCs w:val="20"/>
                <w:lang w:val="es-MX"/>
              </w:rPr>
              <w:t>(</w:t>
            </w:r>
            <w:r w:rsidR="002C32F8" w:rsidRPr="00E62498">
              <w:rPr>
                <w:color w:val="auto"/>
                <w:sz w:val="21"/>
                <w:szCs w:val="20"/>
                <w:lang w:val="es-MX"/>
              </w:rPr>
              <w:fldChar w:fldCharType="begin"/>
            </w:r>
            <w:r w:rsidRPr="00E62498">
              <w:rPr>
                <w:color w:val="auto"/>
                <w:sz w:val="21"/>
                <w:szCs w:val="20"/>
                <w:lang w:val="es-MX"/>
              </w:rPr>
              <w:instrText xml:space="preserve"> SEQ Ecuación \* ARABIC </w:instrText>
            </w:r>
            <w:r w:rsidR="002C32F8" w:rsidRPr="00E62498">
              <w:rPr>
                <w:color w:val="auto"/>
                <w:sz w:val="21"/>
                <w:szCs w:val="20"/>
                <w:lang w:val="es-MX"/>
              </w:rPr>
              <w:fldChar w:fldCharType="separate"/>
            </w:r>
            <w:r w:rsidRPr="00E62498">
              <w:rPr>
                <w:color w:val="auto"/>
                <w:sz w:val="21"/>
                <w:szCs w:val="20"/>
                <w:lang w:val="es-MX"/>
              </w:rPr>
              <w:t>1</w:t>
            </w:r>
            <w:r w:rsidR="002C32F8" w:rsidRPr="00E62498">
              <w:rPr>
                <w:color w:val="auto"/>
                <w:sz w:val="21"/>
                <w:szCs w:val="20"/>
                <w:lang w:val="es-MX"/>
              </w:rPr>
              <w:fldChar w:fldCharType="end"/>
            </w:r>
            <w:r w:rsidR="003151AD" w:rsidRPr="00E62498">
              <w:rPr>
                <w:color w:val="auto"/>
                <w:sz w:val="21"/>
                <w:szCs w:val="20"/>
                <w:lang w:val="es-MX"/>
              </w:rPr>
              <w:t>)</w:t>
            </w:r>
          </w:p>
        </w:tc>
      </w:tr>
    </w:tbl>
    <w:p w:rsidR="005D7890" w:rsidRPr="005D7890" w:rsidRDefault="00786F11" w:rsidP="005D7890">
      <w:pPr>
        <w:ind w:left="360"/>
        <w:rPr>
          <w:lang w:val="es-CL"/>
        </w:rPr>
      </w:pPr>
      <w:r>
        <w:rPr>
          <w:lang w:val="es-CL"/>
        </w:rPr>
        <w:t xml:space="preserve"> </w:t>
      </w:r>
    </w:p>
    <w:p w:rsidR="00E264BA" w:rsidRDefault="00836464" w:rsidP="00E264BA">
      <w:r>
        <w:t xml:space="preserve">Donde </w:t>
      </w:r>
      <m:oMath>
        <m:r>
          <w:rPr>
            <w:rFonts w:ascii="Cambria Math" w:hAnsi="Cambria Math"/>
          </w:rPr>
          <m:t>P</m:t>
        </m:r>
      </m:oMath>
      <w:r>
        <w:t xml:space="preserve"> representa el indicador de pobreza </w:t>
      </w:r>
      <w:r w:rsidR="005F7396">
        <w:t xml:space="preserve">y </w:t>
      </w:r>
      <m:oMath>
        <m:r>
          <w:rPr>
            <w:rFonts w:ascii="Cambria Math" w:hAnsi="Cambria Math"/>
          </w:rPr>
          <m:t>Y</m:t>
        </m:r>
      </m:oMath>
      <w:r>
        <w:t xml:space="preserve"> representa el ingreso</w:t>
      </w:r>
      <w:r w:rsidR="005F7396">
        <w:t xml:space="preserve"> o consumo</w:t>
      </w:r>
      <w:r>
        <w:t xml:space="preserve"> per cápita. </w:t>
      </w:r>
      <m:oMath>
        <m:r>
          <m:rPr>
            <m:sty m:val="p"/>
          </m:rPr>
          <w:rPr>
            <w:rFonts w:ascii="Cambria Math" w:hAnsi="Cambria Math"/>
          </w:rPr>
          <m:t>Δ</m:t>
        </m:r>
      </m:oMath>
      <w:r>
        <w:t xml:space="preserve"> </w:t>
      </w:r>
      <w:proofErr w:type="gramStart"/>
      <w:r>
        <w:t>indica</w:t>
      </w:r>
      <w:proofErr w:type="gramEnd"/>
      <w:r>
        <w:t xml:space="preserve"> el </w:t>
      </w:r>
      <w:r w:rsidR="005F7396">
        <w:t xml:space="preserve">operador diferencias (i. 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005F7396">
        <w:t xml:space="preserve">). </w:t>
      </w:r>
    </w:p>
    <w:p w:rsidR="00E264BA" w:rsidRDefault="00E264BA" w:rsidP="00E264BA">
      <w:r>
        <w:t xml:space="preserve"> </w:t>
      </w:r>
    </w:p>
    <w:p w:rsidR="003151AD" w:rsidRDefault="008963F0" w:rsidP="00E264BA">
      <w:r>
        <w:t xml:space="preserve">La </w:t>
      </w:r>
      <w:r w:rsidR="003151AD">
        <w:t xml:space="preserve">elasticidad </w:t>
      </w:r>
      <m:oMath>
        <m:r>
          <w:rPr>
            <w:rFonts w:ascii="Cambria Math" w:hAnsi="Cambria Math"/>
          </w:rPr>
          <m:t>η</m:t>
        </m:r>
      </m:oMath>
      <w:r w:rsidR="003151AD">
        <w:t xml:space="preserve"> para los países de América Latina </w:t>
      </w:r>
      <w:r>
        <w:t xml:space="preserve">se obtiene a partir de un modelo estándar, que incluye además del cambio en el ingreso o consumo, los cambios en la distribución del ingreso, aproximado por el índice de Gini </w:t>
      </w:r>
      <w:r w:rsidR="002C32F8">
        <w:fldChar w:fldCharType="begin"/>
      </w:r>
      <w:r>
        <w:instrText xml:space="preserve"> ADDIN ZOTERO_ITEM CSL_CITATION {"citationID":"5pjZrRye","properties":{"formattedCitation":"(Bourguignon, 2003)","plainCitation":"(Bourguignon, 2003)"},"citationItems":[{"id":4159,"uris":["http://zotero.org/groups/197651/items/F977UHPR"],"uri":["http://zotero.org/groups/197651/items/F977UHPR"],"itemData":{"id":4159,"type":"chapter","title":"The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J"}],"author":[{"family":"Bourguignon","given":"François"}],"issued":{"date-parts":[["2003"]]}}}],"schema":"https://github.com/citation-style-language/schema/raw/master/csl-citation.json"} </w:instrText>
      </w:r>
      <w:r w:rsidR="002C32F8">
        <w:fldChar w:fldCharType="separate"/>
      </w:r>
      <w:r w:rsidRPr="008963F0">
        <w:t>(Bourguignon, 2003)</w:t>
      </w:r>
      <w:r w:rsidR="002C32F8">
        <w:fldChar w:fldCharType="end"/>
      </w:r>
      <w:r w:rsidR="003151AD">
        <w:t xml:space="preserve">: </w:t>
      </w:r>
    </w:p>
    <w:p w:rsidR="003151AD" w:rsidRDefault="003151AD" w:rsidP="00E264BA"/>
    <w:tbl>
      <w:tblPr>
        <w:tblW w:w="5000" w:type="pct"/>
        <w:tblLook w:val="04A0"/>
      </w:tblPr>
      <w:tblGrid>
        <w:gridCol w:w="8925"/>
        <w:gridCol w:w="651"/>
      </w:tblGrid>
      <w:tr w:rsidR="003151AD" w:rsidRPr="003151AD" w:rsidTr="003B7A4E">
        <w:trPr>
          <w:trHeight w:val="567"/>
        </w:trPr>
        <w:tc>
          <w:tcPr>
            <w:tcW w:w="4660" w:type="pct"/>
            <w:vAlign w:val="center"/>
          </w:tcPr>
          <w:p w:rsidR="003151AD" w:rsidRPr="003151AD" w:rsidRDefault="002C32F8" w:rsidP="003F623A">
            <w:pPr>
              <w:jc w:val="center"/>
              <w:rPr>
                <w:b/>
              </w:rPr>
            </w:pPr>
            <m:oMathPara>
              <m:oMath>
                <m:sSub>
                  <m:sSubPr>
                    <m:ctrlPr>
                      <w:rPr>
                        <w:rFonts w:ascii="Cambria Math" w:hAnsi="Cambria Math"/>
                        <w:b/>
                        <w:i/>
                      </w:rPr>
                    </m:ctrlPr>
                  </m:sSubPr>
                  <m:e>
                    <m:r>
                      <m:rPr>
                        <m:sty m:val="p"/>
                      </m:rPr>
                      <w:rPr>
                        <w:rFonts w:ascii="Cambria Math" w:hAnsi="Cambria Math"/>
                      </w:rPr>
                      <m:t>Δ</m:t>
                    </m:r>
                    <m:r>
                      <w:rPr>
                        <w:rFonts w:ascii="Cambria Math" w:hAnsi="Cambria Math"/>
                      </w:rPr>
                      <m:t>p</m:t>
                    </m:r>
                    <m:ctrlPr>
                      <w:rPr>
                        <w:rFonts w:ascii="Cambria Math" w:hAnsi="Cambria Math"/>
                        <w:i/>
                      </w:rPr>
                    </m:ctrlPr>
                  </m:e>
                  <m:sub>
                    <m:r>
                      <w:rPr>
                        <w:rFonts w:ascii="Cambria Math" w:hAnsi="Cambria Math"/>
                      </w:rPr>
                      <m:t>it</m:t>
                    </m:r>
                    <m:ctrlPr>
                      <w:rPr>
                        <w:rFonts w:ascii="Cambria Math" w:hAnsi="Cambria Math"/>
                        <w:i/>
                      </w:rPr>
                    </m:ctrlPr>
                  </m:sub>
                </m:sSub>
                <m:r>
                  <w:rPr>
                    <w:rFonts w:ascii="Cambria Math" w:hAnsi="Cambria Math"/>
                  </w:rPr>
                  <m:t>=η</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+γ</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gini</m:t>
                    </m:r>
                  </m:e>
                  <m:sub>
                    <m:r>
                      <w:rPr>
                        <w:rFonts w:ascii="Cambria Math" w:hAnsi="Cambria Math"/>
                        <w:lang w:val="en-US"/>
                      </w:rPr>
                      <m:t>it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it</m:t>
                    </m:r>
                  </m:sub>
                </m:sSub>
                <m:r>
                  <w:rPr>
                    <w:rFonts w:ascii="Cambria Math" w:hAnsi="Cambria Math"/>
                  </w:rPr>
                  <m:t xml:space="preserve">          i=1,…,N     t=1,…,T</m:t>
                </m:r>
              </m:oMath>
            </m:oMathPara>
          </w:p>
        </w:tc>
        <w:tc>
          <w:tcPr>
            <w:tcW w:w="340" w:type="pct"/>
            <w:vAlign w:val="center"/>
          </w:tcPr>
          <w:p w:rsidR="003151AD" w:rsidRPr="003151AD" w:rsidRDefault="00E62498" w:rsidP="003151AD">
            <w:pPr>
              <w:jc w:val="center"/>
              <w:rPr>
                <w:bCs/>
                <w:lang w:val="es-MX"/>
              </w:rPr>
            </w:pPr>
            <w:bookmarkStart w:id="8" w:name="_Ref377033862"/>
            <w:r w:rsidRPr="00E62498">
              <w:rPr>
                <w:b/>
                <w:bCs/>
                <w:lang w:val="es-MX"/>
              </w:rPr>
              <w:t>(</w:t>
            </w:r>
            <w:r w:rsidR="002C32F8" w:rsidRPr="002C32F8">
              <w:rPr>
                <w:b/>
                <w:bCs/>
                <w:lang w:val="es-MX"/>
              </w:rPr>
              <w:fldChar w:fldCharType="begin"/>
            </w:r>
            <w:r w:rsidRPr="00E62498">
              <w:rPr>
                <w:b/>
                <w:bCs/>
                <w:lang w:val="es-MX"/>
              </w:rPr>
              <w:instrText xml:space="preserve"> SEQ Ecuación \* ARABIC </w:instrText>
            </w:r>
            <w:r w:rsidR="002C32F8" w:rsidRPr="002C32F8">
              <w:rPr>
                <w:b/>
                <w:bCs/>
                <w:lang w:val="es-MX"/>
              </w:rPr>
              <w:fldChar w:fldCharType="separate"/>
            </w:r>
            <w:r>
              <w:rPr>
                <w:b/>
                <w:bCs/>
                <w:noProof/>
                <w:lang w:val="es-MX"/>
              </w:rPr>
              <w:t>2</w:t>
            </w:r>
            <w:r w:rsidR="002C32F8" w:rsidRPr="00E62498">
              <w:rPr>
                <w:bCs/>
                <w:lang w:val="es-MX"/>
              </w:rPr>
              <w:fldChar w:fldCharType="end"/>
            </w:r>
            <w:r w:rsidRPr="00E62498">
              <w:rPr>
                <w:b/>
                <w:bCs/>
                <w:lang w:val="es-MX"/>
              </w:rPr>
              <w:t>)</w:t>
            </w:r>
            <w:bookmarkEnd w:id="8"/>
          </w:p>
        </w:tc>
      </w:tr>
    </w:tbl>
    <w:p w:rsidR="003151AD" w:rsidRDefault="003151AD" w:rsidP="00E264BA"/>
    <w:p w:rsidR="00836464" w:rsidRDefault="008963F0" w:rsidP="00E264BA">
      <w:r>
        <w:t xml:space="preserve">Donde las letras minúsculas representan el </w:t>
      </w:r>
      <w:r w:rsidR="004357F6">
        <w:t>logaritmo</w:t>
      </w:r>
      <w:r>
        <w:t xml:space="preserve"> natural de las variables</w:t>
      </w:r>
      <w:r w:rsidR="003F623A">
        <w:t xml:space="preserve">, por lo cual  </w:t>
      </w:r>
      <m:oMath>
        <m:sSub>
          <m:sSubPr>
            <m:ctrlPr>
              <w:rPr>
                <w:rFonts w:ascii="Cambria Math" w:hAnsi="Cambria Math"/>
                <w:i/>
                <w:lang w:val="en-US"/>
              </w:rPr>
            </m:ctrlPr>
          </m:sSubPr>
          <m:e>
            <m:r>
              <m:rPr>
                <m:sty m:val="p"/>
              </m:rPr>
              <w:rPr>
                <w:rFonts w:ascii="Cambria Math" w:hAnsi="Cambria Math"/>
                <w:lang w:val="en-US"/>
              </w:rPr>
              <m:t>Δ</m:t>
            </m:r>
            <m:r>
              <w:rPr>
                <w:rFonts w:ascii="Cambria Math" w:hAnsi="Cambria Math"/>
                <w:lang w:val="en-US"/>
              </w:rPr>
              <m:t>p</m:t>
            </m:r>
          </m:e>
          <m:sub>
            <m:r>
              <w:rPr>
                <w:rFonts w:ascii="Cambria Math" w:hAnsi="Cambria Math"/>
                <w:lang w:val="en-US"/>
              </w:rPr>
              <m:t>it</m:t>
            </m:r>
          </m:sub>
        </m:sSub>
      </m:oMath>
      <w:r w:rsidR="003F623A" w:rsidRPr="003F623A">
        <w:rPr>
          <w:lang w:val="es-ES"/>
        </w:rPr>
        <w:t xml:space="preserve"> representa la tasa de crecimiento anual del indicador de pobreza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sSub>
          <m:sSubPr>
            <m:ctrlPr>
              <w:rPr>
                <w:rFonts w:ascii="Cambria Math" w:hAnsi="Cambria Math"/>
                <w:i/>
                <w:lang w:val="es-ES"/>
              </w:rPr>
            </m:ctrlPr>
          </m:sSubPr>
          <m:e>
            <m:r>
              <m:rPr>
                <m:sty m:val="p"/>
              </m:rPr>
              <w:rPr>
                <w:rFonts w:ascii="Cambria Math" w:hAnsi="Cambria Math"/>
                <w:lang w:val="es-ES"/>
              </w:rPr>
              <m:t>Δ</m:t>
            </m:r>
            <m:r>
              <w:rPr>
                <w:rFonts w:ascii="Cambria Math" w:hAnsi="Cambria Math"/>
                <w:lang w:val="es-ES"/>
              </w:rPr>
              <m:t>y</m:t>
            </m:r>
          </m:e>
          <m:sub>
            <m:r>
              <w:rPr>
                <w:rFonts w:ascii="Cambria Math" w:hAnsi="Cambria Math"/>
                <w:lang w:val="es-ES"/>
              </w:rPr>
              <m:t>it</m:t>
            </m:r>
          </m:sub>
        </m:sSub>
      </m:oMath>
      <w:r w:rsidR="003F623A" w:rsidRPr="003F623A">
        <w:rPr>
          <w:lang w:val="es-ES"/>
        </w:rPr>
        <w:t xml:space="preserve"> simboliza la tasa de crecimiento del PIB per cápita, o del ingreso o consumo promedio por persona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gini</m:t>
            </m:r>
          </m:e>
          <m:sub>
            <m:r>
              <w:rPr>
                <w:rFonts w:ascii="Cambria Math" w:hAnsi="Cambria Math"/>
                <w:vertAlign w:val="subscript"/>
                <w:lang w:val="es-ES"/>
              </w:rPr>
              <m:t>it</m:t>
            </m:r>
            <m:ctrlPr>
              <w:rPr>
                <w:rFonts w:ascii="Cambria Math" w:hAnsi="Cambria Math"/>
                <w:i/>
                <w:vertAlign w:val="subscript"/>
                <w:lang w:val="es-ES"/>
              </w:rPr>
            </m:ctrlPr>
          </m:sub>
        </m:sSub>
        <m:r>
          <w:rPr>
            <w:rFonts w:ascii="Cambria Math" w:hAnsi="Cambria Math"/>
            <w:lang w:val="es-ES"/>
          </w:rPr>
          <m:t xml:space="preserve"> </m:t>
        </m:r>
      </m:oMath>
      <w:r w:rsidR="003F623A" w:rsidRPr="003F623A">
        <w:rPr>
          <w:lang w:val="es-ES"/>
        </w:rPr>
        <w:t xml:space="preserve">es </w:t>
      </w:r>
      <w:r w:rsidR="003F623A">
        <w:rPr>
          <w:lang w:val="es-ES"/>
        </w:rPr>
        <w:t>la tasa de cambio anual promedio d</w:t>
      </w:r>
      <w:r w:rsidR="003F623A" w:rsidRPr="003F623A">
        <w:rPr>
          <w:lang w:val="es-ES"/>
        </w:rPr>
        <w:t>el índice de Gini por país</w:t>
      </w:r>
      <w:r w:rsidR="003F623A">
        <w:rPr>
          <w:lang w:val="es-ES"/>
        </w:rPr>
        <w:t>.</w:t>
      </w:r>
      <w:r w:rsidR="003F623A" w:rsidRPr="003F623A">
        <w:rPr>
          <w:lang w:val="es-ES"/>
        </w:rPr>
        <w:t xml:space="preserve"> Finalmente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it</m:t>
            </m:r>
          </m:sub>
        </m:sSub>
      </m:oMath>
      <w:r w:rsidR="003F623A" w:rsidRPr="003F623A">
        <w:rPr>
          <w:lang w:val="es-ES"/>
        </w:rPr>
        <w:t xml:space="preserve"> es el término </w:t>
      </w:r>
      <w:r w:rsidR="004357F6">
        <w:t xml:space="preserve">estocástico. </w:t>
      </w:r>
    </w:p>
    <w:p w:rsidR="00A21698" w:rsidRDefault="00A21698" w:rsidP="00E264BA"/>
    <w:p w:rsidR="00337E8B" w:rsidRDefault="00E62498" w:rsidP="00337E8B">
      <w:pPr>
        <w:ind w:firstLine="567"/>
      </w:pPr>
      <w:r>
        <w:t xml:space="preserve">La estimación de la ecuación </w:t>
      </w:r>
      <w:fldSimple w:instr=" REF _Ref377033862 \h  \* MERGEFORMAT ">
        <w:r w:rsidRPr="00E62498">
          <w:t>(2)</w:t>
        </w:r>
      </w:fldSimple>
      <w:r>
        <w:t xml:space="preserve"> se realizó utilizando </w:t>
      </w:r>
      <w:r w:rsidR="00337E8B">
        <w:t xml:space="preserve">tres </w:t>
      </w:r>
      <w:r>
        <w:t>indicadores de pobreza</w:t>
      </w:r>
      <w:r w:rsidR="00337E8B">
        <w:t xml:space="preserve">: el </w:t>
      </w:r>
      <w:r w:rsidR="00337E8B" w:rsidRPr="00E62498">
        <w:rPr>
          <w:lang w:val="es-ES"/>
        </w:rPr>
        <w:t>índice de recuento</w:t>
      </w:r>
      <w:r w:rsidR="00337E8B">
        <w:rPr>
          <w:lang w:val="es-ES"/>
        </w:rPr>
        <w:t xml:space="preserve"> (H</w:t>
      </w:r>
      <w:r w:rsidR="00232CED">
        <w:rPr>
          <w:lang w:val="es-ES"/>
        </w:rPr>
        <w:t>C</w:t>
      </w:r>
      <w:r w:rsidR="00337E8B">
        <w:rPr>
          <w:lang w:val="es-ES"/>
        </w:rPr>
        <w:t>)</w:t>
      </w:r>
      <w:r w:rsidR="00337E8B" w:rsidRPr="00E62498">
        <w:rPr>
          <w:lang w:val="es-ES"/>
        </w:rPr>
        <w:t>,</w:t>
      </w:r>
      <w:r w:rsidR="00337E8B">
        <w:rPr>
          <w:lang w:val="es-ES"/>
        </w:rPr>
        <w:t xml:space="preserve"> el indicador de </w:t>
      </w:r>
      <w:r w:rsidR="00337E8B" w:rsidRPr="00E62498">
        <w:rPr>
          <w:lang w:val="es-ES"/>
        </w:rPr>
        <w:t>brecha de pobreza</w:t>
      </w:r>
      <w:r w:rsidR="00337E8B">
        <w:rPr>
          <w:lang w:val="es-ES"/>
        </w:rPr>
        <w:t xml:space="preserve"> (PG) y el indicador de</w:t>
      </w:r>
      <w:r w:rsidR="00337E8B" w:rsidRPr="00E62498">
        <w:rPr>
          <w:lang w:val="es-ES"/>
        </w:rPr>
        <w:t xml:space="preserve"> brecha de pobreza al cuadrado</w:t>
      </w:r>
      <w:r w:rsidR="00337E8B">
        <w:rPr>
          <w:lang w:val="es-ES"/>
        </w:rPr>
        <w:t xml:space="preserve"> (</w:t>
      </w:r>
      <w:r w:rsidR="00232CED">
        <w:rPr>
          <w:lang w:val="es-ES"/>
        </w:rPr>
        <w:t>PGS</w:t>
      </w:r>
      <w:r w:rsidR="00337E8B">
        <w:rPr>
          <w:lang w:val="es-ES"/>
        </w:rPr>
        <w:t>)</w:t>
      </w:r>
      <w:r w:rsidR="00337E8B">
        <w:t xml:space="preserve"> los cuales corresponden a la familia de índices propuestos por Foster, </w:t>
      </w:r>
      <w:proofErr w:type="spellStart"/>
      <w:r w:rsidR="00337E8B">
        <w:t>Greer</w:t>
      </w:r>
      <w:proofErr w:type="spellEnd"/>
      <w:r w:rsidR="00337E8B">
        <w:t xml:space="preserve"> y </w:t>
      </w:r>
      <w:proofErr w:type="spellStart"/>
      <w:r w:rsidR="00337E8B">
        <w:t>Thorbecke</w:t>
      </w:r>
      <w:proofErr w:type="spellEnd"/>
      <w:r w:rsidR="00337E8B">
        <w:t xml:space="preserve">, </w:t>
      </w:r>
      <w:r w:rsidR="002C32F8">
        <w:fldChar w:fldCharType="begin"/>
      </w:r>
      <w:r w:rsidR="00337E8B">
        <w:instrText xml:space="preserve"> ADDIN ZOTERO_ITEM CSL_CITATION {"citationID":"N8rCjCh7","properties":{"formattedCitation":"(1984)","plainCitation":"(1984)"},"citationItems":[{"id":218,"uris":["http://zotero.org/groups/84346/items/NUTXUUFV"],"uri":["http://zotero.org/groups/84346/items/NUTXUUFV"],"itemData":{"id":218,"type":"article-journal","title":"A Class of Decomposable Poverty Measures","container-title":"Econometrica","page":"761-766","volume":"52","issue":"3","source":"JSTOR","DOI":"10.2307/1913475","ISSN":"0012-9682","note":"ArticleType: research-article / Full publication date: May, 1984 / Copyright © 1984 The Econometric Society","journalAbbreviation":"Econometrica","author":[{"family":"Foster","given":"James"},{"family":"Greer","given":"Joel"},{"family":"Thorbecke","given":"Erik"}],"issued":{"date-parts":[["1984",5,1]]},"accessed":{"date-parts":[["2012",10,8]]}},"suppress-author":true}],"schema":"https://github.com/citation-style-language/schema/raw/master/csl-citation.json"} </w:instrText>
      </w:r>
      <w:r w:rsidR="002C32F8">
        <w:fldChar w:fldCharType="separate"/>
      </w:r>
      <w:r w:rsidR="00337E8B" w:rsidRPr="00337E8B">
        <w:t>(1984)</w:t>
      </w:r>
      <w:r w:rsidR="002C32F8">
        <w:fldChar w:fldCharType="end"/>
      </w:r>
      <w:r w:rsidR="00337E8B">
        <w:t xml:space="preserve">, con α=0,1 y 2 respectivamente </w:t>
      </w:r>
      <w:r w:rsidR="002C32F8">
        <w:fldChar w:fldCharType="begin"/>
      </w:r>
      <w:r w:rsidR="00232CED">
        <w:instrText xml:space="preserve"> ADDIN ZOTERO_ITEM CSL_CITATION {"citationID":"L1hYK3b1","properties":{"formattedCitation":"{\\rtf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2C32F8">
        <w:fldChar w:fldCharType="separate"/>
      </w:r>
      <w:r w:rsidR="00232CED" w:rsidRPr="00232CED">
        <w:rPr>
          <w:szCs w:val="24"/>
        </w:rPr>
        <w:t>(CEPAL, 2013, pág 60)</w:t>
      </w:r>
      <w:r w:rsidR="002C32F8">
        <w:fldChar w:fldCharType="end"/>
      </w:r>
      <w:r w:rsidR="00337E8B">
        <w:t xml:space="preserve">. El índice HC indica el porcentaje de personas con ingresos inferiores a la línea de pobreza de referencia, por lo cual es una medida de la incidencia de la pobreza; </w:t>
      </w:r>
      <w:r w:rsidR="00232CED">
        <w:t xml:space="preserve">el indicador </w:t>
      </w:r>
      <w:r w:rsidR="00337E8B">
        <w:t xml:space="preserve">PG es una medida de la “profundidad” de la pobreza ya que mide la distancia promedio de las personas por debajo de la línea de pobreza con respecto a dicha línea, ponderado por la incidencia de pobreza y, </w:t>
      </w:r>
      <w:r w:rsidR="00232CED">
        <w:t xml:space="preserve">el indicador </w:t>
      </w:r>
      <w:r w:rsidR="00337E8B">
        <w:t>PGS</w:t>
      </w:r>
      <w:r w:rsidR="00232CED">
        <w:t xml:space="preserve"> </w:t>
      </w:r>
      <w:r w:rsidR="00337E8B">
        <w:t>es una medida de la “severidad” de la pobreza</w:t>
      </w:r>
      <w:r w:rsidR="00232CED">
        <w:t xml:space="preserve"> ya que</w:t>
      </w:r>
      <w:r w:rsidR="00337E8B">
        <w:t xml:space="preserve"> promedia el cuadrado de las brechas de pobreza relativas a la línea de pobreza, asimismo, enfatiza la distribución del ingreso entre las personas por debajo de la línea de pobreza  </w:t>
      </w:r>
      <w:r w:rsidR="002C32F8">
        <w:fldChar w:fldCharType="begin"/>
      </w:r>
      <w:r w:rsidR="009A5B99">
        <w:instrText xml:space="preserve"> ADDIN ZOTERO_ITEM CSL_CITATION {"citationID":"HZkWOhMO","properties":{"formattedCitation":"(Feres y Mancero, 2001; CEPAL, 2013)","plainCitation":"(Feres y Mancero, 2001; CEPAL, 2013)"},"citationItems":[{"id":4810,"uris":["http://zotero.org/users/98373/items/TB3FRGNE"],"uri":["http://zotero.org/users/98373/items/TB3FRGNE"],"itemData":{"id":4810,"type":"report","title":"Enfoques para la medición de la pobreza. Breve revisión de la literatura","collection-title":"Estudios estadísticos y prospectivos","publisher":"CEPAL","publisher-place":"Santiago de Chile","event-place":"Santiago de Chile","call-number":"S.01.II.G.10","note":"LC/L.1479-P","number":"4","author":[{"family":"Feres","given":"Juan Carlos"},{"family":"Mancero","given":"Xavier"}],"issued":{"date-parts":[["2001"]]}}},{"id":4672,"uris":["http://zotero.org/users/98373/items/9RWQ93RC"],"uri":["http://zotero.org/users/98373/items/9RWQ93RC"],"itemData":{"id":4672,"type":"book","title":"Panorama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Caribe"}],"issued":{"date-parts":[["2013"]]}}}],"schema":"https://github.com/citation-style-language/schema/raw/master/csl-citation.json"} </w:instrText>
      </w:r>
      <w:r w:rsidR="002C32F8">
        <w:fldChar w:fldCharType="separate"/>
      </w:r>
      <w:r w:rsidR="009A5B99" w:rsidRPr="009A5B99">
        <w:t>(Feres y Mancero, 2001; CEPAL, 2013)</w:t>
      </w:r>
      <w:r w:rsidR="002C32F8">
        <w:fldChar w:fldCharType="end"/>
      </w:r>
      <w:r w:rsidR="00337E8B">
        <w:t>. Los tres indicadores están calculados considerando dos líneas de pobreza: la línea de indigencia</w:t>
      </w:r>
      <w:r w:rsidR="005D493E">
        <w:t xml:space="preserve"> (o pobreza extrema)</w:t>
      </w:r>
      <w:r w:rsidR="00337E8B">
        <w:t xml:space="preserve"> y la línea de pobreza</w:t>
      </w:r>
      <w:r w:rsidR="005D493E">
        <w:t xml:space="preserve"> (o pobreza moderada)</w:t>
      </w:r>
      <w:r w:rsidR="00337E8B">
        <w:t>, expresadas en la moneda de cada país, las cuales son determinadas a partir del valor de una canasta de bienes y servicios mediante el método de costo de las necesidades básicas</w:t>
      </w:r>
      <w:r w:rsidR="004108A4" w:rsidRPr="00087C35">
        <w:rPr>
          <w:rStyle w:val="FootnoteReference"/>
        </w:rPr>
        <w:footnoteReference w:id="13"/>
      </w:r>
      <w:r w:rsidR="00337E8B">
        <w:t xml:space="preserve"> </w:t>
      </w:r>
      <w:r w:rsidR="002C32F8">
        <w:fldChar w:fldCharType="begin"/>
      </w:r>
      <w:r w:rsidR="009A5B99">
        <w:instrText xml:space="preserve"> ADDIN ZOTERO_ITEM CSL_CITATION {"citationID":"g1Z7j2hD","properties":{"formattedCitation":"{\\rtf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2C32F8">
        <w:fldChar w:fldCharType="separate"/>
      </w:r>
      <w:r w:rsidR="009A5B99" w:rsidRPr="009A5B99">
        <w:rPr>
          <w:szCs w:val="24"/>
        </w:rPr>
        <w:t>(CEPAL, 2013, pág 60)</w:t>
      </w:r>
      <w:r w:rsidR="002C32F8">
        <w:fldChar w:fldCharType="end"/>
      </w:r>
      <w:r w:rsidR="00EF757C">
        <w:t xml:space="preserve">, por lo que las canastas básicas utilizadas para el cálculo de las líneas de pobreza son específicas por cada país y respetan la estructura de consumo prevalecientes en cada uno de ellos </w:t>
      </w:r>
      <w:r w:rsidR="002C32F8">
        <w:fldChar w:fldCharType="begin"/>
      </w:r>
      <w:r w:rsidR="00EF757C">
        <w:instrText xml:space="preserve"> ADDIN ZOTERO_ITEM CSL_CITATION {"citationID":"OSMhQl6w","properties":{"formattedCitation":"(Naciones Unidas, 2010)","plainCitation":"(Naciones Unidas, 2010)"},"citationItems":[{"id":4811,"uris":["http://zotero.org/users/98373/items/84KMF6HU"],"uri":["http://zotero.org/users/98373/items/84KMF6HU"],"itemData":{"id":4811,"type":"book","title":"Objetivos de Desarrollo del Milenio: El progreso de América Latina y el Caribe hacia los Objetivos de Desarrollo del Milenio, desafíos para lograrlos con igualdad","publisher":"Naciones Unidas","publisher-place":"Santiago de Chile","event-place":"Santiago de Chile","note":"LC/G.2460","author":[{"family":"Naciones Unidas","given":""}],"issued":{"date-parts":[["2010"]]}}}],"schema":"https://github.com/citation-style-language/schema/raw/master/csl-citation.json"} </w:instrText>
      </w:r>
      <w:r w:rsidR="002C32F8">
        <w:fldChar w:fldCharType="separate"/>
      </w:r>
      <w:r w:rsidR="00EF757C" w:rsidRPr="00EF757C">
        <w:t>(Naciones Unidas, 2010)</w:t>
      </w:r>
      <w:r w:rsidR="002C32F8">
        <w:fldChar w:fldCharType="end"/>
      </w:r>
      <w:r w:rsidR="00337E8B">
        <w:t xml:space="preserve">. </w:t>
      </w:r>
    </w:p>
    <w:p w:rsidR="005D493E" w:rsidRDefault="005D493E" w:rsidP="005D493E">
      <w:pPr>
        <w:ind w:firstLine="567"/>
      </w:pPr>
    </w:p>
    <w:p w:rsidR="005D493E" w:rsidRDefault="005D493E" w:rsidP="005D493E">
      <w:pPr>
        <w:ind w:firstLine="567"/>
      </w:pPr>
      <w:r>
        <w:t>La información sobre los datos de pobreza, el PIB per cápita y el índice de Gini se obtuvieron de la base de datos estadísticos de la CEPAL,</w:t>
      </w:r>
      <w:r w:rsidR="00E62498" w:rsidRPr="00E62498">
        <w:rPr>
          <w:lang w:val="es-ES"/>
        </w:rPr>
        <w:t xml:space="preserve"> CEPALSTAT</w:t>
      </w:r>
      <w:r>
        <w:rPr>
          <w:rStyle w:val="FootnoteReference"/>
          <w:lang w:val="es-ES"/>
        </w:rPr>
        <w:footnoteReference w:id="14"/>
      </w:r>
      <w:r>
        <w:rPr>
          <w:lang w:val="es-ES"/>
        </w:rPr>
        <w:t xml:space="preserve">. </w:t>
      </w:r>
      <w:r w:rsidR="00681090" w:rsidRPr="00681090">
        <w:t>La base de datos</w:t>
      </w:r>
      <w:r w:rsidR="008A6EE9">
        <w:t xml:space="preserve"> final</w:t>
      </w:r>
      <w:r w:rsidR="00681090" w:rsidRPr="00681090">
        <w:t xml:space="preserve"> contiene </w:t>
      </w:r>
      <w:r w:rsidR="008A6EE9">
        <w:t>165</w:t>
      </w:r>
      <w:r w:rsidR="00681090" w:rsidRPr="00681090">
        <w:t xml:space="preserve"> observaciones para 17 </w:t>
      </w:r>
      <w:r w:rsidR="00681090" w:rsidRPr="00681090">
        <w:lastRenderedPageBreak/>
        <w:t>países</w:t>
      </w:r>
      <w:r w:rsidR="00681090" w:rsidRPr="00681090">
        <w:rPr>
          <w:vertAlign w:val="superscript"/>
        </w:rPr>
        <w:footnoteReference w:id="15"/>
      </w:r>
      <w:r w:rsidR="00681090" w:rsidRPr="00681090">
        <w:t xml:space="preserve"> para el periodo de 19</w:t>
      </w:r>
      <w:r w:rsidR="00681090">
        <w:t>90</w:t>
      </w:r>
      <w:r w:rsidR="00681090" w:rsidRPr="00681090">
        <w:t xml:space="preserve"> – 201</w:t>
      </w:r>
      <w:r w:rsidR="00681090">
        <w:t>2</w:t>
      </w:r>
      <w:r w:rsidR="00681090" w:rsidRPr="00681090">
        <w:t xml:space="preserve">. Se seleccionaron solamente aquellos países </w:t>
      </w:r>
      <w:r w:rsidR="00681090">
        <w:t>cuyos</w:t>
      </w:r>
      <w:r w:rsidR="00681090" w:rsidRPr="00681090">
        <w:t xml:space="preserve"> </w:t>
      </w:r>
      <w:r w:rsidR="008A6EE9">
        <w:t>indicadores</w:t>
      </w:r>
      <w:r w:rsidR="00681090" w:rsidRPr="00681090">
        <w:t xml:space="preserve"> de pobreza </w:t>
      </w:r>
      <w:r w:rsidR="00681090">
        <w:t>son</w:t>
      </w:r>
      <w:r w:rsidR="00681090" w:rsidRPr="00681090">
        <w:t xml:space="preserve"> nacional</w:t>
      </w:r>
      <w:r w:rsidR="00681090">
        <w:t>es</w:t>
      </w:r>
      <w:r w:rsidR="00681090" w:rsidRPr="00681090">
        <w:t xml:space="preserve">. Las estimaciones se realizaron utilizando </w:t>
      </w:r>
      <w:r w:rsidR="008A6EE9" w:rsidRPr="00E62498">
        <w:rPr>
          <w:lang w:val="es-ES"/>
        </w:rPr>
        <w:t>intervalos</w:t>
      </w:r>
      <w:r w:rsidR="008A6EE9">
        <w:rPr>
          <w:lang w:val="es-ES"/>
        </w:rPr>
        <w:t xml:space="preserve"> o episodios</w:t>
      </w:r>
      <w:r w:rsidR="008A6EE9" w:rsidRPr="00E62498">
        <w:rPr>
          <w:lang w:val="es-ES"/>
        </w:rPr>
        <w:t xml:space="preserve"> de crecimiento dispares</w:t>
      </w:r>
      <w:r w:rsidR="008A6EE9">
        <w:rPr>
          <w:lang w:val="es-ES"/>
        </w:rPr>
        <w:t xml:space="preserve"> (“</w:t>
      </w:r>
      <w:proofErr w:type="spellStart"/>
      <w:r w:rsidR="008A6EE9">
        <w:rPr>
          <w:lang w:val="es-ES"/>
        </w:rPr>
        <w:t>spells</w:t>
      </w:r>
      <w:proofErr w:type="spellEnd"/>
      <w:r w:rsidR="008A6EE9">
        <w:rPr>
          <w:lang w:val="es-ES"/>
        </w:rPr>
        <w:t xml:space="preserve">”) a través del cálculo de la tasa de crecimiento anual promedio de las variables. </w:t>
      </w:r>
      <w:r w:rsidR="00681090" w:rsidRPr="00681090">
        <w:t xml:space="preserve">El resumen de las características de la muestra se presenta en el </w:t>
      </w:r>
      <w:r w:rsidR="008A6EE9">
        <w:t>Cuadro XX.</w:t>
      </w:r>
    </w:p>
    <w:p w:rsidR="005A2C55" w:rsidRDefault="005A2C55" w:rsidP="005D493E">
      <w:pPr>
        <w:ind w:firstLine="567"/>
      </w:pPr>
    </w:p>
    <w:p w:rsidR="001A135B" w:rsidRDefault="005A2C55" w:rsidP="001A135B">
      <w:pPr>
        <w:ind w:firstLine="567"/>
      </w:pPr>
      <w:r>
        <w:t>L</w:t>
      </w:r>
      <w:r w:rsidR="00955E52">
        <w:t>os resultados de la estimación de l</w:t>
      </w:r>
      <w:r>
        <w:t xml:space="preserve">a ecuación </w:t>
      </w:r>
      <w:fldSimple w:instr=" REF _Ref377033862 \h  \* MERGEFORMAT ">
        <w:r w:rsidRPr="00E62498">
          <w:t>(2)</w:t>
        </w:r>
      </w:fldSimple>
      <w:r w:rsidR="00955E52">
        <w:t xml:space="preserve"> se presentan en el </w:t>
      </w:r>
      <w:fldSimple w:instr=" REF _Ref377043208 \h  \* MERGEFORMAT ">
        <w:r w:rsidR="00955E52" w:rsidRPr="00955E52">
          <w:t>Cuadro 3</w:t>
        </w:r>
      </w:fldSimple>
      <w:r w:rsidR="001A135B">
        <w:t xml:space="preserve">. La evidencia muestra que el crecimiento económico y la distribución del ingreso son factores </w:t>
      </w:r>
      <w:r w:rsidR="008306DE">
        <w:t>relevantes</w:t>
      </w:r>
      <w:r w:rsidR="001A135B">
        <w:t xml:space="preserve"> que inciden sobre l</w:t>
      </w:r>
      <w:r w:rsidR="008306DE">
        <w:t>os indicadores de</w:t>
      </w:r>
      <w:r w:rsidR="001A135B">
        <w:t xml:space="preserve"> pobreza. </w:t>
      </w:r>
      <w:r w:rsidR="008306DE">
        <w:t>De este modo</w:t>
      </w:r>
      <w:r w:rsidR="001A135B">
        <w:t xml:space="preserve">, la </w:t>
      </w:r>
      <w:r w:rsidR="008306DE">
        <w:rPr>
          <w:lang w:val="es-CL"/>
        </w:rPr>
        <w:t xml:space="preserve">elasticidad-crecimiento de la pobreza </w:t>
      </w:r>
      <w:r w:rsidR="008306DE">
        <w:t>para</w:t>
      </w:r>
      <w:r w:rsidR="001A135B">
        <w:t xml:space="preserve"> América Latina</w:t>
      </w:r>
      <w:r w:rsidR="008306DE">
        <w:t>, y para el periodo considerado,</w:t>
      </w:r>
      <w:r w:rsidR="001A135B">
        <w:t xml:space="preserve"> </w:t>
      </w:r>
      <w:r w:rsidR="008306DE">
        <w:t xml:space="preserve">es negativa y </w:t>
      </w:r>
      <w:r w:rsidR="001A135B">
        <w:t>se encuentra</w:t>
      </w:r>
      <w:r w:rsidR="008306DE">
        <w:t xml:space="preserve"> alrededor de la unidad</w:t>
      </w:r>
      <w:r w:rsidR="001A135B">
        <w:t xml:space="preserve"> en el rango de </w:t>
      </w:r>
      <w:r w:rsidR="008306DE">
        <w:t>-0.93</w:t>
      </w:r>
      <w:r w:rsidR="001A135B">
        <w:t xml:space="preserve"> y -1.</w:t>
      </w:r>
      <w:r w:rsidR="008306DE">
        <w:t>31</w:t>
      </w:r>
      <w:r w:rsidR="001A135B">
        <w:t xml:space="preserve"> dependiendo del indicador de pobreza</w:t>
      </w:r>
      <w:r w:rsidR="008306DE">
        <w:t>, siendo mayores en magnitud para los indicadores de “severidad”</w:t>
      </w:r>
      <w:r w:rsidR="001A135B">
        <w:t xml:space="preserve">. </w:t>
      </w:r>
      <w:r w:rsidR="00753B17">
        <w:t>Asimismo</w:t>
      </w:r>
      <w:r w:rsidR="001A135B">
        <w:t xml:space="preserve">, </w:t>
      </w:r>
      <w:r w:rsidR="00753B17">
        <w:t xml:space="preserve">un aumento en el índice de Gini muestra un efecto positivo </w:t>
      </w:r>
      <w:r w:rsidR="001A135B">
        <w:t>y estadísticamente significativ</w:t>
      </w:r>
      <w:r w:rsidR="00753B17">
        <w:t>o</w:t>
      </w:r>
      <w:r w:rsidR="001A135B">
        <w:t xml:space="preserve"> </w:t>
      </w:r>
      <w:r w:rsidR="00753B17">
        <w:t>sobre los indicadores de pobreza</w:t>
      </w:r>
      <w:r w:rsidR="00566EFB">
        <w:t>,</w:t>
      </w:r>
      <w:r w:rsidR="001A135B">
        <w:t xml:space="preserve"> </w:t>
      </w:r>
      <w:r w:rsidR="00566EFB">
        <w:t>e</w:t>
      </w:r>
      <w:r w:rsidR="001A135B">
        <w:t xml:space="preserve">llo sugiere que </w:t>
      </w:r>
      <w:r w:rsidR="00753B17">
        <w:t xml:space="preserve">aumentos de </w:t>
      </w:r>
      <w:r w:rsidR="001A135B">
        <w:t xml:space="preserve">la desigualdad </w:t>
      </w:r>
      <w:r w:rsidR="00753B17">
        <w:t xml:space="preserve">del ingreso </w:t>
      </w:r>
      <w:r w:rsidR="001A135B">
        <w:t>inciden de manera negativa sobre los indicadores de pobreza.</w:t>
      </w:r>
      <w:r w:rsidR="00753B17">
        <w:t xml:space="preserve"> Es importante destacar que los efectos sobre la distribución del </w:t>
      </w:r>
      <w:r w:rsidR="00566EFB">
        <w:t>ingreso</w:t>
      </w:r>
      <w:r w:rsidR="00753B17">
        <w:t xml:space="preserve"> cobran mayor relevancia al considerar los indicadores PG y PGS</w:t>
      </w:r>
      <w:r w:rsidR="001A135B">
        <w:t xml:space="preserve">. </w:t>
      </w:r>
    </w:p>
    <w:p w:rsidR="00566EFB" w:rsidRDefault="00566EFB" w:rsidP="001A135B">
      <w:pPr>
        <w:ind w:firstLine="567"/>
        <w:rPr>
          <w:lang w:val="es-CL"/>
        </w:rPr>
      </w:pPr>
    </w:p>
    <w:p w:rsidR="005D493E" w:rsidRDefault="005D493E" w:rsidP="005D493E">
      <w:pPr>
        <w:ind w:firstLine="567"/>
        <w:rPr>
          <w:lang w:val="es-ES"/>
        </w:rPr>
      </w:pPr>
    </w:p>
    <w:p w:rsidR="00E62498" w:rsidRDefault="00E62498" w:rsidP="00E62498">
      <w:pPr>
        <w:rPr>
          <w:lang w:val="es-ES"/>
        </w:rPr>
      </w:pPr>
    </w:p>
    <w:p w:rsidR="00955E52" w:rsidRPr="00955E52" w:rsidRDefault="00955E52" w:rsidP="00955E52">
      <w:pPr>
        <w:pStyle w:val="Caption"/>
        <w:spacing w:after="0"/>
        <w:jc w:val="center"/>
        <w:rPr>
          <w:rFonts w:ascii="Arial" w:hAnsi="Arial" w:cs="Arial"/>
          <w:color w:val="auto"/>
        </w:rPr>
      </w:pPr>
      <w:bookmarkStart w:id="9" w:name="_Ref377043208"/>
      <w:r w:rsidRPr="0004426B">
        <w:rPr>
          <w:rFonts w:ascii="Arial" w:hAnsi="Arial" w:cs="Arial"/>
          <w:color w:val="auto"/>
        </w:rPr>
        <w:t xml:space="preserve">CUADRO </w:t>
      </w:r>
      <w:r w:rsidR="002C32F8" w:rsidRPr="0004426B">
        <w:rPr>
          <w:rFonts w:ascii="Arial" w:hAnsi="Arial" w:cs="Arial"/>
          <w:color w:val="auto"/>
        </w:rPr>
        <w:fldChar w:fldCharType="begin"/>
      </w:r>
      <w:r w:rsidRPr="0004426B">
        <w:rPr>
          <w:rFonts w:ascii="Arial" w:hAnsi="Arial" w:cs="Arial"/>
          <w:color w:val="auto"/>
        </w:rPr>
        <w:instrText xml:space="preserve"> SEQ CUADRO \* ARABIC </w:instrText>
      </w:r>
      <w:r w:rsidR="002C32F8" w:rsidRPr="0004426B">
        <w:rPr>
          <w:rFonts w:ascii="Arial" w:hAnsi="Arial" w:cs="Arial"/>
          <w:color w:val="auto"/>
        </w:rPr>
        <w:fldChar w:fldCharType="separate"/>
      </w:r>
      <w:r>
        <w:rPr>
          <w:rFonts w:ascii="Arial" w:hAnsi="Arial" w:cs="Arial"/>
          <w:noProof/>
          <w:color w:val="auto"/>
        </w:rPr>
        <w:t>3</w:t>
      </w:r>
      <w:r w:rsidR="002C32F8" w:rsidRPr="0004426B">
        <w:rPr>
          <w:rFonts w:ascii="Arial" w:hAnsi="Arial" w:cs="Arial"/>
          <w:color w:val="auto"/>
        </w:rPr>
        <w:fldChar w:fldCharType="end"/>
      </w:r>
      <w:bookmarkEnd w:id="9"/>
      <w:r w:rsidRPr="00E0542D">
        <w:rPr>
          <w:rFonts w:eastAsia="Calibri"/>
        </w:rPr>
        <w:t xml:space="preserve"> </w:t>
      </w:r>
    </w:p>
    <w:p w:rsidR="00955E52" w:rsidRPr="00E0542D" w:rsidRDefault="00955E52" w:rsidP="00955E52">
      <w:pPr>
        <w:pStyle w:val="CUADROS"/>
        <w:ind w:left="360"/>
        <w:outlineLvl w:val="0"/>
        <w:rPr>
          <w:rFonts w:eastAsia="Calibri"/>
        </w:rPr>
      </w:pPr>
      <w:bookmarkStart w:id="10" w:name="_Toc349460611"/>
      <w:bookmarkStart w:id="11" w:name="_Toc354562814"/>
      <w:r w:rsidRPr="00E0542D">
        <w:rPr>
          <w:rFonts w:eastAsia="Calibri"/>
        </w:rPr>
        <w:t>Regresiones de pobreza y crecimiento económico</w:t>
      </w:r>
      <w:bookmarkEnd w:id="10"/>
      <w:bookmarkEnd w:id="11"/>
    </w:p>
    <w:tbl>
      <w:tblPr>
        <w:tblStyle w:val="LightShading2"/>
        <w:tblW w:w="0" w:type="auto"/>
        <w:jc w:val="center"/>
        <w:tblLook w:val="06A0"/>
      </w:tblPr>
      <w:tblGrid>
        <w:gridCol w:w="1432"/>
        <w:gridCol w:w="222"/>
        <w:gridCol w:w="967"/>
        <w:gridCol w:w="903"/>
        <w:gridCol w:w="903"/>
        <w:gridCol w:w="222"/>
        <w:gridCol w:w="967"/>
        <w:gridCol w:w="967"/>
        <w:gridCol w:w="967"/>
      </w:tblGrid>
      <w:tr w:rsidR="00955E52" w:rsidRPr="00BA5EAF" w:rsidTr="00D34A02">
        <w:trPr>
          <w:cnfStyle w:val="100000000000"/>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b w:val="0"/>
                <w:bCs w:val="0"/>
                <w:i/>
                <w:sz w:val="20"/>
              </w:rPr>
            </w:pP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100000000000"/>
              <w:rPr>
                <w:rFonts w:eastAsia="Calibri"/>
                <w:sz w:val="20"/>
              </w:rPr>
            </w:pPr>
          </w:p>
        </w:tc>
        <w:tc>
          <w:tcPr>
            <w:tcW w:w="0" w:type="auto"/>
            <w:gridSpan w:val="3"/>
            <w:tcBorders>
              <w:bottom w:val="double" w:sz="4" w:space="0" w:color="auto"/>
            </w:tcBorders>
            <w:vAlign w:val="center"/>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r w:rsidRPr="007C4B95">
              <w:rPr>
                <w:rFonts w:ascii="Times New Roman" w:eastAsia="Calibri" w:hAnsi="Times New Roman"/>
                <w:sz w:val="20"/>
              </w:rPr>
              <w:t>Línea de indigencia</w:t>
            </w:r>
          </w:p>
        </w:tc>
        <w:tc>
          <w:tcPr>
            <w:tcW w:w="0" w:type="auto"/>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p>
        </w:tc>
        <w:tc>
          <w:tcPr>
            <w:tcW w:w="0" w:type="auto"/>
            <w:gridSpan w:val="3"/>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b w:val="0"/>
                <w:bCs w:val="0"/>
                <w:sz w:val="20"/>
              </w:rPr>
            </w:pPr>
            <w:r w:rsidRPr="007C4B95">
              <w:rPr>
                <w:rFonts w:ascii="Times New Roman" w:eastAsia="Calibri" w:hAnsi="Times New Roman"/>
                <w:sz w:val="20"/>
              </w:rPr>
              <w:t>Línea de pobreza</w:t>
            </w:r>
          </w:p>
        </w:tc>
      </w:tr>
      <w:tr w:rsidR="00955E52" w:rsidRPr="00BA5EAF" w:rsidTr="00D34A02">
        <w:trPr>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i/>
                <w:sz w:val="20"/>
              </w:rPr>
            </w:pPr>
            <w:r w:rsidRPr="00BA5EAF">
              <w:rPr>
                <w:rFonts w:eastAsia="Calibri"/>
                <w:i/>
                <w:sz w:val="20"/>
              </w:rPr>
              <w:t>Especificación</w:t>
            </w: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000000000000"/>
              <w:rPr>
                <w:rFonts w:eastAsia="Calibri"/>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r>
      <w:tr w:rsidR="00405926" w:rsidRPr="00BA5EAF" w:rsidTr="00405926">
        <w:trPr>
          <w:trHeight w:val="14"/>
          <w:jc w:val="center"/>
        </w:trPr>
        <w:tc>
          <w:tcPr>
            <w:cnfStyle w:val="001000000000"/>
            <w:tcW w:w="0" w:type="auto"/>
            <w:vMerge w:val="restart"/>
            <w:tcBorders>
              <w:top w:val="double" w:sz="4" w:space="0" w:color="auto"/>
            </w:tcBorders>
            <w:vAlign w:val="center"/>
          </w:tcPr>
          <w:p w:rsidR="00405926" w:rsidRPr="00BA5EAF" w:rsidRDefault="00405926" w:rsidP="00D34A02">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y</m:t>
                    </m:r>
                  </m:e>
                  <m:sub>
                    <m:r>
                      <m:rPr>
                        <m:sty m:val="bi"/>
                      </m:rPr>
                      <w:rPr>
                        <w:rFonts w:ascii="Cambria Math" w:eastAsia="Calibri" w:hAnsi="Cambria Math"/>
                        <w:sz w:val="20"/>
                      </w:rPr>
                      <m:t>it</m:t>
                    </m:r>
                  </m:sub>
                </m:sSub>
              </m:oMath>
            </m:oMathPara>
          </w:p>
        </w:tc>
        <w:tc>
          <w:tcPr>
            <w:tcW w:w="0" w:type="auto"/>
            <w:tcBorders>
              <w:top w:val="double" w:sz="4" w:space="0" w:color="auto"/>
            </w:tcBorders>
          </w:tcPr>
          <w:p w:rsidR="00405926" w:rsidRPr="00BA5EAF" w:rsidRDefault="00405926" w:rsidP="00D34A02">
            <w:pPr>
              <w:jc w:val="center"/>
              <w:cnfStyle w:val="000000000000"/>
              <w:rPr>
                <w:rFonts w:eastAsia="Calibri"/>
                <w:sz w:val="20"/>
              </w:rPr>
            </w:pPr>
          </w:p>
        </w:tc>
        <w:tc>
          <w:tcPr>
            <w:tcW w:w="0" w:type="auto"/>
            <w:tcBorders>
              <w:top w:val="double" w:sz="4" w:space="0" w:color="auto"/>
            </w:tcBorders>
            <w:vAlign w:val="center"/>
          </w:tcPr>
          <w:p w:rsidR="00405926" w:rsidRPr="00F84B5A" w:rsidRDefault="00405926" w:rsidP="00405926">
            <w:pPr>
              <w:jc w:val="center"/>
              <w:cnfStyle w:val="000000000000"/>
            </w:pPr>
            <w:r w:rsidRPr="00F84B5A">
              <w:t>-1.14***</w:t>
            </w:r>
          </w:p>
        </w:tc>
        <w:tc>
          <w:tcPr>
            <w:tcW w:w="0" w:type="auto"/>
            <w:tcBorders>
              <w:top w:val="double" w:sz="4" w:space="0" w:color="auto"/>
            </w:tcBorders>
            <w:vAlign w:val="center"/>
          </w:tcPr>
          <w:p w:rsidR="00405926" w:rsidRPr="00F84B5A" w:rsidRDefault="00405926" w:rsidP="00405926">
            <w:pPr>
              <w:jc w:val="center"/>
              <w:cnfStyle w:val="000000000000"/>
            </w:pPr>
            <w:r w:rsidRPr="00F84B5A">
              <w:t>-1.03*</w:t>
            </w:r>
          </w:p>
        </w:tc>
        <w:tc>
          <w:tcPr>
            <w:tcW w:w="0" w:type="auto"/>
            <w:tcBorders>
              <w:top w:val="double" w:sz="4" w:space="0" w:color="auto"/>
            </w:tcBorders>
            <w:vAlign w:val="center"/>
          </w:tcPr>
          <w:p w:rsidR="00405926" w:rsidRPr="00F84B5A" w:rsidRDefault="00405926" w:rsidP="00405926">
            <w:pPr>
              <w:jc w:val="center"/>
              <w:cnfStyle w:val="000000000000"/>
            </w:pPr>
            <w:r w:rsidRPr="00F84B5A">
              <w:t>-1.28**</w:t>
            </w:r>
          </w:p>
        </w:tc>
        <w:tc>
          <w:tcPr>
            <w:tcW w:w="0" w:type="auto"/>
            <w:tcBorders>
              <w:top w:val="double" w:sz="4" w:space="0" w:color="auto"/>
            </w:tcBorders>
            <w:vAlign w:val="center"/>
          </w:tcPr>
          <w:p w:rsidR="00405926" w:rsidRPr="00F84B5A" w:rsidRDefault="00405926" w:rsidP="00405926">
            <w:pPr>
              <w:jc w:val="center"/>
              <w:cnfStyle w:val="000000000000"/>
            </w:pPr>
          </w:p>
        </w:tc>
        <w:tc>
          <w:tcPr>
            <w:tcW w:w="0" w:type="auto"/>
            <w:tcBorders>
              <w:top w:val="double" w:sz="4" w:space="0" w:color="auto"/>
            </w:tcBorders>
            <w:vAlign w:val="center"/>
          </w:tcPr>
          <w:p w:rsidR="00405926" w:rsidRPr="00F84B5A" w:rsidRDefault="00405926" w:rsidP="00405926">
            <w:pPr>
              <w:jc w:val="center"/>
              <w:cnfStyle w:val="000000000000"/>
            </w:pPr>
            <w:r w:rsidRPr="00F84B5A">
              <w:t>-0.94***</w:t>
            </w:r>
          </w:p>
        </w:tc>
        <w:tc>
          <w:tcPr>
            <w:tcW w:w="0" w:type="auto"/>
            <w:tcBorders>
              <w:top w:val="double" w:sz="4" w:space="0" w:color="auto"/>
            </w:tcBorders>
            <w:vAlign w:val="center"/>
          </w:tcPr>
          <w:p w:rsidR="00405926" w:rsidRPr="00F84B5A" w:rsidRDefault="00405926" w:rsidP="00405926">
            <w:pPr>
              <w:jc w:val="center"/>
              <w:cnfStyle w:val="000000000000"/>
            </w:pPr>
            <w:r w:rsidRPr="00F84B5A">
              <w:t>-1.10***</w:t>
            </w:r>
          </w:p>
        </w:tc>
        <w:tc>
          <w:tcPr>
            <w:tcW w:w="0" w:type="auto"/>
            <w:tcBorders>
              <w:top w:val="double" w:sz="4" w:space="0" w:color="auto"/>
            </w:tcBorders>
            <w:vAlign w:val="center"/>
          </w:tcPr>
          <w:p w:rsidR="00405926" w:rsidRPr="00F84B5A" w:rsidRDefault="00405926" w:rsidP="00405926">
            <w:pPr>
              <w:jc w:val="center"/>
              <w:cnfStyle w:val="000000000000"/>
            </w:pPr>
            <w:r w:rsidRPr="00F84B5A">
              <w:t>-1.31***</w:t>
            </w:r>
          </w:p>
        </w:tc>
      </w:tr>
      <w:tr w:rsidR="00405926" w:rsidRPr="00BA5EAF" w:rsidTr="00405926">
        <w:trPr>
          <w:jc w:val="center"/>
        </w:trPr>
        <w:tc>
          <w:tcPr>
            <w:cnfStyle w:val="001000000000"/>
            <w:tcW w:w="0" w:type="auto"/>
            <w:vMerge/>
            <w:tcBorders>
              <w:bottom w:val="nil"/>
            </w:tcBorders>
          </w:tcPr>
          <w:p w:rsidR="00405926" w:rsidRPr="00BA5EAF" w:rsidRDefault="00405926" w:rsidP="00D34A02">
            <w:pPr>
              <w:autoSpaceDE w:val="0"/>
              <w:autoSpaceDN w:val="0"/>
              <w:adjustRightInd w:val="0"/>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bottom w:val="nil"/>
            </w:tcBorders>
            <w:vAlign w:val="center"/>
          </w:tcPr>
          <w:p w:rsidR="00405926" w:rsidRPr="00F84B5A" w:rsidRDefault="00405926" w:rsidP="00405926">
            <w:pPr>
              <w:jc w:val="center"/>
              <w:cnfStyle w:val="000000000000"/>
            </w:pPr>
            <w:r w:rsidRPr="00F84B5A">
              <w:t>(0.42)</w:t>
            </w:r>
          </w:p>
        </w:tc>
        <w:tc>
          <w:tcPr>
            <w:tcW w:w="0" w:type="auto"/>
            <w:tcBorders>
              <w:bottom w:val="nil"/>
            </w:tcBorders>
            <w:vAlign w:val="center"/>
          </w:tcPr>
          <w:p w:rsidR="00405926" w:rsidRPr="00F84B5A" w:rsidRDefault="00405926" w:rsidP="00405926">
            <w:pPr>
              <w:jc w:val="center"/>
              <w:cnfStyle w:val="000000000000"/>
            </w:pPr>
            <w:r w:rsidRPr="00F84B5A">
              <w:t>(0.60)</w:t>
            </w:r>
          </w:p>
        </w:tc>
        <w:tc>
          <w:tcPr>
            <w:tcW w:w="0" w:type="auto"/>
            <w:tcBorders>
              <w:bottom w:val="nil"/>
            </w:tcBorders>
            <w:vAlign w:val="center"/>
          </w:tcPr>
          <w:p w:rsidR="00405926" w:rsidRPr="00F84B5A" w:rsidRDefault="00405926" w:rsidP="00405926">
            <w:pPr>
              <w:jc w:val="center"/>
              <w:cnfStyle w:val="000000000000"/>
            </w:pPr>
            <w:r w:rsidRPr="00F84B5A">
              <w:t>(0.59)</w:t>
            </w:r>
          </w:p>
        </w:tc>
        <w:tc>
          <w:tcPr>
            <w:tcW w:w="0" w:type="auto"/>
            <w:tcBorders>
              <w:bottom w:val="nil"/>
            </w:tcBorders>
            <w:vAlign w:val="center"/>
          </w:tcPr>
          <w:p w:rsidR="00405926" w:rsidRPr="00F84B5A" w:rsidRDefault="00405926" w:rsidP="00405926">
            <w:pPr>
              <w:jc w:val="center"/>
              <w:cnfStyle w:val="000000000000"/>
            </w:pPr>
          </w:p>
        </w:tc>
        <w:tc>
          <w:tcPr>
            <w:tcW w:w="0" w:type="auto"/>
            <w:tcBorders>
              <w:bottom w:val="nil"/>
            </w:tcBorders>
            <w:vAlign w:val="center"/>
          </w:tcPr>
          <w:p w:rsidR="00405926" w:rsidRPr="00F84B5A" w:rsidRDefault="00405926" w:rsidP="00405926">
            <w:pPr>
              <w:jc w:val="center"/>
              <w:cnfStyle w:val="000000000000"/>
            </w:pPr>
            <w:r w:rsidRPr="00F84B5A">
              <w:t>(0.20)</w:t>
            </w:r>
          </w:p>
        </w:tc>
        <w:tc>
          <w:tcPr>
            <w:tcW w:w="0" w:type="auto"/>
            <w:tcBorders>
              <w:bottom w:val="nil"/>
            </w:tcBorders>
            <w:vAlign w:val="center"/>
          </w:tcPr>
          <w:p w:rsidR="00405926" w:rsidRPr="00F84B5A" w:rsidRDefault="00405926" w:rsidP="00405926">
            <w:pPr>
              <w:jc w:val="center"/>
              <w:cnfStyle w:val="000000000000"/>
            </w:pPr>
            <w:r w:rsidRPr="00F84B5A">
              <w:t>(0.30)</w:t>
            </w:r>
          </w:p>
        </w:tc>
        <w:tc>
          <w:tcPr>
            <w:tcW w:w="0" w:type="auto"/>
            <w:tcBorders>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vMerge w:val="restart"/>
            <w:tcBorders>
              <w:top w:val="nil"/>
            </w:tcBorders>
            <w:vAlign w:val="center"/>
          </w:tcPr>
          <w:p w:rsidR="00405926" w:rsidRPr="00BA5EAF" w:rsidRDefault="00405926" w:rsidP="001A135B">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gini</m:t>
                    </m:r>
                  </m:e>
                  <m:sub>
                    <m:r>
                      <m:rPr>
                        <m:sty m:val="bi"/>
                      </m:rPr>
                      <w:rPr>
                        <w:rFonts w:ascii="Cambria Math" w:eastAsia="Calibri" w:hAnsi="Cambria Math"/>
                        <w:sz w:val="20"/>
                      </w:rPr>
                      <m:t>it</m:t>
                    </m:r>
                  </m:sub>
                </m:sSub>
              </m:oMath>
            </m:oMathPara>
          </w:p>
        </w:tc>
        <w:tc>
          <w:tcPr>
            <w:tcW w:w="0" w:type="auto"/>
            <w:tcBorders>
              <w:top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1.06***</w:t>
            </w:r>
          </w:p>
        </w:tc>
        <w:tc>
          <w:tcPr>
            <w:tcW w:w="0" w:type="auto"/>
            <w:tcBorders>
              <w:top w:val="nil"/>
              <w:bottom w:val="nil"/>
            </w:tcBorders>
            <w:vAlign w:val="center"/>
          </w:tcPr>
          <w:p w:rsidR="00405926" w:rsidRPr="00F84B5A" w:rsidRDefault="00405926" w:rsidP="00405926">
            <w:pPr>
              <w:jc w:val="center"/>
              <w:cnfStyle w:val="000000000000"/>
            </w:pPr>
            <w:r w:rsidRPr="00F84B5A">
              <w:t>1.60***</w:t>
            </w:r>
          </w:p>
        </w:tc>
        <w:tc>
          <w:tcPr>
            <w:tcW w:w="0" w:type="auto"/>
            <w:tcBorders>
              <w:top w:val="nil"/>
              <w:bottom w:val="nil"/>
            </w:tcBorders>
            <w:vAlign w:val="center"/>
          </w:tcPr>
          <w:p w:rsidR="00405926" w:rsidRPr="00F84B5A" w:rsidRDefault="00405926" w:rsidP="00405926">
            <w:pPr>
              <w:jc w:val="center"/>
              <w:cnfStyle w:val="000000000000"/>
            </w:pPr>
            <w:r w:rsidRPr="00F84B5A">
              <w:t>2.02***</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0.53***</w:t>
            </w:r>
          </w:p>
        </w:tc>
        <w:tc>
          <w:tcPr>
            <w:tcW w:w="0" w:type="auto"/>
            <w:tcBorders>
              <w:top w:val="nil"/>
              <w:bottom w:val="nil"/>
            </w:tcBorders>
            <w:vAlign w:val="center"/>
          </w:tcPr>
          <w:p w:rsidR="00405926" w:rsidRPr="00F84B5A" w:rsidRDefault="00405926" w:rsidP="00405926">
            <w:pPr>
              <w:jc w:val="center"/>
              <w:cnfStyle w:val="000000000000"/>
            </w:pPr>
            <w:r w:rsidRPr="00F84B5A">
              <w:t>1.05***</w:t>
            </w:r>
          </w:p>
        </w:tc>
        <w:tc>
          <w:tcPr>
            <w:tcW w:w="0" w:type="auto"/>
            <w:tcBorders>
              <w:top w:val="nil"/>
              <w:bottom w:val="nil"/>
            </w:tcBorders>
            <w:vAlign w:val="center"/>
          </w:tcPr>
          <w:p w:rsidR="00405926" w:rsidRPr="00F84B5A" w:rsidRDefault="00405926" w:rsidP="00405926">
            <w:pPr>
              <w:jc w:val="center"/>
              <w:cnfStyle w:val="000000000000"/>
            </w:pPr>
            <w:r w:rsidRPr="00F84B5A">
              <w:t>1.53***</w:t>
            </w:r>
          </w:p>
        </w:tc>
      </w:tr>
      <w:tr w:rsidR="00405926" w:rsidRPr="00BA5EAF" w:rsidTr="00405926">
        <w:trPr>
          <w:trHeight w:val="74"/>
          <w:jc w:val="center"/>
        </w:trPr>
        <w:tc>
          <w:tcPr>
            <w:cnfStyle w:val="001000000000"/>
            <w:tcW w:w="0" w:type="auto"/>
            <w:vMerge/>
            <w:tcBorders>
              <w:bottom w:val="nil"/>
            </w:tcBorders>
          </w:tcPr>
          <w:p w:rsidR="00405926" w:rsidRPr="00BA5EAF" w:rsidRDefault="00405926" w:rsidP="00D34A02">
            <w:pPr>
              <w:autoSpaceDE w:val="0"/>
              <w:autoSpaceDN w:val="0"/>
              <w:adjustRightInd w:val="0"/>
              <w:jc w:val="center"/>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(0.27)</w:t>
            </w:r>
          </w:p>
        </w:tc>
        <w:tc>
          <w:tcPr>
            <w:tcW w:w="0" w:type="auto"/>
            <w:tcBorders>
              <w:top w:val="nil"/>
              <w:bottom w:val="nil"/>
            </w:tcBorders>
            <w:vAlign w:val="center"/>
          </w:tcPr>
          <w:p w:rsidR="00405926" w:rsidRPr="00F84B5A" w:rsidRDefault="00405926" w:rsidP="00405926">
            <w:pPr>
              <w:jc w:val="center"/>
              <w:cnfStyle w:val="000000000000"/>
            </w:pPr>
            <w:r w:rsidRPr="00F84B5A">
              <w:t>(0.40)</w:t>
            </w:r>
          </w:p>
        </w:tc>
        <w:tc>
          <w:tcPr>
            <w:tcW w:w="0" w:type="auto"/>
            <w:tcBorders>
              <w:top w:val="nil"/>
              <w:bottom w:val="nil"/>
            </w:tcBorders>
            <w:vAlign w:val="center"/>
          </w:tcPr>
          <w:p w:rsidR="00405926" w:rsidRPr="00F84B5A" w:rsidRDefault="00405926" w:rsidP="00405926">
            <w:pPr>
              <w:jc w:val="center"/>
              <w:cnfStyle w:val="000000000000"/>
            </w:pPr>
            <w:r w:rsidRPr="00F84B5A">
              <w:t>(0.44)</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(0.18)</w:t>
            </w:r>
          </w:p>
        </w:tc>
        <w:tc>
          <w:tcPr>
            <w:tcW w:w="0" w:type="auto"/>
            <w:tcBorders>
              <w:top w:val="nil"/>
              <w:bottom w:val="nil"/>
            </w:tcBorders>
            <w:vAlign w:val="center"/>
          </w:tcPr>
          <w:p w:rsidR="00405926" w:rsidRPr="00F84B5A" w:rsidRDefault="00405926" w:rsidP="00405926">
            <w:pPr>
              <w:jc w:val="center"/>
              <w:cnfStyle w:val="000000000000"/>
            </w:pPr>
            <w:r w:rsidRPr="00F84B5A">
              <w:t>(0.21)</w:t>
            </w:r>
          </w:p>
        </w:tc>
        <w:tc>
          <w:tcPr>
            <w:tcW w:w="0" w:type="auto"/>
            <w:tcBorders>
              <w:top w:val="nil"/>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tcBorders>
              <w:top w:val="double" w:sz="4" w:space="0" w:color="auto"/>
              <w:bottom w:val="nil"/>
            </w:tcBorders>
            <w:vAlign w:val="center"/>
          </w:tcPr>
          <w:p w:rsidR="00405926" w:rsidRPr="00BA5EAF" w:rsidRDefault="002C32F8" w:rsidP="00D34A02">
            <w:pPr>
              <w:autoSpaceDE w:val="0"/>
              <w:autoSpaceDN w:val="0"/>
              <w:adjustRightInd w:val="0"/>
              <w:jc w:val="center"/>
              <w:rPr>
                <w:rFonts w:eastAsia="Calibri"/>
                <w:sz w:val="20"/>
              </w:rPr>
            </w:pPr>
            <m:oMathPara>
              <m:oMath>
                <m:sSup>
                  <m:sSupPr>
                    <m:ctrlPr>
                      <w:rPr>
                        <w:rFonts w:ascii="Cambria Math" w:eastAsia="Calibri" w:hAnsi="Cambria Math"/>
                        <w:b w:val="0"/>
                        <w:bCs w:val="0"/>
                        <w:i/>
                        <w:sz w:val="20"/>
                      </w:rPr>
                    </m:ctrlPr>
                  </m:sSupPr>
                  <m:e>
                    <m:r>
                      <m:rPr>
                        <m:sty m:val="bi"/>
                      </m:rPr>
                      <w:rPr>
                        <w:rFonts w:ascii="Cambria Math" w:eastAsia="Calibri" w:hAnsi="Cambria Math"/>
                        <w:sz w:val="20"/>
                      </w:rPr>
                      <m:t>R</m:t>
                    </m:r>
                    <m:ctrlPr>
                      <w:rPr>
                        <w:rFonts w:ascii="Cambria Math" w:eastAsia="Calibri" w:hAnsi="Cambria Math"/>
                        <w:i/>
                        <w:sz w:val="20"/>
                      </w:rPr>
                    </m:ctrlPr>
                  </m:e>
                  <m:sup>
                    <m:r>
                      <m:rPr>
                        <m:sty m:val="bi"/>
                      </m:rPr>
                      <w:rPr>
                        <w:rFonts w:ascii="Cambria Math" w:eastAsia="Calibri" w:hAnsi="Cambria Math"/>
                        <w:sz w:val="20"/>
                      </w:rPr>
                      <m:t>2</m:t>
                    </m:r>
                    <m:ctrlPr>
                      <w:rPr>
                        <w:rFonts w:ascii="Cambria Math" w:eastAsia="Calibri" w:hAnsi="Cambria Math"/>
                        <w:i/>
                        <w:sz w:val="20"/>
                      </w:rPr>
                    </m:ctrlPr>
                  </m:sup>
                </m:sSup>
              </m:oMath>
            </m:oMathPara>
          </w:p>
        </w:tc>
        <w:tc>
          <w:tcPr>
            <w:tcW w:w="0" w:type="auto"/>
            <w:tcBorders>
              <w:top w:val="double" w:sz="4" w:space="0" w:color="auto"/>
              <w:bottom w:val="nil"/>
            </w:tcBorders>
          </w:tcPr>
          <w:p w:rsidR="00405926" w:rsidRPr="00BA5EAF" w:rsidRDefault="00405926" w:rsidP="00D34A02">
            <w:pPr>
              <w:jc w:val="center"/>
              <w:cnfStyle w:val="000000000000"/>
              <w:rPr>
                <w:rFonts w:eastAsia="Calibri"/>
                <w:sz w:val="20"/>
              </w:rPr>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0.21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0.16</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0.19</w:t>
            </w:r>
          </w:p>
        </w:tc>
        <w:tc>
          <w:tcPr>
            <w:tcW w:w="0" w:type="auto"/>
            <w:tcBorders>
              <w:top w:val="double" w:sz="4" w:space="0" w:color="auto"/>
              <w:bottom w:val="nil"/>
            </w:tcBorders>
            <w:vAlign w:val="center"/>
          </w:tcPr>
          <w:p w:rsidR="00405926" w:rsidRPr="00F84B5A" w:rsidRDefault="00405926" w:rsidP="00405926">
            <w:pPr>
              <w:jc w:val="center"/>
              <w:cnfStyle w:val="000000000000"/>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0.35</w:t>
            </w:r>
          </w:p>
        </w:tc>
        <w:tc>
          <w:tcPr>
            <w:tcW w:w="0" w:type="auto"/>
            <w:tcBorders>
              <w:top w:val="double" w:sz="4" w:space="0" w:color="auto"/>
              <w:bottom w:val="nil"/>
            </w:tcBorders>
            <w:vAlign w:val="center"/>
          </w:tcPr>
          <w:p w:rsidR="00405926" w:rsidRDefault="00405926" w:rsidP="00405926">
            <w:pPr>
              <w:jc w:val="center"/>
              <w:cnfStyle w:val="000000000000"/>
            </w:pPr>
            <w:r w:rsidRPr="00F84B5A">
              <w:t>0.42</w:t>
            </w:r>
          </w:p>
        </w:tc>
      </w:tr>
      <w:tr w:rsidR="00955E52" w:rsidRPr="00BA5EAF" w:rsidTr="00405926">
        <w:trPr>
          <w:jc w:val="center"/>
        </w:trPr>
        <w:tc>
          <w:tcPr>
            <w:cnfStyle w:val="001000000000"/>
            <w:tcW w:w="0" w:type="auto"/>
            <w:tcBorders>
              <w:top w:val="nil"/>
              <w:bottom w:val="nil"/>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Países</w:t>
            </w:r>
          </w:p>
        </w:tc>
        <w:tc>
          <w:tcPr>
            <w:tcW w:w="0" w:type="auto"/>
            <w:tcBorders>
              <w:top w:val="nil"/>
              <w:bottom w:val="nil"/>
            </w:tcBorders>
          </w:tcPr>
          <w:p w:rsidR="00955E52" w:rsidRPr="00BA5EAF" w:rsidRDefault="00955E52" w:rsidP="00D34A02">
            <w:pPr>
              <w:jc w:val="center"/>
              <w:cnfStyle w:val="000000000000"/>
              <w:rPr>
                <w:rFonts w:eastAsia="Calibri"/>
                <w:sz w:val="20"/>
              </w:rPr>
            </w:pPr>
          </w:p>
        </w:tc>
        <w:tc>
          <w:tcPr>
            <w:tcW w:w="0" w:type="auto"/>
            <w:tcBorders>
              <w:top w:val="nil"/>
              <w:bottom w:val="nil"/>
            </w:tcBorders>
            <w:vAlign w:val="center"/>
          </w:tcPr>
          <w:p w:rsidR="00955E52" w:rsidRPr="00B45587" w:rsidRDefault="00955E52" w:rsidP="00405926">
            <w:pPr>
              <w:jc w:val="center"/>
              <w:cnfStyle w:val="000000000000"/>
            </w:pPr>
            <w:r>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Pr="00B45587" w:rsidRDefault="00955E52" w:rsidP="00405926">
            <w:pPr>
              <w:jc w:val="center"/>
              <w:cnfStyle w:val="000000000000"/>
            </w:pP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r>
      <w:tr w:rsidR="00955E52" w:rsidRPr="00BA5EAF" w:rsidTr="00405926">
        <w:trPr>
          <w:jc w:val="center"/>
        </w:trPr>
        <w:tc>
          <w:tcPr>
            <w:cnfStyle w:val="001000000000"/>
            <w:tcW w:w="0" w:type="auto"/>
            <w:tcBorders>
              <w:top w:val="nil"/>
              <w:bottom w:val="single" w:sz="4" w:space="0" w:color="auto"/>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Observaciones</w:t>
            </w:r>
          </w:p>
        </w:tc>
        <w:tc>
          <w:tcPr>
            <w:tcW w:w="0" w:type="auto"/>
            <w:tcBorders>
              <w:top w:val="nil"/>
              <w:bottom w:val="single" w:sz="4" w:space="0" w:color="auto"/>
            </w:tcBorders>
          </w:tcPr>
          <w:p w:rsidR="00955E52" w:rsidRPr="00BA5EAF" w:rsidRDefault="00955E52" w:rsidP="00D34A02">
            <w:pPr>
              <w:jc w:val="center"/>
              <w:cnfStyle w:val="000000000000"/>
              <w:rPr>
                <w:rFonts w:eastAsia="Calibri"/>
                <w:sz w:val="20"/>
              </w:rPr>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153</w:t>
            </w:r>
          </w:p>
        </w:tc>
        <w:tc>
          <w:tcPr>
            <w:tcW w:w="0" w:type="auto"/>
            <w:tcBorders>
              <w:top w:val="nil"/>
              <w:bottom w:val="single" w:sz="4" w:space="0" w:color="auto"/>
            </w:tcBorders>
            <w:vAlign w:val="center"/>
          </w:tcPr>
          <w:p w:rsidR="00955E52" w:rsidRPr="00B45587" w:rsidRDefault="00955E52" w:rsidP="00405926">
            <w:pPr>
              <w:jc w:val="center"/>
              <w:cnfStyle w:val="000000000000"/>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Default="00955E52" w:rsidP="00405926">
            <w:pPr>
              <w:jc w:val="center"/>
              <w:cnfStyle w:val="000000000000"/>
            </w:pPr>
            <w:r w:rsidRPr="00B45587">
              <w:t>153</w:t>
            </w:r>
          </w:p>
        </w:tc>
      </w:tr>
    </w:tbl>
    <w:p w:rsidR="00955E52" w:rsidRPr="002C143B" w:rsidRDefault="00955E52" w:rsidP="00955E52">
      <w:pPr>
        <w:pStyle w:val="FUENTES"/>
      </w:pPr>
      <w:r w:rsidRPr="002C143B">
        <w:t xml:space="preserve">Fuente: Elaboración propia.  </w:t>
      </w:r>
    </w:p>
    <w:p w:rsidR="00955E52" w:rsidRPr="002C143B" w:rsidRDefault="00955E52" w:rsidP="00955E52">
      <w:pPr>
        <w:pStyle w:val="FUENTES"/>
      </w:pPr>
      <w:r w:rsidRPr="002C143B">
        <w:t>Nota: Las estimaciones incluyen sólo aquellos países y años en los cuales el indicador de pobreza es nacional y considera tanto el sector rural como urbano.</w:t>
      </w:r>
      <w:r>
        <w:t xml:space="preserve"> Los coeficientes se estimaron usando mínimos cuadrados ordinarios (MCO)</w:t>
      </w:r>
      <w:r>
        <w:rPr>
          <w:rStyle w:val="FootnoteReference"/>
        </w:rPr>
        <w:footnoteReference w:id="16"/>
      </w:r>
      <w:r>
        <w:t>. Se incluyó una constante, la cual no se reporta.</w:t>
      </w:r>
    </w:p>
    <w:p w:rsidR="00955E52" w:rsidRPr="002C143B" w:rsidRDefault="00955E52" w:rsidP="00955E52">
      <w:pPr>
        <w:pStyle w:val="FUENTES"/>
      </w:pPr>
      <w:r w:rsidRPr="002C143B">
        <w:t xml:space="preserve">***, ** </w:t>
      </w:r>
      <w:proofErr w:type="gramStart"/>
      <w:r w:rsidRPr="002C143B">
        <w:t>y</w:t>
      </w:r>
      <w:proofErr w:type="gramEnd"/>
      <w:r w:rsidRPr="002C143B">
        <w:t xml:space="preserve"> * significa que el coeficiente es significativo al 1%, 5% y 10% respectivamente. </w:t>
      </w:r>
    </w:p>
    <w:p w:rsidR="00955E52" w:rsidRPr="002C143B" w:rsidRDefault="00955E52" w:rsidP="00955E52">
      <w:pPr>
        <w:pStyle w:val="FUENTES"/>
      </w:pPr>
      <w:r w:rsidRPr="002C143B">
        <w:t xml:space="preserve">Los valores entre paréntesis muestran la desviación estándar de los coeficientes. </w:t>
      </w:r>
    </w:p>
    <w:p w:rsidR="00A21698" w:rsidRPr="00955E52" w:rsidRDefault="00955E52" w:rsidP="00955E52">
      <w:pPr>
        <w:rPr>
          <w:rFonts w:ascii="Arial" w:eastAsia="Calibri" w:hAnsi="Arial"/>
          <w:sz w:val="16"/>
          <w:lang w:val="es-CL"/>
        </w:rPr>
      </w:pPr>
      <w:r w:rsidRPr="00955E52">
        <w:rPr>
          <w:rFonts w:ascii="Arial" w:eastAsia="Calibri" w:hAnsi="Arial"/>
          <w:sz w:val="16"/>
          <w:lang w:val="es-CL"/>
        </w:rPr>
        <w:t>Los errores son robustos a heteroscedasticidad.</w:t>
      </w:r>
    </w:p>
    <w:p w:rsidR="00E62498" w:rsidRDefault="00E62498" w:rsidP="00E62498"/>
    <w:p w:rsidR="001A135B" w:rsidRPr="001A135B" w:rsidRDefault="001A135B" w:rsidP="001A135B">
      <w:pPr>
        <w:ind w:firstLine="567"/>
        <w:rPr>
          <w:lang w:val="es-CL"/>
        </w:rPr>
      </w:pPr>
    </w:p>
    <w:p w:rsidR="00FB0302" w:rsidRPr="001A135B" w:rsidRDefault="00FB0302" w:rsidP="00E62498">
      <w:pPr>
        <w:rPr>
          <w:lang w:val="es-CL"/>
        </w:rPr>
      </w:pPr>
    </w:p>
    <w:p w:rsidR="00566EFB" w:rsidRDefault="00566EFB" w:rsidP="00566EFB">
      <w:pPr>
        <w:pStyle w:val="Heading6"/>
        <w:numPr>
          <w:ilvl w:val="0"/>
          <w:numId w:val="15"/>
        </w:numPr>
        <w:rPr>
          <w:sz w:val="24"/>
        </w:rPr>
      </w:pPr>
      <w:r w:rsidRPr="005D7890">
        <w:rPr>
          <w:sz w:val="24"/>
        </w:rPr>
        <w:t>Estimación de</w:t>
      </w:r>
      <w:r>
        <w:rPr>
          <w:sz w:val="24"/>
        </w:rPr>
        <w:t xml:space="preserve"> los efectos del cambio climático sobre el crecimiento económico</w:t>
      </w:r>
    </w:p>
    <w:p w:rsidR="009E5C5C" w:rsidRPr="00566EFB" w:rsidRDefault="009E5C5C" w:rsidP="009E5C5C">
      <w:pPr>
        <w:ind w:firstLine="567"/>
        <w:rPr>
          <w:lang w:val="es-CL"/>
        </w:rPr>
      </w:pPr>
    </w:p>
    <w:p w:rsidR="001A1F7A" w:rsidRDefault="001A1F7A" w:rsidP="001A1F7A">
      <w:pPr>
        <w:rPr>
          <w:lang w:val="es-CL"/>
        </w:rPr>
      </w:pPr>
    </w:p>
    <w:p w:rsidR="00FB0302" w:rsidRDefault="00961902" w:rsidP="00695AB2">
      <w:pPr>
        <w:ind w:firstLine="567"/>
        <w:rPr>
          <w:lang w:val="es-CL"/>
        </w:rPr>
      </w:pPr>
      <w:r>
        <w:rPr>
          <w:lang w:val="es-CL"/>
        </w:rPr>
        <w:t xml:space="preserve">Los efectos del cambio climático sobre el crecimiento se estiman a través de </w:t>
      </w:r>
      <w:r w:rsidR="00695AB2">
        <w:rPr>
          <w:lang w:val="es-CL"/>
        </w:rPr>
        <w:t xml:space="preserve">el cálculo </w:t>
      </w:r>
      <w:r w:rsidR="00D34A02">
        <w:rPr>
          <w:lang w:val="es-CL"/>
        </w:rPr>
        <w:t>de</w:t>
      </w:r>
      <w:r w:rsidR="00695AB2">
        <w:rPr>
          <w:lang w:val="es-CL"/>
        </w:rPr>
        <w:t xml:space="preserve"> una senda base o tendencial y</w:t>
      </w:r>
      <w:r w:rsidR="00D34A02">
        <w:rPr>
          <w:lang w:val="es-CL"/>
        </w:rPr>
        <w:t xml:space="preserve"> aplicando a dicha</w:t>
      </w:r>
      <w:r w:rsidR="00695AB2">
        <w:rPr>
          <w:lang w:val="es-CL"/>
        </w:rPr>
        <w:t xml:space="preserve"> senda</w:t>
      </w:r>
      <w:r w:rsidR="00D34A02">
        <w:rPr>
          <w:lang w:val="es-CL"/>
        </w:rPr>
        <w:t xml:space="preserve"> el impacto esperado del cambio climático (</w:t>
      </w:r>
      <w:r w:rsidR="002C32F8">
        <w:rPr>
          <w:lang w:val="es-CL"/>
        </w:rPr>
        <w:fldChar w:fldCharType="begin"/>
      </w:r>
      <w:r w:rsidR="00D34A02">
        <w:rPr>
          <w:lang w:val="es-CL"/>
        </w:rPr>
        <w:instrText xml:space="preserve"> REF _Ref377381471 \h </w:instrText>
      </w:r>
      <w:r w:rsidR="002C32F8">
        <w:rPr>
          <w:lang w:val="es-CL"/>
        </w:rPr>
      </w:r>
      <w:r w:rsidR="002C32F8">
        <w:rPr>
          <w:lang w:val="es-CL"/>
        </w:rPr>
        <w:fldChar w:fldCharType="separate"/>
      </w:r>
      <w:r w:rsidR="00D34A02" w:rsidRPr="00E47A79">
        <w:t xml:space="preserve">Gráfico </w:t>
      </w:r>
      <w:r w:rsidR="00D34A02">
        <w:rPr>
          <w:noProof/>
        </w:rPr>
        <w:t>3</w:t>
      </w:r>
      <w:r w:rsidR="002C32F8">
        <w:rPr>
          <w:lang w:val="es-CL"/>
        </w:rPr>
        <w:fldChar w:fldCharType="end"/>
      </w:r>
      <w:r w:rsidR="00D34A02">
        <w:rPr>
          <w:lang w:val="es-CL"/>
        </w:rPr>
        <w:t xml:space="preserve">). </w:t>
      </w:r>
    </w:p>
    <w:p w:rsidR="000B3111" w:rsidRDefault="000B3111" w:rsidP="00961902">
      <w:pPr>
        <w:ind w:left="567"/>
        <w:rPr>
          <w:lang w:val="es-CL"/>
        </w:rPr>
      </w:pPr>
    </w:p>
    <w:p w:rsidR="000B3111" w:rsidRDefault="00056B00" w:rsidP="00056B00">
      <w:pPr>
        <w:rPr>
          <w:lang w:val="es-CL"/>
        </w:rPr>
      </w:pPr>
      <w:r w:rsidRPr="005874E0">
        <w:rPr>
          <w:lang w:val="es-ES"/>
        </w:rPr>
        <w:tab/>
      </w:r>
      <w:r w:rsidRPr="00056B00">
        <w:rPr>
          <w:lang w:val="es-ES"/>
        </w:rPr>
        <w:t>Es importante notar que estos impac</w:t>
      </w:r>
      <w:r>
        <w:rPr>
          <w:lang w:val="es-ES"/>
        </w:rPr>
        <w:t>tos consideran solo los efectos sobre el nivel de la producción y no toman en cuenta aquellos efectos indirectos sobre la acumulación de capital físico, los impactos sobre la salud humana y sus efectos en la productividad, los efectos sobre el ahorro y la inversión en la economía, entre otros factores, que pueden afectar la tasa de crecimiento de largo plazo.</w:t>
      </w: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0B3111">
      <w:pPr>
        <w:pStyle w:val="Caption"/>
        <w:spacing w:after="0"/>
        <w:jc w:val="center"/>
        <w:rPr>
          <w:color w:val="auto"/>
        </w:rPr>
      </w:pPr>
      <w:bookmarkStart w:id="12" w:name="_Ref377381471"/>
      <w:r w:rsidRPr="00E47A79">
        <w:rPr>
          <w:color w:val="auto"/>
        </w:rPr>
        <w:t xml:space="preserve">GRÁFICO </w:t>
      </w:r>
      <w:r w:rsidR="002C32F8" w:rsidRPr="00E47A79">
        <w:rPr>
          <w:color w:val="auto"/>
        </w:rPr>
        <w:fldChar w:fldCharType="begin"/>
      </w:r>
      <w:r w:rsidRPr="00E47A79">
        <w:rPr>
          <w:color w:val="auto"/>
        </w:rPr>
        <w:instrText xml:space="preserve"> SEQ GRÁFICO \* ARABIC </w:instrText>
      </w:r>
      <w:r w:rsidR="002C32F8" w:rsidRPr="00E47A79">
        <w:rPr>
          <w:color w:val="auto"/>
        </w:rPr>
        <w:fldChar w:fldCharType="separate"/>
      </w:r>
      <w:r>
        <w:rPr>
          <w:noProof/>
          <w:color w:val="auto"/>
        </w:rPr>
        <w:t>3</w:t>
      </w:r>
      <w:r w:rsidR="002C32F8" w:rsidRPr="00E47A79">
        <w:rPr>
          <w:color w:val="auto"/>
        </w:rPr>
        <w:fldChar w:fldCharType="end"/>
      </w:r>
      <w:bookmarkEnd w:id="12"/>
    </w:p>
    <w:p w:rsidR="00D34A02" w:rsidRPr="00D34A02" w:rsidRDefault="00D34A02" w:rsidP="00D34A02">
      <w:r>
        <w:t xml:space="preserve">PIB per cápita y escenarios </w:t>
      </w:r>
    </w:p>
    <w:p w:rsidR="000B3111" w:rsidRPr="00FB0302" w:rsidRDefault="000B3111" w:rsidP="00961902">
      <w:pPr>
        <w:ind w:left="567"/>
        <w:rPr>
          <w:lang w:val="es-CL"/>
        </w:rPr>
      </w:pPr>
      <w:r w:rsidRPr="000B3111">
        <w:rPr>
          <w:noProof/>
          <w:lang w:val="en-US"/>
        </w:rPr>
        <w:drawing>
          <wp:inline distT="0" distB="0" distL="0" distR="0">
            <wp:extent cx="4879238" cy="270662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0B3111" w:rsidRPr="00FB0302" w:rsidSect="001A1F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4C0" w:rsidRDefault="004C04C0" w:rsidP="002D0873">
      <w:r>
        <w:separator/>
      </w:r>
    </w:p>
  </w:endnote>
  <w:endnote w:type="continuationSeparator" w:id="0">
    <w:p w:rsidR="004C04C0" w:rsidRDefault="004C04C0" w:rsidP="002D0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4C0" w:rsidRDefault="004C04C0" w:rsidP="002D0873">
      <w:r>
        <w:separator/>
      </w:r>
    </w:p>
  </w:footnote>
  <w:footnote w:type="continuationSeparator" w:id="0">
    <w:p w:rsidR="004C04C0" w:rsidRDefault="004C04C0" w:rsidP="002D0873">
      <w:r>
        <w:continuationSeparator/>
      </w:r>
    </w:p>
  </w:footnote>
  <w:footnote w:id="1">
    <w:p w:rsidR="00001E8E" w:rsidRPr="00B81D98" w:rsidRDefault="00001E8E">
      <w:pPr>
        <w:pStyle w:val="FootnoteText"/>
        <w:rPr>
          <w:lang w:val="en-US"/>
        </w:rPr>
      </w:pPr>
      <w:r>
        <w:rPr>
          <w:rStyle w:val="FootnoteReference"/>
        </w:rPr>
        <w:footnoteRef/>
      </w:r>
      <w:r w:rsidRPr="00B81D98">
        <w:rPr>
          <w:lang w:val="en-US"/>
        </w:rPr>
        <w:t xml:space="preserve"> </w:t>
      </w:r>
      <w:proofErr w:type="spellStart"/>
      <w:r w:rsidRPr="00B81D98">
        <w:rPr>
          <w:lang w:val="en-US"/>
        </w:rPr>
        <w:t>Esta</w:t>
      </w:r>
      <w:proofErr w:type="spellEnd"/>
      <w:r w:rsidRPr="00B81D98">
        <w:rPr>
          <w:lang w:val="en-US"/>
        </w:rPr>
        <w:t xml:space="preserve"> </w:t>
      </w:r>
      <w:proofErr w:type="spellStart"/>
      <w:r w:rsidRPr="00B81D98">
        <w:rPr>
          <w:lang w:val="en-US"/>
        </w:rPr>
        <w:t>sección</w:t>
      </w:r>
      <w:proofErr w:type="spellEnd"/>
      <w:r w:rsidRPr="00B81D98">
        <w:rPr>
          <w:lang w:val="en-US"/>
        </w:rPr>
        <w:t xml:space="preserve"> se </w:t>
      </w:r>
      <w:proofErr w:type="spellStart"/>
      <w:r w:rsidRPr="00B81D98">
        <w:rPr>
          <w:lang w:val="en-US"/>
        </w:rPr>
        <w:t>basa</w:t>
      </w:r>
      <w:proofErr w:type="spellEnd"/>
      <w:r w:rsidRPr="00B81D98">
        <w:rPr>
          <w:lang w:val="en-US"/>
        </w:rPr>
        <w:t xml:space="preserve"> en el IPCC, Intergovernmental Panel on Climate Change (2013), «Summary for Policymakers», </w:t>
      </w:r>
      <w:r w:rsidRPr="00B81D98">
        <w:rPr>
          <w:i/>
          <w:iCs/>
          <w:lang w:val="en-US"/>
        </w:rPr>
        <w:t>Climate Change 2013: The Physical Science Basis. Contribution of Working Group I to the Fifth Assessment Report of the Intergovernmental Panel on Climate Change</w:t>
      </w:r>
      <w:r w:rsidRPr="00B81D98">
        <w:rPr>
          <w:lang w:val="en-US"/>
        </w:rPr>
        <w:t xml:space="preserve">, </w:t>
      </w:r>
      <w:proofErr w:type="spellStart"/>
      <w:r w:rsidRPr="00B81D98">
        <w:rPr>
          <w:lang w:val="en-US"/>
        </w:rPr>
        <w:t>eds</w:t>
      </w:r>
      <w:proofErr w:type="spellEnd"/>
      <w:r w:rsidRPr="00B81D98">
        <w:rPr>
          <w:lang w:val="en-US"/>
        </w:rPr>
        <w:t xml:space="preserve"> T. F. Stocker y </w:t>
      </w:r>
      <w:proofErr w:type="spellStart"/>
      <w:r w:rsidRPr="00B81D98">
        <w:rPr>
          <w:lang w:val="en-US"/>
        </w:rPr>
        <w:t>otros</w:t>
      </w:r>
      <w:proofErr w:type="spellEnd"/>
      <w:r w:rsidRPr="00B81D98">
        <w:rPr>
          <w:lang w:val="en-US"/>
        </w:rPr>
        <w:t>, Cambridge, United Kingdom and New York, NY, USA., Cambridge University Press.</w:t>
      </w:r>
    </w:p>
  </w:footnote>
  <w:footnote w:id="2">
    <w:p w:rsidR="00001E8E" w:rsidRPr="00270C73" w:rsidRDefault="00001E8E">
      <w:pPr>
        <w:pStyle w:val="FootnoteText"/>
        <w:rPr>
          <w:lang w:val="es-ES"/>
        </w:rPr>
      </w:pPr>
      <w:r>
        <w:rPr>
          <w:rStyle w:val="FootnoteReference"/>
        </w:rPr>
        <w:footnoteRef/>
      </w:r>
      <w:r w:rsidRPr="00270C73">
        <w:rPr>
          <w:lang w:val="en-US"/>
        </w:rPr>
        <w:t xml:space="preserve"> </w:t>
      </w:r>
      <w:proofErr w:type="spellStart"/>
      <w:r w:rsidRPr="00270C73">
        <w:rPr>
          <w:lang w:val="en-US"/>
        </w:rPr>
        <w:t>Véase</w:t>
      </w:r>
      <w:proofErr w:type="spellEnd"/>
      <w:r w:rsidRPr="00270C73">
        <w:rPr>
          <w:lang w:val="en-US"/>
        </w:rPr>
        <w:t xml:space="preserve"> </w:t>
      </w:r>
      <w:r w:rsidRPr="00B81D98">
        <w:rPr>
          <w:lang w:val="en-US"/>
        </w:rPr>
        <w:t xml:space="preserve">T. F. Stocker y </w:t>
      </w:r>
      <w:proofErr w:type="spellStart"/>
      <w:r w:rsidRPr="00B81D98">
        <w:rPr>
          <w:lang w:val="en-US"/>
        </w:rPr>
        <w:t>otros</w:t>
      </w:r>
      <w:proofErr w:type="spellEnd"/>
      <w:r>
        <w:rPr>
          <w:lang w:val="en-US"/>
        </w:rPr>
        <w:t xml:space="preserve"> </w:t>
      </w:r>
      <w:r w:rsidRPr="00B81D98">
        <w:rPr>
          <w:lang w:val="en-US"/>
        </w:rPr>
        <w:t>eds</w:t>
      </w:r>
      <w:r>
        <w:rPr>
          <w:lang w:val="en-US"/>
        </w:rPr>
        <w:t>.</w:t>
      </w:r>
      <w:r w:rsidRPr="00B81D98">
        <w:rPr>
          <w:lang w:val="en-US"/>
        </w:rPr>
        <w:t xml:space="preserve"> (2013), </w:t>
      </w:r>
      <w:r w:rsidRPr="00B81D98">
        <w:rPr>
          <w:i/>
          <w:iCs/>
          <w:lang w:val="en-US"/>
        </w:rPr>
        <w:t>Climate Change 2013: The Physical Science Basis. Contribution of Working Group I to the Fifth Assessment Report of the Intergovernmental Panel on Climate Change</w:t>
      </w:r>
      <w:r w:rsidRPr="00B81D98">
        <w:rPr>
          <w:lang w:val="en-US"/>
        </w:rPr>
        <w:t>, Cambridge, United Kingdom and New York, NY, USA, Cambridge University Press.</w:t>
      </w:r>
      <w:r>
        <w:rPr>
          <w:lang w:val="en-US"/>
        </w:rPr>
        <w:t xml:space="preserve"> </w:t>
      </w:r>
      <w:r w:rsidRPr="00270C73">
        <w:rPr>
          <w:lang w:val="es-ES"/>
        </w:rPr>
        <w:t>Para conocer los niveles de confianza específicos.</w:t>
      </w:r>
    </w:p>
  </w:footnote>
  <w:footnote w:id="3">
    <w:p w:rsidR="00001E8E" w:rsidRPr="00A47278" w:rsidRDefault="00001E8E">
      <w:pPr>
        <w:pStyle w:val="FootnoteText"/>
      </w:pPr>
      <w:r>
        <w:rPr>
          <w:rStyle w:val="FootnoteReference"/>
        </w:rPr>
        <w:footnoteRef/>
      </w:r>
      <w:r>
        <w:t xml:space="preserve"> Calculado a partir de una tendencia lineal.</w:t>
      </w:r>
    </w:p>
  </w:footnote>
  <w:footnote w:id="4">
    <w:p w:rsidR="00001E8E" w:rsidRPr="003560C7" w:rsidRDefault="00001E8E">
      <w:pPr>
        <w:pStyle w:val="FootnoteText"/>
        <w:rPr>
          <w:lang w:val="en-US"/>
        </w:rPr>
      </w:pPr>
      <w:r>
        <w:rPr>
          <w:rStyle w:val="FootnoteReference"/>
        </w:rPr>
        <w:footnoteRef/>
      </w:r>
      <w:r w:rsidRPr="003560C7">
        <w:rPr>
          <w:lang w:val="en-US"/>
        </w:rPr>
        <w:t xml:space="preserve"> </w:t>
      </w:r>
      <w:proofErr w:type="spellStart"/>
      <w:r w:rsidRPr="003560C7">
        <w:rPr>
          <w:lang w:val="en-US"/>
        </w:rPr>
        <w:t>Véase</w:t>
      </w:r>
      <w:proofErr w:type="spellEnd"/>
      <w:r w:rsidRPr="003560C7">
        <w:rPr>
          <w:lang w:val="en-US"/>
        </w:rPr>
        <w:t xml:space="preserve"> Van </w:t>
      </w:r>
      <w:proofErr w:type="spellStart"/>
      <w:r w:rsidRPr="003560C7">
        <w:rPr>
          <w:lang w:val="en-US"/>
        </w:rPr>
        <w:t>Vuuren</w:t>
      </w:r>
      <w:proofErr w:type="spellEnd"/>
      <w:r w:rsidRPr="003560C7">
        <w:rPr>
          <w:lang w:val="en-US"/>
        </w:rPr>
        <w:t xml:space="preserve">, </w:t>
      </w:r>
      <w:proofErr w:type="spellStart"/>
      <w:r w:rsidRPr="003560C7">
        <w:rPr>
          <w:lang w:val="en-US"/>
        </w:rPr>
        <w:t>Detlef</w:t>
      </w:r>
      <w:proofErr w:type="spellEnd"/>
      <w:r w:rsidRPr="003560C7">
        <w:rPr>
          <w:lang w:val="en-US"/>
        </w:rPr>
        <w:t xml:space="preserve"> P. y </w:t>
      </w:r>
      <w:proofErr w:type="spellStart"/>
      <w:r w:rsidRPr="003560C7">
        <w:rPr>
          <w:lang w:val="en-US"/>
        </w:rPr>
        <w:t>otros</w:t>
      </w:r>
      <w:proofErr w:type="spellEnd"/>
      <w:r w:rsidRPr="003560C7">
        <w:rPr>
          <w:lang w:val="en-US"/>
        </w:rPr>
        <w:t xml:space="preserve"> (2011), «The representative concentration pathways: an overview», </w:t>
      </w:r>
      <w:r w:rsidRPr="003560C7">
        <w:rPr>
          <w:i/>
          <w:iCs/>
          <w:lang w:val="en-US"/>
        </w:rPr>
        <w:t>Climatic Change</w:t>
      </w:r>
      <w:r w:rsidRPr="003560C7">
        <w:rPr>
          <w:lang w:val="en-US"/>
        </w:rPr>
        <w:t xml:space="preserve">, vol. 109, No. 1-2, 1 de </w:t>
      </w:r>
      <w:proofErr w:type="spellStart"/>
      <w:r w:rsidRPr="003560C7">
        <w:rPr>
          <w:lang w:val="en-US"/>
        </w:rPr>
        <w:t>noviembre</w:t>
      </w:r>
      <w:proofErr w:type="spellEnd"/>
      <w:r w:rsidRPr="003560C7">
        <w:rPr>
          <w:lang w:val="en-US"/>
        </w:rPr>
        <w:t>.</w:t>
      </w:r>
      <w:r>
        <w:rPr>
          <w:lang w:val="en-US"/>
        </w:rPr>
        <w:t xml:space="preserve"> </w:t>
      </w:r>
      <w:r w:rsidRPr="003560C7">
        <w:rPr>
          <w:lang w:val="en-US"/>
        </w:rPr>
        <w:t>.</w:t>
      </w:r>
    </w:p>
  </w:footnote>
  <w:footnote w:id="5">
    <w:p w:rsidR="00001E8E" w:rsidRPr="00543550" w:rsidRDefault="00001E8E" w:rsidP="00543550">
      <w:pPr>
        <w:pStyle w:val="FootnoteText"/>
      </w:pPr>
      <w:r>
        <w:rPr>
          <w:rStyle w:val="FootnoteReference"/>
        </w:rPr>
        <w:footnoteRef/>
      </w:r>
      <w:r>
        <w:t xml:space="preserve"> Cambio en la irradiación neta vertical (expresada en W/m</w:t>
      </w:r>
      <w:r w:rsidRPr="00543550">
        <w:rPr>
          <w:vertAlign w:val="superscript"/>
        </w:rPr>
        <w:t>2</w:t>
      </w:r>
      <w:r>
        <w:t>) en la f</w:t>
      </w:r>
      <w:r w:rsidRPr="00543550">
        <w:t>rontera entre la troposfera y la estratosfera</w:t>
      </w:r>
      <w:r>
        <w:t xml:space="preserve"> debido a un cambio interno o un cambio en el forzamiento externo del sistema climático (por ejemplo, un cambio en la concentración de dióxido de carbono o la potencia del Sol. Normalmente el forzamiento radiativo se calcula después de permitir que las temperaturas estratosféricas se reajusten al equilibrio radiativo, pero manteniendo fijas todas las propiedades troposféricas en sus valores sin perturbaciones </w:t>
      </w:r>
      <w:r>
        <w:fldChar w:fldCharType="begin"/>
      </w:r>
      <w:r>
        <w:instrText xml:space="preserve"> ADDIN ZOTERO_ITEM CSL_CITATION {"citationID":"7OfpzLwJ","properties":{"formattedCitation":"(IPCC, 2001)","plainCitation":"(IPCC, 2001)"},"citationItems":[{"id":4,"uris":["http://zotero.org/groups/22473/items/2EUF5237"],"uri":["http://zotero.org/groups/22473/items/2EUF5237"],"itemData":{"id":4,"type":"book","title":"Climate Change 2001: The Scientific Basis: Contribution of Working Group I to the Third Assessment Report of the Intergovernmental Panel on Climate Change","publisher":"Cambridge University Press","publisher-place":"Cambridge, United Kingdom and New York, NY, USA","number-of-pages":"881","source":"Amazon.com","event-place":"Cambridge, United Kingdom and New York, NY, USA","ISBN":"0521014956","shortTitle":"Climate Change 2001","editor":[{"family":"Houghton","given":"J. T."},{"family":"Ding","given":"Y."},{"family":"Griggs","given":"D. J."},{"family":"Noguer","given":"M."},{"family":"Linden","given":"P. J. van der"},{"family":"Dai","given":"X."},{"family":"Maskell","given":"K."},{"family":"Johnson","given":"C. A."}],"author":[{"family":"IPCC","given":"Intergovernmental Panel on Climate Change"}],"issued":{"date-parts":[["2001",7,23]]}}}],"schema":"https://github.com/citation-style-language/schema/raw/master/csl-citation.json"} </w:instrText>
      </w:r>
      <w:r>
        <w:fldChar w:fldCharType="separate"/>
      </w:r>
      <w:r w:rsidRPr="00543550">
        <w:t>(IPCC, 2001)</w:t>
      </w:r>
      <w:r>
        <w:fldChar w:fldCharType="end"/>
      </w:r>
      <w:r>
        <w:t>.</w:t>
      </w:r>
    </w:p>
  </w:footnote>
  <w:footnote w:id="6">
    <w:p w:rsidR="00001E8E" w:rsidRPr="00A64B60" w:rsidRDefault="00001E8E" w:rsidP="009A6DBC">
      <w:pPr>
        <w:pStyle w:val="FootnoteText"/>
        <w:rPr>
          <w:lang w:val="es-ES"/>
        </w:rPr>
      </w:pPr>
      <w:r>
        <w:rPr>
          <w:rStyle w:val="FootnoteReference"/>
        </w:rPr>
        <w:footnoteRef/>
      </w:r>
      <w:r w:rsidRPr="00A64B60">
        <w:rPr>
          <w:lang w:val="es-ES"/>
        </w:rPr>
        <w:t xml:space="preserve"> Las estimaciones de los distintos impactos </w:t>
      </w:r>
      <w:r>
        <w:rPr>
          <w:lang w:val="es-ES"/>
        </w:rPr>
        <w:t>están realizados usando</w:t>
      </w:r>
      <w:r w:rsidRPr="00A64B60">
        <w:rPr>
          <w:lang w:val="es-ES"/>
        </w:rPr>
        <w:t xml:space="preserve"> diversas metodolog</w:t>
      </w:r>
      <w:r>
        <w:rPr>
          <w:lang w:val="es-ES"/>
        </w:rPr>
        <w:t xml:space="preserve">ías, no siempre comparables. No son exhaustivas y se limitan a ciertos impactos, no incluyen los impactos esperados en biodiversidad, cambio en el acervo de recursos naturales y otras valoraciones no monetarias. No se incorporan posibles efectos acumulativos sobre capital humano y físico. </w:t>
      </w:r>
    </w:p>
  </w:footnote>
  <w:footnote w:id="7">
    <w:p w:rsidR="00001E8E" w:rsidRDefault="00001E8E" w:rsidP="009E5C5C">
      <w:pPr>
        <w:pStyle w:val="FootnoteText"/>
      </w:pPr>
      <w:r>
        <w:rPr>
          <w:rStyle w:val="FootnoteReference"/>
        </w:rPr>
        <w:footnoteRef/>
      </w:r>
      <w:r>
        <w:t xml:space="preserve">  </w:t>
      </w:r>
      <w:r w:rsidRPr="00952A7D">
        <w:rPr>
          <w:i/>
        </w:rPr>
        <w:t>Estudio Económico de América Latina</w:t>
      </w:r>
      <w:r>
        <w:t>. Comisión Económica Para América Latina y el Caribe.</w:t>
      </w:r>
    </w:p>
  </w:footnote>
  <w:footnote w:id="8">
    <w:p w:rsidR="00001E8E" w:rsidRDefault="00001E8E" w:rsidP="009E5C5C">
      <w:pPr>
        <w:pStyle w:val="FootnoteText"/>
      </w:pPr>
      <w:r>
        <w:rPr>
          <w:rStyle w:val="FootnoteReference"/>
        </w:rPr>
        <w:footnoteRef/>
      </w:r>
      <w:r>
        <w:t xml:space="preserve"> </w:t>
      </w:r>
      <w:r w:rsidRPr="00952A7D">
        <w:rPr>
          <w:i/>
        </w:rPr>
        <w:t>Perspectivas económicas  de América Latina 2014</w:t>
      </w:r>
      <w:r>
        <w:t>. Comisión Económica Para América Latina y el Caribe (CEPAL)</w:t>
      </w:r>
    </w:p>
  </w:footnote>
  <w:footnote w:id="9">
    <w:p w:rsidR="00001E8E" w:rsidRDefault="00001E8E" w:rsidP="009E5C5C">
      <w:pPr>
        <w:pStyle w:val="FootnoteText"/>
      </w:pPr>
      <w:r>
        <w:rPr>
          <w:rStyle w:val="FootnoteReference"/>
        </w:rPr>
        <w:footnoteRef/>
      </w:r>
      <w:r>
        <w:t xml:space="preserve"> </w:t>
      </w:r>
      <w:proofErr w:type="spellStart"/>
      <w:r>
        <w:t>Ibid</w:t>
      </w:r>
      <w:proofErr w:type="spellEnd"/>
    </w:p>
  </w:footnote>
  <w:footnote w:id="10">
    <w:p w:rsidR="00001E8E" w:rsidRDefault="00001E8E" w:rsidP="009E5C5C">
      <w:pPr>
        <w:pStyle w:val="FootnoteText"/>
      </w:pPr>
      <w:r>
        <w:rPr>
          <w:rStyle w:val="FootnoteReference"/>
        </w:rPr>
        <w:footnoteRef/>
      </w:r>
      <w:r>
        <w:t xml:space="preserve"> </w:t>
      </w:r>
      <w:proofErr w:type="spellStart"/>
      <w:r>
        <w:t>Ibid</w:t>
      </w:r>
      <w:proofErr w:type="spellEnd"/>
    </w:p>
  </w:footnote>
  <w:footnote w:id="11">
    <w:p w:rsidR="00001E8E" w:rsidRDefault="00001E8E" w:rsidP="009E5C5C">
      <w:pPr>
        <w:pStyle w:val="FootnoteText"/>
      </w:pPr>
      <w:r>
        <w:rPr>
          <w:rStyle w:val="FootnoteReference"/>
        </w:rPr>
        <w:footnoteRef/>
      </w:r>
      <w:r>
        <w:t xml:space="preserve"> </w:t>
      </w:r>
      <w:r w:rsidRPr="00952A7D">
        <w:rPr>
          <w:i/>
        </w:rPr>
        <w:t>Panorama social 2013</w:t>
      </w:r>
      <w:r>
        <w:t>. Comisión Económica para América Latina y el Caribe</w:t>
      </w:r>
    </w:p>
  </w:footnote>
  <w:footnote w:id="12">
    <w:p w:rsidR="00001E8E" w:rsidRDefault="00001E8E" w:rsidP="009E5C5C">
      <w:pPr>
        <w:pStyle w:val="FootnoteText"/>
      </w:pPr>
      <w:r>
        <w:rPr>
          <w:rStyle w:val="FootnoteReference"/>
        </w:rPr>
        <w:footnoteRef/>
      </w:r>
      <w:r>
        <w:t xml:space="preserve">  </w:t>
      </w:r>
      <w:proofErr w:type="spellStart"/>
      <w:r>
        <w:t>Ibid.</w:t>
      </w:r>
      <w:proofErr w:type="spellEnd"/>
    </w:p>
  </w:footnote>
  <w:footnote w:id="13">
    <w:p w:rsidR="00001E8E" w:rsidRPr="00130BF0" w:rsidRDefault="00001E8E" w:rsidP="004108A4">
      <w:pPr>
        <w:pStyle w:val="FootnoteText"/>
      </w:pPr>
      <w:r w:rsidRPr="00087C35">
        <w:rPr>
          <w:rStyle w:val="FootnoteReference"/>
        </w:rPr>
        <w:footnoteRef/>
      </w:r>
      <w:r>
        <w:t xml:space="preserve"> La línea de indigencia se construye a partir de la canasta básica de alimentos que considera los bienes que se precisarían para cubrir las necesidades nutricionales de la población, tomando en cuenta sus hábitos de consumo, la disponibilidad efectiva de alimentos y sus precios, correspondientes a cada país y zona geográfica. La línea de pobreza agrega a la línea de indigencia el monto requerido por los hogares para satisfacer las necesidades básicas no alimentarias (CEPAL, 2013). Ambas líneas son ajustadas anualmente de acuerdo con la variación acumulada del índice de precios al consumidor.</w:t>
      </w:r>
    </w:p>
  </w:footnote>
  <w:footnote w:id="14">
    <w:p w:rsidR="00001E8E" w:rsidRPr="005D493E" w:rsidRDefault="00001E8E">
      <w:pPr>
        <w:pStyle w:val="FootnoteText"/>
        <w:rPr>
          <w:lang w:val="es-CO"/>
        </w:rPr>
      </w:pPr>
      <w:r>
        <w:rPr>
          <w:rStyle w:val="FootnoteReference"/>
        </w:rPr>
        <w:footnoteRef/>
      </w:r>
      <w:r>
        <w:t xml:space="preserve"> </w:t>
      </w:r>
      <w:hyperlink r:id="rId1" w:history="1">
        <w:r>
          <w:rPr>
            <w:rStyle w:val="Hyperlink"/>
          </w:rPr>
          <w:t>http://estadisticas.cepal.org/cepalstat/WEB_CEPALSTAT/Portada.asp</w:t>
        </w:r>
      </w:hyperlink>
    </w:p>
  </w:footnote>
  <w:footnote w:id="15">
    <w:p w:rsidR="00001E8E" w:rsidRPr="00982D59" w:rsidRDefault="00001E8E" w:rsidP="00681090">
      <w:pPr>
        <w:pStyle w:val="FootnoteText"/>
      </w:pPr>
      <w:r w:rsidRPr="00087C35">
        <w:rPr>
          <w:rStyle w:val="FootnoteReference"/>
        </w:rPr>
        <w:footnoteRef/>
      </w:r>
      <w:r>
        <w:t xml:space="preserve"> Bolivia (</w:t>
      </w:r>
      <w:proofErr w:type="spellStart"/>
      <w:r>
        <w:t>Est.</w:t>
      </w:r>
      <w:proofErr w:type="spellEnd"/>
      <w:r>
        <w:t xml:space="preserve"> </w:t>
      </w:r>
      <w:proofErr w:type="spellStart"/>
      <w:r>
        <w:t>Plur</w:t>
      </w:r>
      <w:proofErr w:type="spellEnd"/>
      <w:r>
        <w:t>.), Brasil, Chile, Colombia, Costa Rica, Ecuador, El Salvador, Guatemala, Honduras, México, Nicaragua, Panamá, Paraguay, Perú, República Dominicana, Uruguay y Venezuela (Rep. Bol.).</w:t>
      </w:r>
    </w:p>
  </w:footnote>
  <w:footnote w:id="16">
    <w:p w:rsidR="00001E8E" w:rsidRPr="00955E52" w:rsidRDefault="00001E8E" w:rsidP="00955E52">
      <w:pPr>
        <w:pStyle w:val="FootnoteText"/>
        <w:rPr>
          <w:lang w:val="es-ES"/>
        </w:rPr>
      </w:pPr>
      <w:r>
        <w:rPr>
          <w:rStyle w:val="FootnoteReference"/>
        </w:rPr>
        <w:footnoteRef/>
      </w:r>
      <w:r>
        <w:t xml:space="preserve"> Los resultados de las estimaciones a través de modelos de efectos fijos y aleatorios es virtualmente idéntica.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2B6E"/>
    <w:multiLevelType w:val="hybridMultilevel"/>
    <w:tmpl w:val="994C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4F2E"/>
    <w:multiLevelType w:val="hybridMultilevel"/>
    <w:tmpl w:val="D6E82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D04F9"/>
    <w:multiLevelType w:val="hybridMultilevel"/>
    <w:tmpl w:val="CBFE4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95D4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3A730564"/>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4343DD"/>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415C33"/>
    <w:multiLevelType w:val="hybridMultilevel"/>
    <w:tmpl w:val="9428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B22D2"/>
    <w:multiLevelType w:val="multilevel"/>
    <w:tmpl w:val="792AE60A"/>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9B682F"/>
    <w:multiLevelType w:val="hybridMultilevel"/>
    <w:tmpl w:val="54E89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26D7E"/>
    <w:multiLevelType w:val="hybridMultilevel"/>
    <w:tmpl w:val="87DEF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B953C8"/>
    <w:multiLevelType w:val="hybridMultilevel"/>
    <w:tmpl w:val="132E29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580C51"/>
    <w:multiLevelType w:val="hybridMultilevel"/>
    <w:tmpl w:val="CB46C998"/>
    <w:lvl w:ilvl="0" w:tplc="8EFE4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453003"/>
    <w:multiLevelType w:val="hybridMultilevel"/>
    <w:tmpl w:val="41E0B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E23F3"/>
    <w:multiLevelType w:val="hybridMultilevel"/>
    <w:tmpl w:val="C1C2A78A"/>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07A4644"/>
    <w:multiLevelType w:val="hybridMultilevel"/>
    <w:tmpl w:val="5080D916"/>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74885F61"/>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1E1ACC"/>
    <w:multiLevelType w:val="hybridMultilevel"/>
    <w:tmpl w:val="E42AE5B2"/>
    <w:lvl w:ilvl="0" w:tplc="2E7CA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8634D"/>
    <w:multiLevelType w:val="hybridMultilevel"/>
    <w:tmpl w:val="FBAA3F60"/>
    <w:lvl w:ilvl="0" w:tplc="BCE4FFE2">
      <w:start w:val="1"/>
      <w:numFmt w:val="bullet"/>
      <w:pStyle w:val="Bibliografa3"/>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2"/>
  </w:num>
  <w:num w:numId="5">
    <w:abstractNumId w:val="9"/>
  </w:num>
  <w:num w:numId="6">
    <w:abstractNumId w:val="3"/>
  </w:num>
  <w:num w:numId="7">
    <w:abstractNumId w:val="12"/>
  </w:num>
  <w:num w:numId="8">
    <w:abstractNumId w:val="16"/>
  </w:num>
  <w:num w:numId="9">
    <w:abstractNumId w:val="5"/>
  </w:num>
  <w:num w:numId="10">
    <w:abstractNumId w:val="0"/>
  </w:num>
  <w:num w:numId="11">
    <w:abstractNumId w:val="15"/>
  </w:num>
  <w:num w:numId="12">
    <w:abstractNumId w:val="10"/>
  </w:num>
  <w:num w:numId="13">
    <w:abstractNumId w:val="4"/>
  </w:num>
  <w:num w:numId="14">
    <w:abstractNumId w:val="11"/>
  </w:num>
  <w:num w:numId="15">
    <w:abstractNumId w:val="13"/>
  </w:num>
  <w:num w:numId="16">
    <w:abstractNumId w:val="14"/>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17044"/>
    <w:rsid w:val="00001E8E"/>
    <w:rsid w:val="00006C8F"/>
    <w:rsid w:val="00007569"/>
    <w:rsid w:val="00012FDA"/>
    <w:rsid w:val="00013B86"/>
    <w:rsid w:val="0004426B"/>
    <w:rsid w:val="000512B9"/>
    <w:rsid w:val="0005219A"/>
    <w:rsid w:val="00056B00"/>
    <w:rsid w:val="00067E8C"/>
    <w:rsid w:val="000729B7"/>
    <w:rsid w:val="0008728A"/>
    <w:rsid w:val="0008743C"/>
    <w:rsid w:val="00090471"/>
    <w:rsid w:val="00092B97"/>
    <w:rsid w:val="00095376"/>
    <w:rsid w:val="000A2362"/>
    <w:rsid w:val="000A24F6"/>
    <w:rsid w:val="000B3111"/>
    <w:rsid w:val="000B66AB"/>
    <w:rsid w:val="000D66EC"/>
    <w:rsid w:val="000E45C0"/>
    <w:rsid w:val="001012EF"/>
    <w:rsid w:val="00107E65"/>
    <w:rsid w:val="00134679"/>
    <w:rsid w:val="00160DF3"/>
    <w:rsid w:val="00181D30"/>
    <w:rsid w:val="00185FED"/>
    <w:rsid w:val="00194629"/>
    <w:rsid w:val="001A03EB"/>
    <w:rsid w:val="001A135B"/>
    <w:rsid w:val="001A1F7A"/>
    <w:rsid w:val="001A42E8"/>
    <w:rsid w:val="001A6C9C"/>
    <w:rsid w:val="001B4606"/>
    <w:rsid w:val="001B59FA"/>
    <w:rsid w:val="001B7E97"/>
    <w:rsid w:val="001C1128"/>
    <w:rsid w:val="001D06BB"/>
    <w:rsid w:val="001D765C"/>
    <w:rsid w:val="001E1DE2"/>
    <w:rsid w:val="00214E56"/>
    <w:rsid w:val="002265EB"/>
    <w:rsid w:val="00232CED"/>
    <w:rsid w:val="00237BD1"/>
    <w:rsid w:val="002425D3"/>
    <w:rsid w:val="00242960"/>
    <w:rsid w:val="00246E6A"/>
    <w:rsid w:val="00247154"/>
    <w:rsid w:val="00251945"/>
    <w:rsid w:val="00257F7A"/>
    <w:rsid w:val="0026178A"/>
    <w:rsid w:val="00263289"/>
    <w:rsid w:val="00270C73"/>
    <w:rsid w:val="00292210"/>
    <w:rsid w:val="00292840"/>
    <w:rsid w:val="00293BC4"/>
    <w:rsid w:val="0029633C"/>
    <w:rsid w:val="002A70F3"/>
    <w:rsid w:val="002B2493"/>
    <w:rsid w:val="002B3B5D"/>
    <w:rsid w:val="002C32F8"/>
    <w:rsid w:val="002D0873"/>
    <w:rsid w:val="002D2C8F"/>
    <w:rsid w:val="002D5BF4"/>
    <w:rsid w:val="002D7FA7"/>
    <w:rsid w:val="002E09D5"/>
    <w:rsid w:val="002F3F7B"/>
    <w:rsid w:val="003151AD"/>
    <w:rsid w:val="00337E8B"/>
    <w:rsid w:val="00343994"/>
    <w:rsid w:val="0034767A"/>
    <w:rsid w:val="003535E8"/>
    <w:rsid w:val="003560C7"/>
    <w:rsid w:val="00362732"/>
    <w:rsid w:val="00375A16"/>
    <w:rsid w:val="003868E7"/>
    <w:rsid w:val="00386FA2"/>
    <w:rsid w:val="00387665"/>
    <w:rsid w:val="00393B88"/>
    <w:rsid w:val="003B7A4E"/>
    <w:rsid w:val="003E4F57"/>
    <w:rsid w:val="003F623A"/>
    <w:rsid w:val="003F6787"/>
    <w:rsid w:val="00401538"/>
    <w:rsid w:val="00405926"/>
    <w:rsid w:val="00407019"/>
    <w:rsid w:val="004108A4"/>
    <w:rsid w:val="00411287"/>
    <w:rsid w:val="004167A3"/>
    <w:rsid w:val="00423D78"/>
    <w:rsid w:val="00424DA4"/>
    <w:rsid w:val="00425890"/>
    <w:rsid w:val="00426246"/>
    <w:rsid w:val="00426B2F"/>
    <w:rsid w:val="00433071"/>
    <w:rsid w:val="004357B9"/>
    <w:rsid w:val="004357F6"/>
    <w:rsid w:val="0043659D"/>
    <w:rsid w:val="004450BC"/>
    <w:rsid w:val="004509E7"/>
    <w:rsid w:val="00451280"/>
    <w:rsid w:val="0045379A"/>
    <w:rsid w:val="00453DEA"/>
    <w:rsid w:val="0045631E"/>
    <w:rsid w:val="00461038"/>
    <w:rsid w:val="0048140F"/>
    <w:rsid w:val="00497605"/>
    <w:rsid w:val="004B54E6"/>
    <w:rsid w:val="004C04C0"/>
    <w:rsid w:val="004C0CC0"/>
    <w:rsid w:val="004D084A"/>
    <w:rsid w:val="004E70B2"/>
    <w:rsid w:val="004F1A04"/>
    <w:rsid w:val="0051301C"/>
    <w:rsid w:val="00515CF0"/>
    <w:rsid w:val="00517044"/>
    <w:rsid w:val="00520A56"/>
    <w:rsid w:val="00530B8F"/>
    <w:rsid w:val="00537C28"/>
    <w:rsid w:val="00543550"/>
    <w:rsid w:val="0055767D"/>
    <w:rsid w:val="00560178"/>
    <w:rsid w:val="0056215F"/>
    <w:rsid w:val="00566EFB"/>
    <w:rsid w:val="005715CA"/>
    <w:rsid w:val="005720EE"/>
    <w:rsid w:val="0057292F"/>
    <w:rsid w:val="005844B1"/>
    <w:rsid w:val="005874E0"/>
    <w:rsid w:val="005A0AC7"/>
    <w:rsid w:val="005A2C55"/>
    <w:rsid w:val="005C324A"/>
    <w:rsid w:val="005C5EA3"/>
    <w:rsid w:val="005D2F0C"/>
    <w:rsid w:val="005D493E"/>
    <w:rsid w:val="005D7890"/>
    <w:rsid w:val="005E2F79"/>
    <w:rsid w:val="005E61DE"/>
    <w:rsid w:val="005F7396"/>
    <w:rsid w:val="005F79C4"/>
    <w:rsid w:val="00605794"/>
    <w:rsid w:val="006433A1"/>
    <w:rsid w:val="00645290"/>
    <w:rsid w:val="0065173B"/>
    <w:rsid w:val="00652C8E"/>
    <w:rsid w:val="00656BF5"/>
    <w:rsid w:val="00674DAD"/>
    <w:rsid w:val="00677A0A"/>
    <w:rsid w:val="00681090"/>
    <w:rsid w:val="00695AB2"/>
    <w:rsid w:val="006A0631"/>
    <w:rsid w:val="006A4AAC"/>
    <w:rsid w:val="006B5325"/>
    <w:rsid w:val="006E5184"/>
    <w:rsid w:val="006E65B6"/>
    <w:rsid w:val="006F482E"/>
    <w:rsid w:val="006F7419"/>
    <w:rsid w:val="006F7D8E"/>
    <w:rsid w:val="006F7FD0"/>
    <w:rsid w:val="007023DD"/>
    <w:rsid w:val="00737708"/>
    <w:rsid w:val="007414A1"/>
    <w:rsid w:val="00753B17"/>
    <w:rsid w:val="00764BD8"/>
    <w:rsid w:val="00766D9B"/>
    <w:rsid w:val="0077685D"/>
    <w:rsid w:val="00784E5A"/>
    <w:rsid w:val="00786F11"/>
    <w:rsid w:val="00793E4B"/>
    <w:rsid w:val="007969CC"/>
    <w:rsid w:val="007B53C4"/>
    <w:rsid w:val="007C1497"/>
    <w:rsid w:val="00800B60"/>
    <w:rsid w:val="00811A48"/>
    <w:rsid w:val="008262D9"/>
    <w:rsid w:val="008306DE"/>
    <w:rsid w:val="00836464"/>
    <w:rsid w:val="00836A8F"/>
    <w:rsid w:val="00837F5C"/>
    <w:rsid w:val="008437F2"/>
    <w:rsid w:val="008439D1"/>
    <w:rsid w:val="00864A65"/>
    <w:rsid w:val="00882118"/>
    <w:rsid w:val="00882E25"/>
    <w:rsid w:val="00885EEB"/>
    <w:rsid w:val="00886C1F"/>
    <w:rsid w:val="0089312B"/>
    <w:rsid w:val="008963F0"/>
    <w:rsid w:val="008A6EE9"/>
    <w:rsid w:val="008A7348"/>
    <w:rsid w:val="008B4B12"/>
    <w:rsid w:val="008D07CD"/>
    <w:rsid w:val="008D317D"/>
    <w:rsid w:val="008D5F61"/>
    <w:rsid w:val="00904B09"/>
    <w:rsid w:val="009059C1"/>
    <w:rsid w:val="00905C09"/>
    <w:rsid w:val="00916F50"/>
    <w:rsid w:val="009271F3"/>
    <w:rsid w:val="00947F16"/>
    <w:rsid w:val="00951F3C"/>
    <w:rsid w:val="00952B9E"/>
    <w:rsid w:val="00955E52"/>
    <w:rsid w:val="00955EC7"/>
    <w:rsid w:val="00961902"/>
    <w:rsid w:val="00981FE1"/>
    <w:rsid w:val="00982BB6"/>
    <w:rsid w:val="009863F5"/>
    <w:rsid w:val="009A5B99"/>
    <w:rsid w:val="009A6DBC"/>
    <w:rsid w:val="009B1658"/>
    <w:rsid w:val="009B5F0E"/>
    <w:rsid w:val="009C47C8"/>
    <w:rsid w:val="009C67A6"/>
    <w:rsid w:val="009D2D1D"/>
    <w:rsid w:val="009D7F3B"/>
    <w:rsid w:val="009E39EE"/>
    <w:rsid w:val="009E4285"/>
    <w:rsid w:val="009E4D7A"/>
    <w:rsid w:val="009E5C5C"/>
    <w:rsid w:val="009E6141"/>
    <w:rsid w:val="009F2992"/>
    <w:rsid w:val="00A07641"/>
    <w:rsid w:val="00A21698"/>
    <w:rsid w:val="00A3223A"/>
    <w:rsid w:val="00A40C31"/>
    <w:rsid w:val="00A47278"/>
    <w:rsid w:val="00A67A52"/>
    <w:rsid w:val="00A73EB0"/>
    <w:rsid w:val="00AA1644"/>
    <w:rsid w:val="00AD3BBC"/>
    <w:rsid w:val="00AE30E6"/>
    <w:rsid w:val="00AF6A05"/>
    <w:rsid w:val="00B20F12"/>
    <w:rsid w:val="00B23197"/>
    <w:rsid w:val="00B64166"/>
    <w:rsid w:val="00B6485A"/>
    <w:rsid w:val="00B72AB8"/>
    <w:rsid w:val="00B81D98"/>
    <w:rsid w:val="00B951D8"/>
    <w:rsid w:val="00BA3E99"/>
    <w:rsid w:val="00BB21DB"/>
    <w:rsid w:val="00BD0D08"/>
    <w:rsid w:val="00BE652B"/>
    <w:rsid w:val="00C000A5"/>
    <w:rsid w:val="00C040E1"/>
    <w:rsid w:val="00C1728F"/>
    <w:rsid w:val="00C204E0"/>
    <w:rsid w:val="00C31326"/>
    <w:rsid w:val="00C37657"/>
    <w:rsid w:val="00C40E0B"/>
    <w:rsid w:val="00C5001F"/>
    <w:rsid w:val="00C5652E"/>
    <w:rsid w:val="00C56AA2"/>
    <w:rsid w:val="00C61266"/>
    <w:rsid w:val="00C760EA"/>
    <w:rsid w:val="00C8233B"/>
    <w:rsid w:val="00C92282"/>
    <w:rsid w:val="00CC4811"/>
    <w:rsid w:val="00CD6185"/>
    <w:rsid w:val="00CD7CFE"/>
    <w:rsid w:val="00CD7F1E"/>
    <w:rsid w:val="00CE5BBA"/>
    <w:rsid w:val="00CE67DC"/>
    <w:rsid w:val="00CE754D"/>
    <w:rsid w:val="00CF301F"/>
    <w:rsid w:val="00CF38B2"/>
    <w:rsid w:val="00D0066C"/>
    <w:rsid w:val="00D11EFE"/>
    <w:rsid w:val="00D148CF"/>
    <w:rsid w:val="00D22B0F"/>
    <w:rsid w:val="00D30736"/>
    <w:rsid w:val="00D34A02"/>
    <w:rsid w:val="00D35B53"/>
    <w:rsid w:val="00D3623F"/>
    <w:rsid w:val="00D40D3E"/>
    <w:rsid w:val="00D655EA"/>
    <w:rsid w:val="00D75F9D"/>
    <w:rsid w:val="00D82B88"/>
    <w:rsid w:val="00D840A5"/>
    <w:rsid w:val="00DA209F"/>
    <w:rsid w:val="00DA2CA8"/>
    <w:rsid w:val="00DB5DA1"/>
    <w:rsid w:val="00DC1BC3"/>
    <w:rsid w:val="00DD585B"/>
    <w:rsid w:val="00DF7C55"/>
    <w:rsid w:val="00E15AC6"/>
    <w:rsid w:val="00E230B7"/>
    <w:rsid w:val="00E264BA"/>
    <w:rsid w:val="00E35C44"/>
    <w:rsid w:val="00E36ABF"/>
    <w:rsid w:val="00E4455B"/>
    <w:rsid w:val="00E46B64"/>
    <w:rsid w:val="00E47A79"/>
    <w:rsid w:val="00E52D47"/>
    <w:rsid w:val="00E62498"/>
    <w:rsid w:val="00E66826"/>
    <w:rsid w:val="00E702FA"/>
    <w:rsid w:val="00E70AF4"/>
    <w:rsid w:val="00E8587D"/>
    <w:rsid w:val="00E8788E"/>
    <w:rsid w:val="00E94052"/>
    <w:rsid w:val="00E975F7"/>
    <w:rsid w:val="00EA13F0"/>
    <w:rsid w:val="00EA16A2"/>
    <w:rsid w:val="00EA293D"/>
    <w:rsid w:val="00EB07C8"/>
    <w:rsid w:val="00EC455F"/>
    <w:rsid w:val="00ED4592"/>
    <w:rsid w:val="00ED775A"/>
    <w:rsid w:val="00EE77D9"/>
    <w:rsid w:val="00EF27F6"/>
    <w:rsid w:val="00EF757C"/>
    <w:rsid w:val="00EF7D47"/>
    <w:rsid w:val="00F25289"/>
    <w:rsid w:val="00F26B80"/>
    <w:rsid w:val="00F31A77"/>
    <w:rsid w:val="00F33CB4"/>
    <w:rsid w:val="00F51DAC"/>
    <w:rsid w:val="00F62A14"/>
    <w:rsid w:val="00F74CA3"/>
    <w:rsid w:val="00F74D5A"/>
    <w:rsid w:val="00F83CD1"/>
    <w:rsid w:val="00F84172"/>
    <w:rsid w:val="00F94BF9"/>
    <w:rsid w:val="00FA2270"/>
    <w:rsid w:val="00FA5CCD"/>
    <w:rsid w:val="00FB0302"/>
    <w:rsid w:val="00FF5D05"/>
    <w:rsid w:val="00FF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BC"/>
    <w:pPr>
      <w:jc w:val="both"/>
    </w:pPr>
    <w:rPr>
      <w:sz w:val="21"/>
      <w:lang w:val="es-ES_tradnl"/>
    </w:rPr>
  </w:style>
  <w:style w:type="paragraph" w:styleId="Heading1">
    <w:name w:val="heading 1"/>
    <w:basedOn w:val="Normal"/>
    <w:next w:val="Normal"/>
    <w:link w:val="Heading1Char"/>
    <w:qFormat/>
    <w:rsid w:val="009A6DBC"/>
    <w:pPr>
      <w:keepNext/>
      <w:jc w:val="center"/>
      <w:outlineLvl w:val="0"/>
    </w:pPr>
    <w:rPr>
      <w:rFonts w:eastAsiaTheme="majorEastAsia" w:cstheme="majorBidi"/>
      <w:b/>
      <w:caps/>
    </w:rPr>
  </w:style>
  <w:style w:type="paragraph" w:styleId="Heading2">
    <w:name w:val="heading 2"/>
    <w:basedOn w:val="Normal"/>
    <w:next w:val="Normal"/>
    <w:link w:val="Heading2Char"/>
    <w:qFormat/>
    <w:rsid w:val="009A6DBC"/>
    <w:pPr>
      <w:keepNext/>
      <w:jc w:val="center"/>
      <w:outlineLvl w:val="1"/>
    </w:pPr>
    <w:rPr>
      <w:rFonts w:eastAsiaTheme="majorEastAsia" w:cstheme="majorBidi"/>
      <w:b/>
    </w:rPr>
  </w:style>
  <w:style w:type="paragraph" w:styleId="Heading3">
    <w:name w:val="heading 3"/>
    <w:basedOn w:val="Normal"/>
    <w:next w:val="Normal"/>
    <w:link w:val="Heading3Char"/>
    <w:qFormat/>
    <w:rsid w:val="009A6DBC"/>
    <w:pPr>
      <w:keepNext/>
      <w:spacing w:after="120"/>
      <w:outlineLvl w:val="2"/>
    </w:pPr>
    <w:rPr>
      <w:rFonts w:eastAsiaTheme="majorEastAsia" w:cstheme="majorBidi"/>
      <w:i/>
    </w:rPr>
  </w:style>
  <w:style w:type="paragraph" w:styleId="Heading4">
    <w:name w:val="heading 4"/>
    <w:basedOn w:val="Normal"/>
    <w:next w:val="Normal"/>
    <w:link w:val="Heading4Char"/>
    <w:qFormat/>
    <w:rsid w:val="009A6DBC"/>
    <w:pPr>
      <w:keepNext/>
      <w:jc w:val="center"/>
      <w:outlineLvl w:val="3"/>
    </w:pPr>
    <w:rPr>
      <w:rFonts w:cstheme="majorBidi"/>
      <w:b/>
      <w:color w:val="000000"/>
      <w:sz w:val="20"/>
    </w:rPr>
  </w:style>
  <w:style w:type="paragraph" w:styleId="Heading5">
    <w:name w:val="heading 5"/>
    <w:basedOn w:val="Normal"/>
    <w:next w:val="Normal"/>
    <w:link w:val="Heading5Char"/>
    <w:qFormat/>
    <w:rsid w:val="009A6DBC"/>
    <w:pPr>
      <w:keepNext/>
      <w:jc w:val="center"/>
      <w:outlineLvl w:val="4"/>
    </w:pPr>
    <w:rPr>
      <w:rFonts w:cstheme="majorBidi"/>
      <w:b/>
      <w:sz w:val="20"/>
    </w:rPr>
  </w:style>
  <w:style w:type="paragraph" w:styleId="Heading6">
    <w:name w:val="heading 6"/>
    <w:basedOn w:val="Normal"/>
    <w:next w:val="Normal"/>
    <w:link w:val="Heading6Char"/>
    <w:qFormat/>
    <w:rsid w:val="009A6DBC"/>
    <w:pPr>
      <w:tabs>
        <w:tab w:val="left" w:pos="567"/>
      </w:tabs>
      <w:spacing w:before="120"/>
      <w:ind w:left="567"/>
      <w:jc w:val="left"/>
      <w:outlineLvl w:val="5"/>
    </w:pPr>
    <w:rPr>
      <w:rFonts w:cstheme="majorBidi"/>
      <w:b/>
      <w:lang w:val="es-CL"/>
    </w:rPr>
  </w:style>
  <w:style w:type="paragraph" w:styleId="Heading7">
    <w:name w:val="heading 7"/>
    <w:basedOn w:val="Normal"/>
    <w:next w:val="Normal"/>
    <w:link w:val="Heading7Char"/>
    <w:qFormat/>
    <w:rsid w:val="009A6DBC"/>
    <w:pPr>
      <w:spacing w:before="120"/>
      <w:ind w:left="567"/>
      <w:jc w:val="left"/>
      <w:outlineLvl w:val="6"/>
    </w:pPr>
    <w:rPr>
      <w:rFonts w:cstheme="majorBidi"/>
      <w:i/>
    </w:rPr>
  </w:style>
  <w:style w:type="paragraph" w:styleId="Heading8">
    <w:name w:val="heading 8"/>
    <w:basedOn w:val="Normal"/>
    <w:next w:val="Normal"/>
    <w:link w:val="Heading8Char"/>
    <w:qFormat/>
    <w:rsid w:val="009A6DBC"/>
    <w:pPr>
      <w:keepNext/>
      <w:outlineLvl w:val="7"/>
    </w:pPr>
    <w:rPr>
      <w:rFonts w:cstheme="majorBidi"/>
      <w:i/>
      <w:color w:val="000000"/>
      <w:sz w:val="20"/>
    </w:rPr>
  </w:style>
  <w:style w:type="paragraph" w:styleId="Heading9">
    <w:name w:val="heading 9"/>
    <w:basedOn w:val="Normal"/>
    <w:next w:val="Normal"/>
    <w:link w:val="Heading9Char"/>
    <w:qFormat/>
    <w:rsid w:val="009A6DBC"/>
    <w:pPr>
      <w:keepNext/>
      <w:jc w:val="left"/>
      <w:outlineLvl w:val="8"/>
    </w:pPr>
    <w:rPr>
      <w:rFonts w:eastAsiaTheme="majorEastAsia" w:cstheme="majorBid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8E"/>
    <w:pPr>
      <w:ind w:left="720"/>
      <w:contextualSpacing/>
    </w:pPr>
  </w:style>
  <w:style w:type="character" w:customStyle="1" w:styleId="Heading1Char">
    <w:name w:val="Heading 1 Char"/>
    <w:basedOn w:val="DefaultParagraphFont"/>
    <w:link w:val="Heading1"/>
    <w:rsid w:val="00652C8E"/>
    <w:rPr>
      <w:rFonts w:eastAsiaTheme="majorEastAsia" w:cstheme="majorBidi"/>
      <w:b/>
      <w:caps/>
      <w:sz w:val="21"/>
      <w:lang w:val="es-ES_tradnl"/>
    </w:rPr>
  </w:style>
  <w:style w:type="character" w:customStyle="1" w:styleId="Heading2Char">
    <w:name w:val="Heading 2 Char"/>
    <w:basedOn w:val="DefaultParagraphFont"/>
    <w:link w:val="Heading2"/>
    <w:rsid w:val="00652C8E"/>
    <w:rPr>
      <w:rFonts w:eastAsiaTheme="majorEastAsia" w:cstheme="majorBidi"/>
      <w:b/>
      <w:sz w:val="21"/>
      <w:lang w:val="es-ES_tradnl"/>
    </w:rPr>
  </w:style>
  <w:style w:type="character" w:customStyle="1" w:styleId="Heading3Char">
    <w:name w:val="Heading 3 Char"/>
    <w:basedOn w:val="DefaultParagraphFont"/>
    <w:link w:val="Heading3"/>
    <w:rsid w:val="00652C8E"/>
    <w:rPr>
      <w:rFonts w:eastAsiaTheme="majorEastAsia" w:cstheme="majorBidi"/>
      <w:i/>
      <w:sz w:val="21"/>
      <w:lang w:val="es-ES_tradnl"/>
    </w:rPr>
  </w:style>
  <w:style w:type="character" w:customStyle="1" w:styleId="Heading4Char">
    <w:name w:val="Heading 4 Char"/>
    <w:basedOn w:val="DefaultParagraphFont"/>
    <w:link w:val="Heading4"/>
    <w:rsid w:val="00652C8E"/>
    <w:rPr>
      <w:rFonts w:cstheme="majorBidi"/>
      <w:b/>
      <w:color w:val="000000"/>
      <w:lang w:val="es-ES_tradnl"/>
    </w:rPr>
  </w:style>
  <w:style w:type="character" w:customStyle="1" w:styleId="Heading5Char">
    <w:name w:val="Heading 5 Char"/>
    <w:basedOn w:val="DefaultParagraphFont"/>
    <w:link w:val="Heading5"/>
    <w:rsid w:val="00652C8E"/>
    <w:rPr>
      <w:rFonts w:cstheme="majorBidi"/>
      <w:b/>
      <w:lang w:val="es-ES_tradnl"/>
    </w:rPr>
  </w:style>
  <w:style w:type="character" w:customStyle="1" w:styleId="Heading6Char">
    <w:name w:val="Heading 6 Char"/>
    <w:basedOn w:val="DefaultParagraphFont"/>
    <w:link w:val="Heading6"/>
    <w:rsid w:val="00652C8E"/>
    <w:rPr>
      <w:rFonts w:cstheme="majorBidi"/>
      <w:b/>
      <w:sz w:val="21"/>
      <w:lang w:val="es-CL"/>
    </w:rPr>
  </w:style>
  <w:style w:type="character" w:customStyle="1" w:styleId="Heading7Char">
    <w:name w:val="Heading 7 Char"/>
    <w:basedOn w:val="DefaultParagraphFont"/>
    <w:link w:val="Heading7"/>
    <w:rsid w:val="00652C8E"/>
    <w:rPr>
      <w:rFonts w:cstheme="majorBidi"/>
      <w:i/>
      <w:sz w:val="21"/>
      <w:lang w:val="es-ES_tradnl"/>
    </w:rPr>
  </w:style>
  <w:style w:type="character" w:customStyle="1" w:styleId="Heading8Char">
    <w:name w:val="Heading 8 Char"/>
    <w:basedOn w:val="DefaultParagraphFont"/>
    <w:link w:val="Heading8"/>
    <w:rsid w:val="00652C8E"/>
    <w:rPr>
      <w:rFonts w:cstheme="majorBidi"/>
      <w:i/>
      <w:color w:val="000000"/>
      <w:lang w:val="es-ES_tradnl"/>
    </w:rPr>
  </w:style>
  <w:style w:type="character" w:customStyle="1" w:styleId="Heading9Char">
    <w:name w:val="Heading 9 Char"/>
    <w:basedOn w:val="DefaultParagraphFont"/>
    <w:link w:val="Heading9"/>
    <w:rsid w:val="00652C8E"/>
    <w:rPr>
      <w:rFonts w:eastAsiaTheme="majorEastAsia" w:cstheme="majorBidi"/>
      <w:b/>
      <w:color w:val="000000"/>
      <w:lang w:val="es-ES_tradnl"/>
    </w:rPr>
  </w:style>
  <w:style w:type="paragraph" w:styleId="Title">
    <w:name w:val="Title"/>
    <w:basedOn w:val="Normal"/>
    <w:next w:val="Normal"/>
    <w:link w:val="TitleChar"/>
    <w:qFormat/>
    <w:rsid w:val="00652C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2C8E"/>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qFormat/>
    <w:rsid w:val="00652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2C8E"/>
    <w:rPr>
      <w:rFonts w:asciiTheme="majorHAnsi" w:eastAsiaTheme="majorEastAsia" w:hAnsiTheme="majorHAnsi" w:cstheme="majorBidi"/>
      <w:i/>
      <w:iCs/>
      <w:color w:val="4F81BD" w:themeColor="accent1"/>
      <w:spacing w:val="15"/>
      <w:sz w:val="24"/>
      <w:szCs w:val="24"/>
      <w:lang w:val="es-ES_tradnl"/>
    </w:rPr>
  </w:style>
  <w:style w:type="character" w:styleId="Strong">
    <w:name w:val="Strong"/>
    <w:basedOn w:val="DefaultParagraphFont"/>
    <w:qFormat/>
    <w:rsid w:val="00652C8E"/>
    <w:rPr>
      <w:b/>
      <w:bCs/>
    </w:rPr>
  </w:style>
  <w:style w:type="character" w:styleId="Emphasis">
    <w:name w:val="Emphasis"/>
    <w:basedOn w:val="DefaultParagraphFont"/>
    <w:qFormat/>
    <w:rsid w:val="00652C8E"/>
    <w:rPr>
      <w:i/>
      <w:iCs/>
    </w:rPr>
  </w:style>
  <w:style w:type="paragraph" w:styleId="NoSpacing">
    <w:name w:val="No Spacing"/>
    <w:basedOn w:val="Normal"/>
    <w:uiPriority w:val="1"/>
    <w:qFormat/>
    <w:rsid w:val="00652C8E"/>
  </w:style>
  <w:style w:type="paragraph" w:styleId="Quote">
    <w:name w:val="Quote"/>
    <w:basedOn w:val="Normal"/>
    <w:next w:val="Normal"/>
    <w:link w:val="QuoteChar"/>
    <w:uiPriority w:val="29"/>
    <w:qFormat/>
    <w:rsid w:val="00652C8E"/>
    <w:rPr>
      <w:i/>
      <w:iCs/>
      <w:color w:val="000000" w:themeColor="text1"/>
    </w:rPr>
  </w:style>
  <w:style w:type="character" w:customStyle="1" w:styleId="QuoteChar">
    <w:name w:val="Quote Char"/>
    <w:basedOn w:val="DefaultParagraphFont"/>
    <w:link w:val="Quote"/>
    <w:uiPriority w:val="29"/>
    <w:rsid w:val="00652C8E"/>
    <w:rPr>
      <w:i/>
      <w:iCs/>
      <w:color w:val="000000" w:themeColor="text1"/>
      <w:sz w:val="21"/>
      <w:lang w:val="es-ES_tradnl"/>
    </w:rPr>
  </w:style>
  <w:style w:type="paragraph" w:styleId="IntenseQuote">
    <w:name w:val="Intense Quote"/>
    <w:basedOn w:val="Normal"/>
    <w:next w:val="Normal"/>
    <w:link w:val="IntenseQuoteChar"/>
    <w:uiPriority w:val="30"/>
    <w:qFormat/>
    <w:rsid w:val="00652C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2C8E"/>
    <w:rPr>
      <w:b/>
      <w:bCs/>
      <w:i/>
      <w:iCs/>
      <w:color w:val="4F81BD" w:themeColor="accent1"/>
      <w:sz w:val="21"/>
      <w:lang w:val="es-ES_tradnl"/>
    </w:rPr>
  </w:style>
  <w:style w:type="character" w:styleId="SubtleEmphasis">
    <w:name w:val="Subtle Emphasis"/>
    <w:uiPriority w:val="19"/>
    <w:qFormat/>
    <w:rsid w:val="00652C8E"/>
    <w:rPr>
      <w:i/>
      <w:iCs/>
      <w:color w:val="808080" w:themeColor="text1" w:themeTint="7F"/>
    </w:rPr>
  </w:style>
  <w:style w:type="character" w:styleId="IntenseEmphasis">
    <w:name w:val="Intense Emphasis"/>
    <w:basedOn w:val="DefaultParagraphFont"/>
    <w:uiPriority w:val="21"/>
    <w:qFormat/>
    <w:rsid w:val="00652C8E"/>
    <w:rPr>
      <w:b/>
      <w:bCs/>
      <w:i/>
      <w:iCs/>
      <w:color w:val="4F81BD" w:themeColor="accent1"/>
    </w:rPr>
  </w:style>
  <w:style w:type="character" w:styleId="SubtleReference">
    <w:name w:val="Subtle Reference"/>
    <w:basedOn w:val="DefaultParagraphFont"/>
    <w:uiPriority w:val="31"/>
    <w:qFormat/>
    <w:rsid w:val="00652C8E"/>
    <w:rPr>
      <w:smallCaps/>
      <w:color w:val="C0504D" w:themeColor="accent2"/>
      <w:u w:val="single"/>
    </w:rPr>
  </w:style>
  <w:style w:type="character" w:styleId="IntenseReference">
    <w:name w:val="Intense Reference"/>
    <w:basedOn w:val="DefaultParagraphFont"/>
    <w:uiPriority w:val="32"/>
    <w:qFormat/>
    <w:rsid w:val="00652C8E"/>
    <w:rPr>
      <w:b/>
      <w:bCs/>
      <w:smallCaps/>
      <w:color w:val="C0504D" w:themeColor="accent2"/>
      <w:spacing w:val="5"/>
      <w:u w:val="single"/>
    </w:rPr>
  </w:style>
  <w:style w:type="character" w:styleId="BookTitle">
    <w:name w:val="Book Title"/>
    <w:basedOn w:val="DefaultParagraphFont"/>
    <w:uiPriority w:val="33"/>
    <w:qFormat/>
    <w:rsid w:val="00652C8E"/>
    <w:rPr>
      <w:b/>
      <w:bCs/>
      <w:smallCaps/>
      <w:spacing w:val="5"/>
    </w:rPr>
  </w:style>
  <w:style w:type="paragraph" w:styleId="TOCHeading">
    <w:name w:val="TOC Heading"/>
    <w:basedOn w:val="Heading1"/>
    <w:next w:val="Normal"/>
    <w:uiPriority w:val="39"/>
    <w:semiHidden/>
    <w:unhideWhenUsed/>
    <w:qFormat/>
    <w:rsid w:val="009A6DBC"/>
    <w:pPr>
      <w:keepLines/>
      <w:spacing w:before="480" w:line="276" w:lineRule="auto"/>
      <w:jc w:val="left"/>
      <w:outlineLvl w:val="9"/>
    </w:pPr>
    <w:rPr>
      <w:rFonts w:ascii="Cambria" w:hAnsi="Cambria" w:cs="Times New Roman"/>
      <w:bCs/>
      <w:caps w:val="0"/>
      <w:color w:val="365F91"/>
      <w:sz w:val="28"/>
      <w:szCs w:val="28"/>
      <w:lang w:val="en-US"/>
    </w:rPr>
  </w:style>
  <w:style w:type="table" w:styleId="TableGrid">
    <w:name w:val="Table Grid"/>
    <w:basedOn w:val="TableNormal"/>
    <w:uiPriority w:val="59"/>
    <w:rsid w:val="00436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59D"/>
    <w:rPr>
      <w:rFonts w:ascii="Tahoma" w:hAnsi="Tahoma" w:cs="Tahoma"/>
      <w:sz w:val="16"/>
      <w:szCs w:val="16"/>
    </w:rPr>
  </w:style>
  <w:style w:type="character" w:customStyle="1" w:styleId="BalloonTextChar">
    <w:name w:val="Balloon Text Char"/>
    <w:basedOn w:val="DefaultParagraphFont"/>
    <w:link w:val="BalloonText"/>
    <w:uiPriority w:val="99"/>
    <w:semiHidden/>
    <w:rsid w:val="0043659D"/>
    <w:rPr>
      <w:rFonts w:ascii="Tahoma" w:hAnsi="Tahoma" w:cs="Tahoma"/>
      <w:sz w:val="16"/>
      <w:szCs w:val="16"/>
    </w:rPr>
  </w:style>
  <w:style w:type="paragraph" w:customStyle="1" w:styleId="STituloJerarquia1">
    <w:name w:val="S Titulo Jerarquia 1"/>
    <w:qFormat/>
    <w:rsid w:val="009A6DBC"/>
    <w:pPr>
      <w:pBdr>
        <w:bottom w:val="single" w:sz="4" w:space="1" w:color="auto"/>
      </w:pBdr>
      <w:spacing w:before="4440" w:after="960"/>
      <w:ind w:left="567" w:hanging="567"/>
    </w:pPr>
    <w:rPr>
      <w:rFonts w:ascii="Arial" w:hAnsi="Arial" w:cs="Arial"/>
      <w:b/>
      <w:sz w:val="36"/>
      <w:szCs w:val="36"/>
      <w:lang w:val="es-ES_tradnl"/>
    </w:rPr>
  </w:style>
  <w:style w:type="paragraph" w:customStyle="1" w:styleId="STituloJerarquia7">
    <w:name w:val="S Titulo Jerarquia 7"/>
    <w:basedOn w:val="Heading7"/>
    <w:qFormat/>
    <w:rsid w:val="009A6DBC"/>
    <w:rPr>
      <w:rFonts w:cs="Times New Roman"/>
      <w:lang w:val="fr-FR"/>
    </w:rPr>
  </w:style>
  <w:style w:type="paragraph" w:customStyle="1" w:styleId="STituloJerarquia2SINnumeral">
    <w:name w:val="S Titulo Jerarquia 2 (SIN numeral)"/>
    <w:basedOn w:val="Normal"/>
    <w:qFormat/>
    <w:rsid w:val="009A6DBC"/>
    <w:pPr>
      <w:spacing w:before="240" w:after="240"/>
      <w:jc w:val="left"/>
    </w:pPr>
    <w:rPr>
      <w:rFonts w:ascii="Arial" w:hAnsi="Arial"/>
      <w:b/>
      <w:sz w:val="28"/>
      <w:lang w:val="pt-BR"/>
    </w:rPr>
  </w:style>
  <w:style w:type="paragraph" w:customStyle="1" w:styleId="SPortadillaTitulo">
    <w:name w:val="S Portadilla Titulo"/>
    <w:qFormat/>
    <w:rsid w:val="009A6DBC"/>
    <w:pPr>
      <w:spacing w:before="3280" w:after="200"/>
    </w:pPr>
    <w:rPr>
      <w:rFonts w:ascii="Helvetica LT Std" w:eastAsia="Calibri" w:hAnsi="Helvetica LT Std" w:cs="Helvetica LT Std"/>
      <w:b/>
      <w:bCs/>
      <w:noProof/>
      <w:color w:val="000000"/>
      <w:sz w:val="48"/>
      <w:szCs w:val="48"/>
    </w:rPr>
  </w:style>
  <w:style w:type="paragraph" w:customStyle="1" w:styleId="SPortadillaBajada">
    <w:name w:val="S Portadilla Bajada"/>
    <w:qFormat/>
    <w:rsid w:val="009A6DBC"/>
    <w:pPr>
      <w:spacing w:after="200"/>
    </w:pPr>
    <w:rPr>
      <w:rFonts w:ascii="Helvetica LT Std" w:eastAsia="Calibri" w:hAnsi="Helvetica LT Std" w:cs="Helvetica LT Std"/>
      <w:color w:val="000000"/>
      <w:sz w:val="36"/>
      <w:szCs w:val="36"/>
    </w:rPr>
  </w:style>
  <w:style w:type="paragraph" w:customStyle="1" w:styleId="SPortadillaAutor">
    <w:name w:val="S Portadilla Autor"/>
    <w:qFormat/>
    <w:rsid w:val="009A6DBC"/>
    <w:pPr>
      <w:spacing w:before="760" w:after="200" w:line="276" w:lineRule="auto"/>
    </w:pPr>
    <w:rPr>
      <w:rFonts w:ascii="Helvetica LT Std" w:eastAsia="Calibri" w:hAnsi="Helvetica LT Std" w:cs="Helvetica LT Std"/>
      <w:color w:val="000000"/>
      <w:sz w:val="24"/>
      <w:szCs w:val="24"/>
    </w:rPr>
  </w:style>
  <w:style w:type="paragraph" w:customStyle="1" w:styleId="SNotaalpiedepagina">
    <w:name w:val="S Nota al pie de pagina"/>
    <w:basedOn w:val="Normal"/>
    <w:qFormat/>
    <w:rsid w:val="009A6DBC"/>
    <w:pPr>
      <w:ind w:left="284" w:hanging="284"/>
    </w:pPr>
    <w:rPr>
      <w:sz w:val="16"/>
    </w:rPr>
  </w:style>
  <w:style w:type="paragraph" w:styleId="FootnoteText">
    <w:name w:val="footnote text"/>
    <w:aliases w:val=" Car,fn Car Car,fn Car,fn,Footnote Text Char1,Footnote Text Char Char,Car1,Car,Geneva 9,Font: Geneva 9,Boston 10,f,Footnote Text Char2 Char,Footnote Text Char1 Char1 Char,Footnote Text Char Char Char1 Char"/>
    <w:basedOn w:val="Normal"/>
    <w:link w:val="FootnoteTextChar"/>
    <w:unhideWhenUsed/>
    <w:rsid w:val="002D0873"/>
    <w:rPr>
      <w:sz w:val="20"/>
    </w:rPr>
  </w:style>
  <w:style w:type="character" w:customStyle="1" w:styleId="FootnoteTextChar">
    <w:name w:val="Footnote Text Char"/>
    <w:aliases w:val=" Car Char,fn Car Car Char,fn Car Char,fn Char,Footnote Text Char1 Char,Footnote Text Char Char Char,Car1 Char,Car Char,Geneva 9 Char,Font: Geneva 9 Char,Boston 10 Char,f Char,Footnote Text Char2 Char Char"/>
    <w:basedOn w:val="DefaultParagraphFont"/>
    <w:link w:val="FootnoteText"/>
    <w:uiPriority w:val="99"/>
    <w:semiHidden/>
    <w:rsid w:val="002D0873"/>
    <w:rPr>
      <w:lang w:val="es-ES_tradnl"/>
    </w:rPr>
  </w:style>
  <w:style w:type="character" w:styleId="FootnoteReference">
    <w:name w:val="footnote reference"/>
    <w:aliases w:val="Ref,de nota al pie,(Ref. de nota al pie),16 Point,Superscript 6 Point"/>
    <w:basedOn w:val="DefaultParagraphFont"/>
    <w:unhideWhenUsed/>
    <w:rsid w:val="002D0873"/>
    <w:rPr>
      <w:vertAlign w:val="superscript"/>
    </w:rPr>
  </w:style>
  <w:style w:type="table" w:customStyle="1" w:styleId="LightShading1">
    <w:name w:val="Light Shading1"/>
    <w:basedOn w:val="TableNormal"/>
    <w:uiPriority w:val="60"/>
    <w:rsid w:val="00F51D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rsid w:val="0004426B"/>
    <w:pPr>
      <w:spacing w:after="200"/>
    </w:pPr>
    <w:rPr>
      <w:b/>
      <w:bCs/>
      <w:color w:val="4F81BD" w:themeColor="accent1"/>
      <w:sz w:val="18"/>
      <w:szCs w:val="18"/>
    </w:rPr>
  </w:style>
  <w:style w:type="character" w:styleId="PlaceholderText">
    <w:name w:val="Placeholder Text"/>
    <w:basedOn w:val="DefaultParagraphFont"/>
    <w:uiPriority w:val="99"/>
    <w:semiHidden/>
    <w:rsid w:val="00882118"/>
    <w:rPr>
      <w:color w:val="808080"/>
    </w:rPr>
  </w:style>
  <w:style w:type="paragraph" w:styleId="TableofFigures">
    <w:name w:val="table of figures"/>
    <w:basedOn w:val="Normal"/>
    <w:next w:val="Normal"/>
    <w:uiPriority w:val="99"/>
    <w:unhideWhenUsed/>
    <w:rsid w:val="00F74D5A"/>
  </w:style>
  <w:style w:type="character" w:styleId="Hyperlink">
    <w:name w:val="Hyperlink"/>
    <w:basedOn w:val="DefaultParagraphFont"/>
    <w:uiPriority w:val="99"/>
    <w:unhideWhenUsed/>
    <w:rsid w:val="00F74D5A"/>
    <w:rPr>
      <w:color w:val="0000FF" w:themeColor="hyperlink"/>
      <w:u w:val="single"/>
    </w:rPr>
  </w:style>
  <w:style w:type="paragraph" w:styleId="Index1">
    <w:name w:val="index 1"/>
    <w:basedOn w:val="Normal"/>
    <w:next w:val="Normal"/>
    <w:autoRedefine/>
    <w:uiPriority w:val="99"/>
    <w:semiHidden/>
    <w:unhideWhenUsed/>
    <w:rsid w:val="00F74D5A"/>
    <w:pPr>
      <w:ind w:left="210" w:hanging="210"/>
    </w:pPr>
  </w:style>
  <w:style w:type="paragraph" w:customStyle="1" w:styleId="CUADROS">
    <w:name w:val="CUADROS"/>
    <w:next w:val="Normal"/>
    <w:rsid w:val="00955E52"/>
    <w:pPr>
      <w:jc w:val="center"/>
    </w:pPr>
    <w:rPr>
      <w:rFonts w:ascii="Arial" w:hAnsi="Arial"/>
      <w:b/>
      <w:caps/>
      <w:sz w:val="18"/>
      <w:lang w:val="es-ES_tradnl"/>
    </w:rPr>
  </w:style>
  <w:style w:type="table" w:customStyle="1" w:styleId="LightShading2">
    <w:name w:val="Light Shading2"/>
    <w:basedOn w:val="TableNormal"/>
    <w:uiPriority w:val="60"/>
    <w:locked/>
    <w:rsid w:val="00955E52"/>
    <w:rPr>
      <w:rFonts w:ascii="Calibri" w:hAnsi="Calibri"/>
      <w:color w:val="000000"/>
      <w:sz w:val="22"/>
      <w:szCs w:val="22"/>
      <w:lang w:val="es-MX" w:eastAsia="es-MX"/>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UENTES">
    <w:name w:val="FUENTES"/>
    <w:basedOn w:val="Normal"/>
    <w:link w:val="FUENTESCar"/>
    <w:rsid w:val="00955E52"/>
    <w:pPr>
      <w:contextualSpacing/>
    </w:pPr>
    <w:rPr>
      <w:rFonts w:ascii="Arial" w:eastAsia="Calibri" w:hAnsi="Arial"/>
      <w:sz w:val="16"/>
      <w:lang w:val="es-CL"/>
    </w:rPr>
  </w:style>
  <w:style w:type="character" w:customStyle="1" w:styleId="FUENTESCar">
    <w:name w:val="FUENTES Car"/>
    <w:basedOn w:val="DefaultParagraphFont"/>
    <w:link w:val="FUENTES"/>
    <w:rsid w:val="00955E52"/>
    <w:rPr>
      <w:rFonts w:ascii="Arial" w:eastAsia="Calibri" w:hAnsi="Arial"/>
      <w:sz w:val="16"/>
      <w:lang w:val="es-CL"/>
    </w:rPr>
  </w:style>
  <w:style w:type="paragraph" w:customStyle="1" w:styleId="Bibliografa3">
    <w:name w:val="Bibliografía3"/>
    <w:basedOn w:val="ListParagraph"/>
    <w:rsid w:val="0034767A"/>
    <w:pPr>
      <w:numPr>
        <w:numId w:val="18"/>
      </w:numPr>
      <w:spacing w:after="240"/>
      <w:ind w:hanging="720"/>
    </w:pPr>
    <w:rPr>
      <w:sz w:val="24"/>
      <w:szCs w:val="24"/>
    </w:rPr>
  </w:style>
  <w:style w:type="paragraph" w:styleId="Bibliography">
    <w:name w:val="Bibliography"/>
    <w:basedOn w:val="Normal"/>
    <w:next w:val="Normal"/>
    <w:uiPriority w:val="37"/>
    <w:unhideWhenUsed/>
    <w:rsid w:val="006F7419"/>
    <w:pPr>
      <w:spacing w:after="240"/>
      <w:ind w:left="720" w:hanging="720"/>
    </w:pPr>
  </w:style>
  <w:style w:type="table" w:customStyle="1" w:styleId="LightShading3">
    <w:name w:val="Light Shading3"/>
    <w:basedOn w:val="TableNormal"/>
    <w:uiPriority w:val="60"/>
    <w:rsid w:val="003876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2410813">
      <w:bodyDiv w:val="1"/>
      <w:marLeft w:val="0"/>
      <w:marRight w:val="0"/>
      <w:marTop w:val="0"/>
      <w:marBottom w:val="0"/>
      <w:divBdr>
        <w:top w:val="none" w:sz="0" w:space="0" w:color="auto"/>
        <w:left w:val="none" w:sz="0" w:space="0" w:color="auto"/>
        <w:bottom w:val="none" w:sz="0" w:space="0" w:color="auto"/>
        <w:right w:val="none" w:sz="0" w:space="0" w:color="auto"/>
      </w:divBdr>
      <w:divsChild>
        <w:div w:id="1663125332">
          <w:marLeft w:val="0"/>
          <w:marRight w:val="0"/>
          <w:marTop w:val="0"/>
          <w:marBottom w:val="0"/>
          <w:divBdr>
            <w:top w:val="none" w:sz="0" w:space="0" w:color="auto"/>
            <w:left w:val="none" w:sz="0" w:space="0" w:color="auto"/>
            <w:bottom w:val="none" w:sz="0" w:space="0" w:color="auto"/>
            <w:right w:val="none" w:sz="0" w:space="0" w:color="auto"/>
          </w:divBdr>
          <w:divsChild>
            <w:div w:id="6961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224">
      <w:bodyDiv w:val="1"/>
      <w:marLeft w:val="0"/>
      <w:marRight w:val="0"/>
      <w:marTop w:val="0"/>
      <w:marBottom w:val="0"/>
      <w:divBdr>
        <w:top w:val="none" w:sz="0" w:space="0" w:color="auto"/>
        <w:left w:val="none" w:sz="0" w:space="0" w:color="auto"/>
        <w:bottom w:val="none" w:sz="0" w:space="0" w:color="auto"/>
        <w:right w:val="none" w:sz="0" w:space="0" w:color="auto"/>
      </w:divBdr>
      <w:divsChild>
        <w:div w:id="1000621895">
          <w:marLeft w:val="0"/>
          <w:marRight w:val="0"/>
          <w:marTop w:val="0"/>
          <w:marBottom w:val="0"/>
          <w:divBdr>
            <w:top w:val="none" w:sz="0" w:space="0" w:color="auto"/>
            <w:left w:val="none" w:sz="0" w:space="0" w:color="auto"/>
            <w:bottom w:val="none" w:sz="0" w:space="0" w:color="auto"/>
            <w:right w:val="none" w:sz="0" w:space="0" w:color="auto"/>
          </w:divBdr>
          <w:divsChild>
            <w:div w:id="1898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214">
      <w:bodyDiv w:val="1"/>
      <w:marLeft w:val="0"/>
      <w:marRight w:val="0"/>
      <w:marTop w:val="0"/>
      <w:marBottom w:val="0"/>
      <w:divBdr>
        <w:top w:val="none" w:sz="0" w:space="0" w:color="auto"/>
        <w:left w:val="none" w:sz="0" w:space="0" w:color="auto"/>
        <w:bottom w:val="none" w:sz="0" w:space="0" w:color="auto"/>
        <w:right w:val="none" w:sz="0" w:space="0" w:color="auto"/>
      </w:divBdr>
      <w:divsChild>
        <w:div w:id="1366829453">
          <w:marLeft w:val="0"/>
          <w:marRight w:val="0"/>
          <w:marTop w:val="0"/>
          <w:marBottom w:val="0"/>
          <w:divBdr>
            <w:top w:val="none" w:sz="0" w:space="0" w:color="auto"/>
            <w:left w:val="none" w:sz="0" w:space="0" w:color="auto"/>
            <w:bottom w:val="none" w:sz="0" w:space="0" w:color="auto"/>
            <w:right w:val="none" w:sz="0" w:space="0" w:color="auto"/>
          </w:divBdr>
          <w:divsChild>
            <w:div w:id="11011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8629">
      <w:bodyDiv w:val="1"/>
      <w:marLeft w:val="0"/>
      <w:marRight w:val="0"/>
      <w:marTop w:val="0"/>
      <w:marBottom w:val="0"/>
      <w:divBdr>
        <w:top w:val="none" w:sz="0" w:space="0" w:color="auto"/>
        <w:left w:val="none" w:sz="0" w:space="0" w:color="auto"/>
        <w:bottom w:val="none" w:sz="0" w:space="0" w:color="auto"/>
        <w:right w:val="none" w:sz="0" w:space="0" w:color="auto"/>
      </w:divBdr>
    </w:div>
    <w:div w:id="648827687">
      <w:bodyDiv w:val="1"/>
      <w:marLeft w:val="0"/>
      <w:marRight w:val="0"/>
      <w:marTop w:val="0"/>
      <w:marBottom w:val="0"/>
      <w:divBdr>
        <w:top w:val="none" w:sz="0" w:space="0" w:color="auto"/>
        <w:left w:val="none" w:sz="0" w:space="0" w:color="auto"/>
        <w:bottom w:val="none" w:sz="0" w:space="0" w:color="auto"/>
        <w:right w:val="none" w:sz="0" w:space="0" w:color="auto"/>
      </w:divBdr>
    </w:div>
    <w:div w:id="772752279">
      <w:bodyDiv w:val="1"/>
      <w:marLeft w:val="0"/>
      <w:marRight w:val="0"/>
      <w:marTop w:val="0"/>
      <w:marBottom w:val="0"/>
      <w:divBdr>
        <w:top w:val="none" w:sz="0" w:space="0" w:color="auto"/>
        <w:left w:val="none" w:sz="0" w:space="0" w:color="auto"/>
        <w:bottom w:val="none" w:sz="0" w:space="0" w:color="auto"/>
        <w:right w:val="none" w:sz="0" w:space="0" w:color="auto"/>
      </w:divBdr>
    </w:div>
    <w:div w:id="832990192">
      <w:bodyDiv w:val="1"/>
      <w:marLeft w:val="0"/>
      <w:marRight w:val="0"/>
      <w:marTop w:val="0"/>
      <w:marBottom w:val="0"/>
      <w:divBdr>
        <w:top w:val="none" w:sz="0" w:space="0" w:color="auto"/>
        <w:left w:val="none" w:sz="0" w:space="0" w:color="auto"/>
        <w:bottom w:val="none" w:sz="0" w:space="0" w:color="auto"/>
        <w:right w:val="none" w:sz="0" w:space="0" w:color="auto"/>
      </w:divBdr>
      <w:divsChild>
        <w:div w:id="391199739">
          <w:marLeft w:val="0"/>
          <w:marRight w:val="0"/>
          <w:marTop w:val="0"/>
          <w:marBottom w:val="0"/>
          <w:divBdr>
            <w:top w:val="none" w:sz="0" w:space="0" w:color="auto"/>
            <w:left w:val="none" w:sz="0" w:space="0" w:color="auto"/>
            <w:bottom w:val="none" w:sz="0" w:space="0" w:color="auto"/>
            <w:right w:val="none" w:sz="0" w:space="0" w:color="auto"/>
          </w:divBdr>
          <w:divsChild>
            <w:div w:id="1376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304">
      <w:bodyDiv w:val="1"/>
      <w:marLeft w:val="0"/>
      <w:marRight w:val="0"/>
      <w:marTop w:val="0"/>
      <w:marBottom w:val="0"/>
      <w:divBdr>
        <w:top w:val="none" w:sz="0" w:space="0" w:color="auto"/>
        <w:left w:val="none" w:sz="0" w:space="0" w:color="auto"/>
        <w:bottom w:val="none" w:sz="0" w:space="0" w:color="auto"/>
        <w:right w:val="none" w:sz="0" w:space="0" w:color="auto"/>
      </w:divBdr>
      <w:divsChild>
        <w:div w:id="58870931">
          <w:marLeft w:val="0"/>
          <w:marRight w:val="0"/>
          <w:marTop w:val="0"/>
          <w:marBottom w:val="0"/>
          <w:divBdr>
            <w:top w:val="none" w:sz="0" w:space="0" w:color="auto"/>
            <w:left w:val="none" w:sz="0" w:space="0" w:color="auto"/>
            <w:bottom w:val="none" w:sz="0" w:space="0" w:color="auto"/>
            <w:right w:val="none" w:sz="0" w:space="0" w:color="auto"/>
          </w:divBdr>
          <w:divsChild>
            <w:div w:id="505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4373">
      <w:bodyDiv w:val="1"/>
      <w:marLeft w:val="0"/>
      <w:marRight w:val="0"/>
      <w:marTop w:val="0"/>
      <w:marBottom w:val="0"/>
      <w:divBdr>
        <w:top w:val="none" w:sz="0" w:space="0" w:color="auto"/>
        <w:left w:val="none" w:sz="0" w:space="0" w:color="auto"/>
        <w:bottom w:val="none" w:sz="0" w:space="0" w:color="auto"/>
        <w:right w:val="none" w:sz="0" w:space="0" w:color="auto"/>
      </w:divBdr>
      <w:divsChild>
        <w:div w:id="2072999565">
          <w:marLeft w:val="0"/>
          <w:marRight w:val="0"/>
          <w:marTop w:val="0"/>
          <w:marBottom w:val="0"/>
          <w:divBdr>
            <w:top w:val="none" w:sz="0" w:space="0" w:color="auto"/>
            <w:left w:val="none" w:sz="0" w:space="0" w:color="auto"/>
            <w:bottom w:val="none" w:sz="0" w:space="0" w:color="auto"/>
            <w:right w:val="none" w:sz="0" w:space="0" w:color="auto"/>
          </w:divBdr>
          <w:divsChild>
            <w:div w:id="60443275">
              <w:marLeft w:val="0"/>
              <w:marRight w:val="0"/>
              <w:marTop w:val="0"/>
              <w:marBottom w:val="240"/>
              <w:divBdr>
                <w:top w:val="none" w:sz="0" w:space="0" w:color="auto"/>
                <w:left w:val="none" w:sz="0" w:space="0" w:color="auto"/>
                <w:bottom w:val="none" w:sz="0" w:space="0" w:color="auto"/>
                <w:right w:val="none" w:sz="0" w:space="0" w:color="auto"/>
              </w:divBdr>
            </w:div>
            <w:div w:id="1653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582">
      <w:bodyDiv w:val="1"/>
      <w:marLeft w:val="0"/>
      <w:marRight w:val="0"/>
      <w:marTop w:val="0"/>
      <w:marBottom w:val="0"/>
      <w:divBdr>
        <w:top w:val="none" w:sz="0" w:space="0" w:color="auto"/>
        <w:left w:val="none" w:sz="0" w:space="0" w:color="auto"/>
        <w:bottom w:val="none" w:sz="0" w:space="0" w:color="auto"/>
        <w:right w:val="none" w:sz="0" w:space="0" w:color="auto"/>
      </w:divBdr>
      <w:divsChild>
        <w:div w:id="323246218">
          <w:marLeft w:val="0"/>
          <w:marRight w:val="0"/>
          <w:marTop w:val="0"/>
          <w:marBottom w:val="0"/>
          <w:divBdr>
            <w:top w:val="none" w:sz="0" w:space="0" w:color="auto"/>
            <w:left w:val="none" w:sz="0" w:space="0" w:color="auto"/>
            <w:bottom w:val="none" w:sz="0" w:space="0" w:color="auto"/>
            <w:right w:val="none" w:sz="0" w:space="0" w:color="auto"/>
          </w:divBdr>
          <w:divsChild>
            <w:div w:id="1946376230">
              <w:marLeft w:val="0"/>
              <w:marRight w:val="0"/>
              <w:marTop w:val="0"/>
              <w:marBottom w:val="240"/>
              <w:divBdr>
                <w:top w:val="none" w:sz="0" w:space="0" w:color="auto"/>
                <w:left w:val="none" w:sz="0" w:space="0" w:color="auto"/>
                <w:bottom w:val="none" w:sz="0" w:space="0" w:color="auto"/>
                <w:right w:val="none" w:sz="0" w:space="0" w:color="auto"/>
              </w:divBdr>
            </w:div>
            <w:div w:id="1356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5346">
      <w:bodyDiv w:val="1"/>
      <w:marLeft w:val="0"/>
      <w:marRight w:val="0"/>
      <w:marTop w:val="0"/>
      <w:marBottom w:val="0"/>
      <w:divBdr>
        <w:top w:val="none" w:sz="0" w:space="0" w:color="auto"/>
        <w:left w:val="none" w:sz="0" w:space="0" w:color="auto"/>
        <w:bottom w:val="none" w:sz="0" w:space="0" w:color="auto"/>
        <w:right w:val="none" w:sz="0" w:space="0" w:color="auto"/>
      </w:divBdr>
      <w:divsChild>
        <w:div w:id="528107804">
          <w:marLeft w:val="0"/>
          <w:marRight w:val="0"/>
          <w:marTop w:val="0"/>
          <w:marBottom w:val="0"/>
          <w:divBdr>
            <w:top w:val="none" w:sz="0" w:space="0" w:color="auto"/>
            <w:left w:val="none" w:sz="0" w:space="0" w:color="auto"/>
            <w:bottom w:val="none" w:sz="0" w:space="0" w:color="auto"/>
            <w:right w:val="none" w:sz="0" w:space="0" w:color="auto"/>
          </w:divBdr>
          <w:divsChild>
            <w:div w:id="4642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860">
      <w:bodyDiv w:val="1"/>
      <w:marLeft w:val="0"/>
      <w:marRight w:val="0"/>
      <w:marTop w:val="0"/>
      <w:marBottom w:val="0"/>
      <w:divBdr>
        <w:top w:val="none" w:sz="0" w:space="0" w:color="auto"/>
        <w:left w:val="none" w:sz="0" w:space="0" w:color="auto"/>
        <w:bottom w:val="none" w:sz="0" w:space="0" w:color="auto"/>
        <w:right w:val="none" w:sz="0" w:space="0" w:color="auto"/>
      </w:divBdr>
      <w:divsChild>
        <w:div w:id="1810631062">
          <w:marLeft w:val="0"/>
          <w:marRight w:val="0"/>
          <w:marTop w:val="0"/>
          <w:marBottom w:val="0"/>
          <w:divBdr>
            <w:top w:val="none" w:sz="0" w:space="0" w:color="auto"/>
            <w:left w:val="none" w:sz="0" w:space="0" w:color="auto"/>
            <w:bottom w:val="none" w:sz="0" w:space="0" w:color="auto"/>
            <w:right w:val="none" w:sz="0" w:space="0" w:color="auto"/>
          </w:divBdr>
          <w:divsChild>
            <w:div w:id="6381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608">
      <w:bodyDiv w:val="1"/>
      <w:marLeft w:val="0"/>
      <w:marRight w:val="0"/>
      <w:marTop w:val="0"/>
      <w:marBottom w:val="0"/>
      <w:divBdr>
        <w:top w:val="none" w:sz="0" w:space="0" w:color="auto"/>
        <w:left w:val="none" w:sz="0" w:space="0" w:color="auto"/>
        <w:bottom w:val="none" w:sz="0" w:space="0" w:color="auto"/>
        <w:right w:val="none" w:sz="0" w:space="0" w:color="auto"/>
      </w:divBdr>
      <w:divsChild>
        <w:div w:id="307125934">
          <w:marLeft w:val="0"/>
          <w:marRight w:val="0"/>
          <w:marTop w:val="0"/>
          <w:marBottom w:val="0"/>
          <w:divBdr>
            <w:top w:val="none" w:sz="0" w:space="0" w:color="auto"/>
            <w:left w:val="none" w:sz="0" w:space="0" w:color="auto"/>
            <w:bottom w:val="none" w:sz="0" w:space="0" w:color="auto"/>
            <w:right w:val="none" w:sz="0" w:space="0" w:color="auto"/>
          </w:divBdr>
          <w:divsChild>
            <w:div w:id="12109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371">
      <w:bodyDiv w:val="1"/>
      <w:marLeft w:val="0"/>
      <w:marRight w:val="0"/>
      <w:marTop w:val="0"/>
      <w:marBottom w:val="0"/>
      <w:divBdr>
        <w:top w:val="none" w:sz="0" w:space="0" w:color="auto"/>
        <w:left w:val="none" w:sz="0" w:space="0" w:color="auto"/>
        <w:bottom w:val="none" w:sz="0" w:space="0" w:color="auto"/>
        <w:right w:val="none" w:sz="0" w:space="0" w:color="auto"/>
      </w:divBdr>
    </w:div>
    <w:div w:id="1843738949">
      <w:bodyDiv w:val="1"/>
      <w:marLeft w:val="0"/>
      <w:marRight w:val="0"/>
      <w:marTop w:val="0"/>
      <w:marBottom w:val="0"/>
      <w:divBdr>
        <w:top w:val="none" w:sz="0" w:space="0" w:color="auto"/>
        <w:left w:val="none" w:sz="0" w:space="0" w:color="auto"/>
        <w:bottom w:val="none" w:sz="0" w:space="0" w:color="auto"/>
        <w:right w:val="none" w:sz="0" w:space="0" w:color="auto"/>
      </w:divBdr>
      <w:divsChild>
        <w:div w:id="208877765">
          <w:marLeft w:val="0"/>
          <w:marRight w:val="0"/>
          <w:marTop w:val="0"/>
          <w:marBottom w:val="0"/>
          <w:divBdr>
            <w:top w:val="none" w:sz="0" w:space="0" w:color="auto"/>
            <w:left w:val="none" w:sz="0" w:space="0" w:color="auto"/>
            <w:bottom w:val="none" w:sz="0" w:space="0" w:color="auto"/>
            <w:right w:val="none" w:sz="0" w:space="0" w:color="auto"/>
          </w:divBdr>
          <w:divsChild>
            <w:div w:id="64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5150">
      <w:bodyDiv w:val="1"/>
      <w:marLeft w:val="0"/>
      <w:marRight w:val="0"/>
      <w:marTop w:val="0"/>
      <w:marBottom w:val="0"/>
      <w:divBdr>
        <w:top w:val="none" w:sz="0" w:space="0" w:color="auto"/>
        <w:left w:val="none" w:sz="0" w:space="0" w:color="auto"/>
        <w:bottom w:val="none" w:sz="0" w:space="0" w:color="auto"/>
        <w:right w:val="none" w:sz="0" w:space="0" w:color="auto"/>
      </w:divBdr>
      <w:divsChild>
        <w:div w:id="489444284">
          <w:marLeft w:val="0"/>
          <w:marRight w:val="0"/>
          <w:marTop w:val="0"/>
          <w:marBottom w:val="0"/>
          <w:divBdr>
            <w:top w:val="none" w:sz="0" w:space="0" w:color="auto"/>
            <w:left w:val="none" w:sz="0" w:space="0" w:color="auto"/>
            <w:bottom w:val="none" w:sz="0" w:space="0" w:color="auto"/>
            <w:right w:val="none" w:sz="0" w:space="0" w:color="auto"/>
          </w:divBdr>
          <w:divsChild>
            <w:div w:id="21407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320">
      <w:bodyDiv w:val="1"/>
      <w:marLeft w:val="0"/>
      <w:marRight w:val="0"/>
      <w:marTop w:val="0"/>
      <w:marBottom w:val="0"/>
      <w:divBdr>
        <w:top w:val="none" w:sz="0" w:space="0" w:color="auto"/>
        <w:left w:val="none" w:sz="0" w:space="0" w:color="auto"/>
        <w:bottom w:val="none" w:sz="0" w:space="0" w:color="auto"/>
        <w:right w:val="none" w:sz="0" w:space="0" w:color="auto"/>
      </w:divBdr>
      <w:divsChild>
        <w:div w:id="1412044448">
          <w:marLeft w:val="0"/>
          <w:marRight w:val="0"/>
          <w:marTop w:val="0"/>
          <w:marBottom w:val="0"/>
          <w:divBdr>
            <w:top w:val="none" w:sz="0" w:space="0" w:color="auto"/>
            <w:left w:val="none" w:sz="0" w:space="0" w:color="auto"/>
            <w:bottom w:val="none" w:sz="0" w:space="0" w:color="auto"/>
            <w:right w:val="none" w:sz="0" w:space="0" w:color="auto"/>
          </w:divBdr>
          <w:divsChild>
            <w:div w:id="1576814408">
              <w:marLeft w:val="0"/>
              <w:marRight w:val="0"/>
              <w:marTop w:val="0"/>
              <w:marBottom w:val="240"/>
              <w:divBdr>
                <w:top w:val="none" w:sz="0" w:space="0" w:color="auto"/>
                <w:left w:val="none" w:sz="0" w:space="0" w:color="auto"/>
                <w:bottom w:val="none" w:sz="0" w:space="0" w:color="auto"/>
                <w:right w:val="none" w:sz="0" w:space="0" w:color="auto"/>
              </w:divBdr>
            </w:div>
            <w:div w:id="7776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1686">
      <w:bodyDiv w:val="1"/>
      <w:marLeft w:val="0"/>
      <w:marRight w:val="0"/>
      <w:marTop w:val="0"/>
      <w:marBottom w:val="0"/>
      <w:divBdr>
        <w:top w:val="none" w:sz="0" w:space="0" w:color="auto"/>
        <w:left w:val="none" w:sz="0" w:space="0" w:color="auto"/>
        <w:bottom w:val="none" w:sz="0" w:space="0" w:color="auto"/>
        <w:right w:val="none" w:sz="0" w:space="0" w:color="auto"/>
      </w:divBdr>
      <w:divsChild>
        <w:div w:id="2084794552">
          <w:marLeft w:val="0"/>
          <w:marRight w:val="0"/>
          <w:marTop w:val="0"/>
          <w:marBottom w:val="0"/>
          <w:divBdr>
            <w:top w:val="none" w:sz="0" w:space="0" w:color="auto"/>
            <w:left w:val="none" w:sz="0" w:space="0" w:color="auto"/>
            <w:bottom w:val="none" w:sz="0" w:space="0" w:color="auto"/>
            <w:right w:val="none" w:sz="0" w:space="0" w:color="auto"/>
          </w:divBdr>
          <w:divsChild>
            <w:div w:id="7942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bis.grdl.noaa.gov/SAT/slr/LSA_SLR_timeseries_global.php"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stadisticas.cepal.org/cepalstat/WEB_CEPALSTAT/Portada.as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latorre1\Documents\AProyectosR\CrecCC\graphs\Graph_Met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areaChart>
        <c:grouping val="stacked"/>
        <c:ser>
          <c:idx val="1"/>
          <c:order val="0"/>
          <c:tx>
            <c:strRef>
              <c:f>'Global Carbon Budget'!$C$20</c:f>
              <c:strCache>
                <c:ptCount val="1"/>
                <c:pt idx="0">
                  <c:v>Cambio de uso de suelo</c:v>
                </c:pt>
              </c:strCache>
            </c:strRef>
          </c:tx>
          <c:spPr>
            <a:solidFill>
              <a:schemeClr val="tx1">
                <a:lumMod val="50000"/>
                <a:lumOff val="50000"/>
              </a:schemeClr>
            </a:solidFill>
          </c:spPr>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Budget'!$C$21:$C$74</c:f>
              <c:numCache>
                <c:formatCode>0.00</c:formatCode>
                <c:ptCount val="54"/>
                <c:pt idx="0">
                  <c:v>1.5554861999999998</c:v>
                </c:pt>
                <c:pt idx="1">
                  <c:v>1.5714089999999998</c:v>
                </c:pt>
                <c:pt idx="2">
                  <c:v>1.545839299999989</c:v>
                </c:pt>
                <c:pt idx="3">
                  <c:v>1.5183652999999944</c:v>
                </c:pt>
                <c:pt idx="4">
                  <c:v>1.5124328</c:v>
                </c:pt>
                <c:pt idx="5">
                  <c:v>1.5325419</c:v>
                </c:pt>
                <c:pt idx="6">
                  <c:v>1.5491168</c:v>
                </c:pt>
                <c:pt idx="7">
                  <c:v>1.5629637999999946</c:v>
                </c:pt>
                <c:pt idx="8">
                  <c:v>1.5690818999999998</c:v>
                </c:pt>
                <c:pt idx="9">
                  <c:v>1.5438875999999999</c:v>
                </c:pt>
                <c:pt idx="10">
                  <c:v>1.5575277999999946</c:v>
                </c:pt>
                <c:pt idx="11">
                  <c:v>1.5358549000000004</c:v>
                </c:pt>
                <c:pt idx="12">
                  <c:v>1.4928564</c:v>
                </c:pt>
                <c:pt idx="13">
                  <c:v>1.4340851999999999</c:v>
                </c:pt>
                <c:pt idx="14">
                  <c:v>1.3168478000000001</c:v>
                </c:pt>
                <c:pt idx="15">
                  <c:v>1.2908420999999999</c:v>
                </c:pt>
                <c:pt idx="16">
                  <c:v>1.2663437</c:v>
                </c:pt>
                <c:pt idx="17">
                  <c:v>1.2436633999999911</c:v>
                </c:pt>
                <c:pt idx="18">
                  <c:v>1.2249409</c:v>
                </c:pt>
                <c:pt idx="19">
                  <c:v>1.2484533999999998</c:v>
                </c:pt>
                <c:pt idx="20">
                  <c:v>1.221829799999989</c:v>
                </c:pt>
                <c:pt idx="21">
                  <c:v>1.2104925999999998</c:v>
                </c:pt>
                <c:pt idx="22">
                  <c:v>1.2007762999999927</c:v>
                </c:pt>
                <c:pt idx="23">
                  <c:v>1.1464152999999999</c:v>
                </c:pt>
                <c:pt idx="24">
                  <c:v>1.1007661</c:v>
                </c:pt>
                <c:pt idx="25">
                  <c:v>1.1681277999999999</c:v>
                </c:pt>
                <c:pt idx="26">
                  <c:v>1.2432659999999998</c:v>
                </c:pt>
                <c:pt idx="27">
                  <c:v>1.2323342999999913</c:v>
                </c:pt>
                <c:pt idx="28">
                  <c:v>1.2186669999999948</c:v>
                </c:pt>
                <c:pt idx="29">
                  <c:v>1.1703203</c:v>
                </c:pt>
                <c:pt idx="30">
                  <c:v>1.1835283999999946</c:v>
                </c:pt>
                <c:pt idx="31">
                  <c:v>1.2113980999999923</c:v>
                </c:pt>
                <c:pt idx="32">
                  <c:v>1.2916087999999946</c:v>
                </c:pt>
                <c:pt idx="33">
                  <c:v>1.3849871000000065</c:v>
                </c:pt>
                <c:pt idx="34">
                  <c:v>1.3203021000000001</c:v>
                </c:pt>
                <c:pt idx="35">
                  <c:v>1.3647738999999999</c:v>
                </c:pt>
                <c:pt idx="36">
                  <c:v>1.3878932999999916</c:v>
                </c:pt>
                <c:pt idx="37">
                  <c:v>1.3761067</c:v>
                </c:pt>
                <c:pt idx="38">
                  <c:v>2.2119662999999998</c:v>
                </c:pt>
                <c:pt idx="39">
                  <c:v>1.2918964999999909</c:v>
                </c:pt>
                <c:pt idx="40">
                  <c:v>1.1072923999999946</c:v>
                </c:pt>
                <c:pt idx="41">
                  <c:v>1.0247399999999998</c:v>
                </c:pt>
                <c:pt idx="42">
                  <c:v>0.96963830000000062</c:v>
                </c:pt>
                <c:pt idx="43">
                  <c:v>1.1444403999999999</c:v>
                </c:pt>
                <c:pt idx="44">
                  <c:v>0.8454602999999995</c:v>
                </c:pt>
                <c:pt idx="45">
                  <c:v>0.85106150000000003</c:v>
                </c:pt>
                <c:pt idx="46">
                  <c:v>0.83206189999999991</c:v>
                </c:pt>
                <c:pt idx="47">
                  <c:v>1.0559496999999916</c:v>
                </c:pt>
                <c:pt idx="48">
                  <c:v>0.65650130000000062</c:v>
                </c:pt>
                <c:pt idx="49">
                  <c:v>0.67736819999999998</c:v>
                </c:pt>
                <c:pt idx="50">
                  <c:v>0.7690597000000029</c:v>
                </c:pt>
                <c:pt idx="51">
                  <c:v>0.67778390000000244</c:v>
                </c:pt>
                <c:pt idx="52">
                  <c:v>0.6269325200000001</c:v>
                </c:pt>
                <c:pt idx="53">
                  <c:v>0.84793251999999997</c:v>
                </c:pt>
              </c:numCache>
            </c:numRef>
          </c:val>
        </c:ser>
        <c:ser>
          <c:idx val="0"/>
          <c:order val="1"/>
          <c:tx>
            <c:strRef>
              <c:f>'Global Carbon Budget'!$B$20</c:f>
              <c:strCache>
                <c:ptCount val="1"/>
                <c:pt idx="0">
                  <c:v>Combustibles fósiles y producción de cemento</c:v>
                </c:pt>
              </c:strCache>
            </c:strRef>
          </c:tx>
          <c:spPr>
            <a:solidFill>
              <a:schemeClr val="tx1"/>
            </a:solidFill>
          </c:spPr>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Budget'!$B$21:$B$74</c:f>
              <c:numCache>
                <c:formatCode>0.00</c:formatCode>
                <c:ptCount val="54"/>
                <c:pt idx="0">
                  <c:v>2.4539999999999997</c:v>
                </c:pt>
                <c:pt idx="1">
                  <c:v>2.569</c:v>
                </c:pt>
                <c:pt idx="2">
                  <c:v>2.58</c:v>
                </c:pt>
                <c:pt idx="3">
                  <c:v>2.6859999999999999</c:v>
                </c:pt>
                <c:pt idx="4">
                  <c:v>2.83299999999999</c:v>
                </c:pt>
                <c:pt idx="5">
                  <c:v>2.9949999999999997</c:v>
                </c:pt>
                <c:pt idx="6">
                  <c:v>3.13</c:v>
                </c:pt>
                <c:pt idx="7">
                  <c:v>3.2880000000000011</c:v>
                </c:pt>
                <c:pt idx="8">
                  <c:v>3.3929999999999967</c:v>
                </c:pt>
                <c:pt idx="9">
                  <c:v>3.5659999999999998</c:v>
                </c:pt>
                <c:pt idx="10">
                  <c:v>3.7800000000000002</c:v>
                </c:pt>
                <c:pt idx="11">
                  <c:v>4.0529999999999955</c:v>
                </c:pt>
                <c:pt idx="12">
                  <c:v>4.2080000000000002</c:v>
                </c:pt>
                <c:pt idx="13">
                  <c:v>4.3760000000000003</c:v>
                </c:pt>
                <c:pt idx="14">
                  <c:v>4.6139999999999946</c:v>
                </c:pt>
                <c:pt idx="15">
                  <c:v>4.6229999999999762</c:v>
                </c:pt>
                <c:pt idx="16">
                  <c:v>4.5960000000000001</c:v>
                </c:pt>
                <c:pt idx="17">
                  <c:v>4.8639999999999946</c:v>
                </c:pt>
                <c:pt idx="18">
                  <c:v>5.0259999999999945</c:v>
                </c:pt>
                <c:pt idx="19">
                  <c:v>5.0869999999999997</c:v>
                </c:pt>
                <c:pt idx="20">
                  <c:v>5.3689999999999856</c:v>
                </c:pt>
                <c:pt idx="21">
                  <c:v>5.3149999999999791</c:v>
                </c:pt>
                <c:pt idx="22">
                  <c:v>5.1519999999999975</c:v>
                </c:pt>
                <c:pt idx="23">
                  <c:v>5.1129999999999791</c:v>
                </c:pt>
                <c:pt idx="24">
                  <c:v>5.0939999999999985</c:v>
                </c:pt>
                <c:pt idx="25">
                  <c:v>5.28</c:v>
                </c:pt>
                <c:pt idx="26">
                  <c:v>5.4390000000000134</c:v>
                </c:pt>
                <c:pt idx="27">
                  <c:v>5.6069999999999975</c:v>
                </c:pt>
                <c:pt idx="28">
                  <c:v>5.7519999999999998</c:v>
                </c:pt>
                <c:pt idx="29">
                  <c:v>5.9649999999999945</c:v>
                </c:pt>
                <c:pt idx="30">
                  <c:v>6.0969999999999995</c:v>
                </c:pt>
                <c:pt idx="31">
                  <c:v>6.1269999999999945</c:v>
                </c:pt>
                <c:pt idx="32">
                  <c:v>6.2169999999999996</c:v>
                </c:pt>
                <c:pt idx="33">
                  <c:v>6.1639999999999855</c:v>
                </c:pt>
                <c:pt idx="34">
                  <c:v>6.1619999999999955</c:v>
                </c:pt>
                <c:pt idx="35">
                  <c:v>6.266</c:v>
                </c:pt>
                <c:pt idx="36">
                  <c:v>6.3979999999999855</c:v>
                </c:pt>
                <c:pt idx="37">
                  <c:v>6.5419999999999998</c:v>
                </c:pt>
                <c:pt idx="38">
                  <c:v>6.6509999999999945</c:v>
                </c:pt>
                <c:pt idx="39">
                  <c:v>6.6429999999999945</c:v>
                </c:pt>
                <c:pt idx="40">
                  <c:v>6.6099999999999985</c:v>
                </c:pt>
                <c:pt idx="41">
                  <c:v>6.7649999999999855</c:v>
                </c:pt>
                <c:pt idx="42">
                  <c:v>6.9269999999999996</c:v>
                </c:pt>
                <c:pt idx="43">
                  <c:v>6.9960000000000004</c:v>
                </c:pt>
                <c:pt idx="44">
                  <c:v>7.4160000000000004</c:v>
                </c:pt>
                <c:pt idx="45">
                  <c:v>7.8069999999999995</c:v>
                </c:pt>
                <c:pt idx="46">
                  <c:v>8.093</c:v>
                </c:pt>
                <c:pt idx="47">
                  <c:v>8.3700000000000028</c:v>
                </c:pt>
                <c:pt idx="48">
                  <c:v>8.5660000000000007</c:v>
                </c:pt>
                <c:pt idx="49">
                  <c:v>8.7830000000000013</c:v>
                </c:pt>
                <c:pt idx="50">
                  <c:v>8.7399999999999984</c:v>
                </c:pt>
                <c:pt idx="51">
                  <c:v>9.1670000000000016</c:v>
                </c:pt>
                <c:pt idx="52">
                  <c:v>9.4599367798203513</c:v>
                </c:pt>
                <c:pt idx="53">
                  <c:v>9.6665013769655701</c:v>
                </c:pt>
              </c:numCache>
            </c:numRef>
          </c:val>
        </c:ser>
        <c:axId val="40020224"/>
        <c:axId val="59738752"/>
      </c:areaChart>
      <c:catAx>
        <c:axId val="40020224"/>
        <c:scaling>
          <c:orientation val="minMax"/>
        </c:scaling>
        <c:axPos val="b"/>
        <c:numFmt formatCode="General" sourceLinked="1"/>
        <c:tickLblPos val="nextTo"/>
        <c:crossAx val="59738752"/>
        <c:crosses val="autoZero"/>
        <c:auto val="1"/>
        <c:lblAlgn val="ctr"/>
        <c:lblOffset val="100"/>
      </c:catAx>
      <c:valAx>
        <c:axId val="59738752"/>
        <c:scaling>
          <c:orientation val="minMax"/>
          <c:max val="11"/>
          <c:min val="0"/>
        </c:scaling>
        <c:axPos val="l"/>
        <c:majorGridlines>
          <c:spPr>
            <a:ln>
              <a:prstDash val="lgDash"/>
            </a:ln>
          </c:spPr>
        </c:majorGridlines>
        <c:numFmt formatCode="0" sourceLinked="0"/>
        <c:tickLblPos val="nextTo"/>
        <c:crossAx val="40020224"/>
        <c:crosses val="autoZero"/>
        <c:crossBetween val="midCat"/>
        <c:majorUnit val="1"/>
      </c:valAx>
    </c:plotArea>
    <c:legend>
      <c:legendPos val="b"/>
    </c:legend>
    <c:plotVisOnly val="1"/>
    <c:dispBlanksAs val="zero"/>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autoTitleDeleted val="1"/>
    <c:plotArea>
      <c:layout/>
      <c:barChart>
        <c:barDir val="col"/>
        <c:grouping val="clustered"/>
        <c:ser>
          <c:idx val="0"/>
          <c:order val="0"/>
          <c:tx>
            <c:strRef>
              <c:f>Sheet1!$J$1</c:f>
              <c:strCache>
                <c:ptCount val="1"/>
                <c:pt idx="0">
                  <c:v>Combustibles fósiles y producción de cemento</c:v>
                </c:pt>
              </c:strCache>
            </c:strRef>
          </c:tx>
          <c:spPr>
            <a:solidFill>
              <a:schemeClr val="tx1"/>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Sheet1!$J$8:$J$14</c:f>
              <c:numCache>
                <c:formatCode>0.0</c:formatCode>
                <c:ptCount val="7"/>
                <c:pt idx="0">
                  <c:v>4.6649450920698845</c:v>
                </c:pt>
                <c:pt idx="1">
                  <c:v>2.7478318978496978</c:v>
                </c:pt>
                <c:pt idx="2">
                  <c:v>1.4318767558743835</c:v>
                </c:pt>
                <c:pt idx="3">
                  <c:v>0.9954926659878367</c:v>
                </c:pt>
                <c:pt idx="4">
                  <c:v>3.0188726482008637</c:v>
                </c:pt>
                <c:pt idx="6">
                  <c:v>2.5811132624194055</c:v>
                </c:pt>
              </c:numCache>
            </c:numRef>
          </c:val>
        </c:ser>
        <c:ser>
          <c:idx val="1"/>
          <c:order val="1"/>
          <c:tx>
            <c:strRef>
              <c:f>Sheet1!$K$1</c:f>
              <c:strCache>
                <c:ptCount val="1"/>
                <c:pt idx="0">
                  <c:v>Cambio de uso de suelo</c:v>
                </c:pt>
              </c:strCache>
            </c:strRef>
          </c:tx>
          <c:spPr>
            <a:solidFill>
              <a:schemeClr val="bg1">
                <a:lumMod val="85000"/>
              </a:schemeClr>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Sheet1!$K$8:$K$14</c:f>
              <c:numCache>
                <c:formatCode>0.0</c:formatCode>
                <c:ptCount val="7"/>
                <c:pt idx="0">
                  <c:v>-0.22859337651217701</c:v>
                </c:pt>
                <c:pt idx="1">
                  <c:v>-2.3524850950860516</c:v>
                </c:pt>
                <c:pt idx="2">
                  <c:v>7.4779088751197884E-3</c:v>
                </c:pt>
                <c:pt idx="3">
                  <c:v>-1.6594393149593656</c:v>
                </c:pt>
                <c:pt idx="4">
                  <c:v>-1.5658866846461117</c:v>
                </c:pt>
                <c:pt idx="6">
                  <c:v>-1.1793879170640009</c:v>
                </c:pt>
              </c:numCache>
            </c:numRef>
          </c:val>
        </c:ser>
        <c:ser>
          <c:idx val="2"/>
          <c:order val="2"/>
          <c:tx>
            <c:strRef>
              <c:f>Sheet1!$L$1</c:f>
              <c:strCache>
                <c:ptCount val="1"/>
                <c:pt idx="0">
                  <c:v>Totales</c:v>
                </c:pt>
              </c:strCache>
            </c:strRef>
          </c:tx>
          <c:spPr>
            <a:solidFill>
              <a:schemeClr val="bg1">
                <a:lumMod val="50000"/>
              </a:schemeClr>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Sheet1!$L$8:$L$14</c:f>
              <c:numCache>
                <c:formatCode>0.0</c:formatCode>
                <c:ptCount val="7"/>
                <c:pt idx="0">
                  <c:v>3.0452456869635367</c:v>
                </c:pt>
                <c:pt idx="1">
                  <c:v>1.5614860153437826</c:v>
                </c:pt>
                <c:pt idx="2">
                  <c:v>1.1809602324242439</c:v>
                </c:pt>
                <c:pt idx="3">
                  <c:v>0.5986538816707746</c:v>
                </c:pt>
                <c:pt idx="4">
                  <c:v>2.5310121000906127</c:v>
                </c:pt>
                <c:pt idx="6">
                  <c:v>1.8083766289995085</c:v>
                </c:pt>
              </c:numCache>
            </c:numRef>
          </c:val>
        </c:ser>
        <c:dLbls>
          <c:showVal val="1"/>
        </c:dLbls>
        <c:gapWidth val="0"/>
        <c:overlap val="-25"/>
        <c:axId val="72419584"/>
        <c:axId val="72481408"/>
      </c:barChart>
      <c:catAx>
        <c:axId val="72419584"/>
        <c:scaling>
          <c:orientation val="minMax"/>
        </c:scaling>
        <c:axPos val="b"/>
        <c:majorGridlines>
          <c:spPr>
            <a:ln>
              <a:prstDash val="lgDash"/>
            </a:ln>
          </c:spPr>
        </c:majorGridlines>
        <c:majorTickMark val="none"/>
        <c:tickLblPos val="low"/>
        <c:crossAx val="72481408"/>
        <c:crosses val="autoZero"/>
        <c:auto val="1"/>
        <c:lblAlgn val="ctr"/>
        <c:lblOffset val="100"/>
      </c:catAx>
      <c:valAx>
        <c:axId val="72481408"/>
        <c:scaling>
          <c:orientation val="minMax"/>
          <c:max val="5"/>
        </c:scaling>
        <c:delete val="1"/>
        <c:axPos val="l"/>
        <c:numFmt formatCode="0" sourceLinked="0"/>
        <c:tickLblPos val="none"/>
        <c:crossAx val="72419584"/>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pobreza'!$C$2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pobreza'!$C$3:$C$11</c:f>
              <c:numCache>
                <c:formatCode>General</c:formatCode>
                <c:ptCount val="9"/>
                <c:pt idx="0">
                  <c:v>18.600000000000001</c:v>
                </c:pt>
                <c:pt idx="1">
                  <c:v>22.6</c:v>
                </c:pt>
                <c:pt idx="2">
                  <c:v>18.600000000000001</c:v>
                </c:pt>
                <c:pt idx="3">
                  <c:v>19.3</c:v>
                </c:pt>
                <c:pt idx="4">
                  <c:v>13</c:v>
                </c:pt>
                <c:pt idx="5">
                  <c:v>12.1</c:v>
                </c:pt>
                <c:pt idx="6">
                  <c:v>11.6</c:v>
                </c:pt>
                <c:pt idx="7">
                  <c:v>11.3</c:v>
                </c:pt>
                <c:pt idx="8">
                  <c:v>11.5</c:v>
                </c:pt>
              </c:numCache>
            </c:numRef>
          </c:val>
        </c:ser>
        <c:ser>
          <c:idx val="1"/>
          <c:order val="1"/>
          <c:tx>
            <c:strRef>
              <c:f>'Gráficas pobreza'!$D$2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pobreza'!$D$3:$D$11</c:f>
              <c:numCache>
                <c:formatCode>General</c:formatCode>
                <c:ptCount val="9"/>
                <c:pt idx="0">
                  <c:v>40.5</c:v>
                </c:pt>
                <c:pt idx="1">
                  <c:v>48.4</c:v>
                </c:pt>
                <c:pt idx="2">
                  <c:v>43.8</c:v>
                </c:pt>
                <c:pt idx="3">
                  <c:v>43.9</c:v>
                </c:pt>
                <c:pt idx="4">
                  <c:v>32.800000000000004</c:v>
                </c:pt>
                <c:pt idx="5">
                  <c:v>31</c:v>
                </c:pt>
                <c:pt idx="6">
                  <c:v>29.6</c:v>
                </c:pt>
                <c:pt idx="7">
                  <c:v>28.2</c:v>
                </c:pt>
                <c:pt idx="8">
                  <c:v>27.9</c:v>
                </c:pt>
              </c:numCache>
            </c:numRef>
          </c:val>
        </c:ser>
        <c:dLbls>
          <c:showVal val="1"/>
        </c:dLbls>
        <c:gapWidth val="37"/>
        <c:overlap val="100"/>
        <c:axId val="78506240"/>
        <c:axId val="88158208"/>
      </c:barChart>
      <c:catAx>
        <c:axId val="78506240"/>
        <c:scaling>
          <c:orientation val="minMax"/>
        </c:scaling>
        <c:axPos val="b"/>
        <c:numFmt formatCode="General" sourceLinked="1"/>
        <c:tickLblPos val="nextTo"/>
        <c:crossAx val="88158208"/>
        <c:crosses val="autoZero"/>
        <c:auto val="1"/>
        <c:lblAlgn val="ctr"/>
        <c:lblOffset val="100"/>
      </c:catAx>
      <c:valAx>
        <c:axId val="88158208"/>
        <c:scaling>
          <c:orientation val="minMax"/>
        </c:scaling>
        <c:axPos val="l"/>
        <c:majorGridlines>
          <c:spPr>
            <a:ln>
              <a:prstDash val="sysDot"/>
            </a:ln>
          </c:spPr>
        </c:majorGridlines>
        <c:numFmt formatCode="General" sourceLinked="1"/>
        <c:tickLblPos val="nextTo"/>
        <c:crossAx val="78506240"/>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pobreza'!$G$2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pobreza'!$G$3:$G$11</c:f>
              <c:numCache>
                <c:formatCode>0</c:formatCode>
                <c:ptCount val="9"/>
                <c:pt idx="0">
                  <c:v>62</c:v>
                </c:pt>
                <c:pt idx="1">
                  <c:v>95</c:v>
                </c:pt>
                <c:pt idx="2">
                  <c:v>91</c:v>
                </c:pt>
                <c:pt idx="3">
                  <c:v>99</c:v>
                </c:pt>
                <c:pt idx="4">
                  <c:v>73</c:v>
                </c:pt>
                <c:pt idx="5">
                  <c:v>69</c:v>
                </c:pt>
                <c:pt idx="6">
                  <c:v>67</c:v>
                </c:pt>
                <c:pt idx="7">
                  <c:v>66</c:v>
                </c:pt>
                <c:pt idx="8">
                  <c:v>68</c:v>
                </c:pt>
              </c:numCache>
            </c:numRef>
          </c:val>
        </c:ser>
        <c:ser>
          <c:idx val="1"/>
          <c:order val="1"/>
          <c:tx>
            <c:strRef>
              <c:f>'Gráficas pobreza'!$H$2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pobreza'!$H$3:$H$11</c:f>
              <c:numCache>
                <c:formatCode>0</c:formatCode>
                <c:ptCount val="9"/>
                <c:pt idx="0">
                  <c:v>136</c:v>
                </c:pt>
                <c:pt idx="1">
                  <c:v>204</c:v>
                </c:pt>
                <c:pt idx="2">
                  <c:v>215</c:v>
                </c:pt>
                <c:pt idx="3">
                  <c:v>225</c:v>
                </c:pt>
                <c:pt idx="4">
                  <c:v>184</c:v>
                </c:pt>
                <c:pt idx="5">
                  <c:v>176</c:v>
                </c:pt>
                <c:pt idx="6">
                  <c:v>170</c:v>
                </c:pt>
                <c:pt idx="7">
                  <c:v>164</c:v>
                </c:pt>
                <c:pt idx="8">
                  <c:v>164</c:v>
                </c:pt>
              </c:numCache>
            </c:numRef>
          </c:val>
        </c:ser>
        <c:dLbls>
          <c:showVal val="1"/>
        </c:dLbls>
        <c:gapWidth val="30"/>
        <c:overlap val="100"/>
        <c:axId val="154758144"/>
        <c:axId val="39986304"/>
      </c:barChart>
      <c:catAx>
        <c:axId val="154758144"/>
        <c:scaling>
          <c:orientation val="minMax"/>
        </c:scaling>
        <c:axPos val="b"/>
        <c:numFmt formatCode="General" sourceLinked="1"/>
        <c:tickLblPos val="nextTo"/>
        <c:crossAx val="39986304"/>
        <c:crosses val="autoZero"/>
        <c:auto val="1"/>
        <c:lblAlgn val="ctr"/>
        <c:lblOffset val="100"/>
      </c:catAx>
      <c:valAx>
        <c:axId val="39986304"/>
        <c:scaling>
          <c:orientation val="minMax"/>
        </c:scaling>
        <c:axPos val="l"/>
        <c:majorGridlines>
          <c:spPr>
            <a:ln>
              <a:prstDash val="sysDot"/>
            </a:ln>
          </c:spPr>
        </c:majorGridlines>
        <c:numFmt formatCode="0" sourceLinked="1"/>
        <c:tickLblPos val="nextTo"/>
        <c:crossAx val="154758144"/>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Sheet2!$E$1</c:f>
              <c:strCache>
                <c:ptCount val="1"/>
                <c:pt idx="0">
                  <c:v>PIB per cápita</c:v>
                </c:pt>
              </c:strCache>
            </c:strRef>
          </c:tx>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Sheet2!$E$2:$E$62</c:f>
              <c:numCache>
                <c:formatCode>_(* #,##0_);_(* \(#,##0\);_(* "-"??_);_(@_)</c:formatCode>
                <c:ptCount val="61"/>
                <c:pt idx="0">
                  <c:v>4107.1173245873642</c:v>
                </c:pt>
                <c:pt idx="1">
                  <c:v>4162.0243870097702</c:v>
                </c:pt>
                <c:pt idx="2">
                  <c:v>4191.6425834524953</c:v>
                </c:pt>
                <c:pt idx="3">
                  <c:v>4262.1650714114521</c:v>
                </c:pt>
                <c:pt idx="4">
                  <c:v>4384.7569864691641</c:v>
                </c:pt>
                <c:pt idx="5">
                  <c:v>4347.8181072529414</c:v>
                </c:pt>
                <c:pt idx="6">
                  <c:v>4416.70743842102</c:v>
                </c:pt>
                <c:pt idx="7">
                  <c:v>4567.0406366450734</c:v>
                </c:pt>
                <c:pt idx="8">
                  <c:v>4598.10497881842</c:v>
                </c:pt>
                <c:pt idx="9">
                  <c:v>4567.1323152273499</c:v>
                </c:pt>
                <c:pt idx="10">
                  <c:v>4714.9628959984202</c:v>
                </c:pt>
                <c:pt idx="11">
                  <c:v>4694.4418354478103</c:v>
                </c:pt>
                <c:pt idx="12">
                  <c:v>4685.9710991910097</c:v>
                </c:pt>
                <c:pt idx="13">
                  <c:v>4678.788582036339</c:v>
                </c:pt>
                <c:pt idx="14">
                  <c:v>4879.3508527997001</c:v>
                </c:pt>
                <c:pt idx="15">
                  <c:v>5010.7903494111524</c:v>
                </c:pt>
                <c:pt idx="16">
                  <c:v>5203.5836138821996</c:v>
                </c:pt>
                <c:pt idx="17">
                  <c:v>5412.4542636858569</c:v>
                </c:pt>
                <c:pt idx="18">
                  <c:v>5553.3287380576539</c:v>
                </c:pt>
                <c:pt idx="19">
                  <c:v>5390.42540727288</c:v>
                </c:pt>
                <c:pt idx="20">
                  <c:v>5633.6280932191703</c:v>
                </c:pt>
                <c:pt idx="21">
                  <c:v>5792.3894781270201</c:v>
                </c:pt>
                <c:pt idx="22">
                  <c:v>5911.3124457590711</c:v>
                </c:pt>
              </c:numCache>
            </c:numRef>
          </c:val>
        </c:ser>
        <c:ser>
          <c:idx val="1"/>
          <c:order val="1"/>
          <c:tx>
            <c:strRef>
              <c:f>Sheet2!$F$1</c:f>
              <c:strCache>
                <c:ptCount val="1"/>
                <c:pt idx="0">
                  <c:v>Base</c:v>
                </c:pt>
              </c:strCache>
            </c:strRef>
          </c:tx>
          <c:spPr>
            <a:ln>
              <a:solidFill>
                <a:srgbClr val="92D050"/>
              </a:solidFill>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Sheet2!$F$2:$F$62</c:f>
              <c:numCache>
                <c:formatCode>General</c:formatCode>
                <c:ptCount val="61"/>
                <c:pt idx="22" formatCode="_(* #,##0_);_(* \(#,##0\);_(* &quot;-&quot;??_);_(@_)">
                  <c:v>5911.3124457590711</c:v>
                </c:pt>
                <c:pt idx="23" formatCode="_(* #,##0_);_(* \(#,##0\);_(* &quot;-&quot;??_);_(@_)">
                  <c:v>6065.006569348775</c:v>
                </c:pt>
                <c:pt idx="24" formatCode="_(* #,##0_);_(* \(#,##0\);_(* &quot;-&quot;??_);_(@_)">
                  <c:v>6222.6967401518823</c:v>
                </c:pt>
                <c:pt idx="25" formatCode="_(* #,##0_);_(* \(#,##0\);_(* &quot;-&quot;??_);_(@_)">
                  <c:v>6384.4868553957895</c:v>
                </c:pt>
                <c:pt idx="26" formatCode="_(* #,##0_);_(* \(#,##0\);_(* &quot;-&quot;??_);_(@_)">
                  <c:v>6550.483513636048</c:v>
                </c:pt>
                <c:pt idx="27" formatCode="_(* #,##0_);_(* \(#,##0\);_(* &quot;-&quot;??_);_(@_)">
                  <c:v>6720.7960849906203</c:v>
                </c:pt>
                <c:pt idx="28" formatCode="_(* #,##0_);_(* \(#,##0\);_(* &quot;-&quot;??_);_(@_)">
                  <c:v>6895.5367832003767</c:v>
                </c:pt>
                <c:pt idx="29" formatCode="_(* #,##0_);_(* \(#,##0\);_(* &quot;-&quot;??_);_(@_)">
                  <c:v>7074.8207395636427</c:v>
                </c:pt>
                <c:pt idx="30" formatCode="_(* #,##0_);_(* \(#,##0\);_(* &quot;-&quot;??_);_(@_)">
                  <c:v>7258.7660787922414</c:v>
                </c:pt>
                <c:pt idx="31" formatCode="_(* #,##0_);_(* \(#,##0\);_(* &quot;-&quot;??_);_(@_)">
                  <c:v>7447.4939968408071</c:v>
                </c:pt>
                <c:pt idx="32" formatCode="_(* #,##0_);_(* \(#,##0\);_(* &quot;-&quot;??_);_(@_)">
                  <c:v>7641.1288407587044</c:v>
                </c:pt>
                <c:pt idx="33" formatCode="_(* #,##0_);_(* \(#,##0\);_(* &quot;-&quot;??_);_(@_)">
                  <c:v>7839.7981906184195</c:v>
                </c:pt>
                <c:pt idx="34" formatCode="_(* #,##0_);_(* \(#,##0\);_(* &quot;-&quot;??_);_(@_)">
                  <c:v>8043.6329435745365</c:v>
                </c:pt>
                <c:pt idx="35" formatCode="_(* #,##0_);_(* \(#,##0\);_(* &quot;-&quot;??_);_(@_)">
                  <c:v>8252.7674001074429</c:v>
                </c:pt>
                <c:pt idx="36" formatCode="_(* #,##0_);_(* \(#,##0\);_(* &quot;-&quot;??_);_(@_)">
                  <c:v>8467.3393525102365</c:v>
                </c:pt>
                <c:pt idx="37" formatCode="_(* #,##0_);_(* \(#,##0\);_(* &quot;-&quot;??_);_(@_)">
                  <c:v>8687.4901756754407</c:v>
                </c:pt>
                <c:pt idx="38" formatCode="_(* #,##0_);_(* \(#,##0\);_(* &quot;-&quot;??_);_(@_)">
                  <c:v>8913.3649202429697</c:v>
                </c:pt>
                <c:pt idx="39" formatCode="_(* #,##0_);_(* \(#,##0\);_(* &quot;-&quot;??_);_(@_)">
                  <c:v>9145.1124081694543</c:v>
                </c:pt>
                <c:pt idx="40" formatCode="_(* #,##0_);_(* \(#,##0\);_(* &quot;-&quot;??_);_(@_)">
                  <c:v>9382.8853307816735</c:v>
                </c:pt>
                <c:pt idx="41" formatCode="_(* #,##0_);_(* \(#,##0\);_(* &quot;-&quot;??_);_(@_)">
                  <c:v>9626.840349382117</c:v>
                </c:pt>
                <c:pt idx="42" formatCode="_(* #,##0_);_(* \(#,##0\);_(* &quot;-&quot;??_);_(@_)">
                  <c:v>9877.1381984660511</c:v>
                </c:pt>
                <c:pt idx="43" formatCode="_(* #,##0_);_(* \(#,##0\);_(* &quot;-&quot;??_);_(@_)">
                  <c:v>10133.94379162617</c:v>
                </c:pt>
                <c:pt idx="44" formatCode="_(* #,##0_);_(* \(#,##0\);_(* &quot;-&quot;??_);_(@_)">
                  <c:v>10397.426330208389</c:v>
                </c:pt>
                <c:pt idx="45" formatCode="_(* #,##0_);_(* \(#,##0\);_(* &quot;-&quot;??_);_(@_)">
                  <c:v>10667.759414793871</c:v>
                </c:pt>
                <c:pt idx="46" formatCode="_(* #,##0_);_(* \(#,##0\);_(* &quot;-&quot;??_);_(@_)">
                  <c:v>10945.121159578512</c:v>
                </c:pt>
                <c:pt idx="47" formatCode="_(* #,##0_);_(* \(#,##0\);_(* &quot;-&quot;??_);_(@_)">
                  <c:v>11229.694309727553</c:v>
                </c:pt>
                <c:pt idx="48" formatCode="_(* #,##0_);_(* \(#,##0\);_(* &quot;-&quot;??_);_(@_)">
                  <c:v>11521.666361780461</c:v>
                </c:pt>
                <c:pt idx="49" formatCode="_(* #,##0_);_(* \(#,##0\);_(* &quot;-&quot;??_);_(@_)">
                  <c:v>11821.229687186778</c:v>
                </c:pt>
                <c:pt idx="50" formatCode="_(* #,##0_);_(* \(#,##0\);_(* &quot;-&quot;??_);_(@_)">
                  <c:v>12128.581659053611</c:v>
                </c:pt>
                <c:pt idx="51" formatCode="_(* #,##0_);_(* \(#,##0\);_(* &quot;-&quot;??_);_(@_)">
                  <c:v>12443.924782189069</c:v>
                </c:pt>
                <c:pt idx="52" formatCode="_(* #,##0_);_(* \(#,##0\);_(* &quot;-&quot;??_);_(@_)">
                  <c:v>12767.466826525921</c:v>
                </c:pt>
                <c:pt idx="53" formatCode="_(* #,##0_);_(* \(#,##0\);_(* &quot;-&quot;??_);_(@_)">
                  <c:v>13099.420964015602</c:v>
                </c:pt>
                <c:pt idx="54" formatCode="_(* #,##0_);_(* \(#,##0\);_(* &quot;-&quot;??_);_(@_)">
                  <c:v>13440.005909079946</c:v>
                </c:pt>
                <c:pt idx="55" formatCode="_(* #,##0_);_(* \(#,##0\);_(* &quot;-&quot;??_);_(@_)">
                  <c:v>13789.44606271615</c:v>
                </c:pt>
                <c:pt idx="56" formatCode="_(* #,##0_);_(* \(#,##0\);_(* &quot;-&quot;??_);_(@_)">
                  <c:v>14147.971660346706</c:v>
                </c:pt>
                <c:pt idx="57" formatCode="_(* #,##0_);_(* \(#,##0\);_(* &quot;-&quot;??_);_(@_)">
                  <c:v>14515.818923515721</c:v>
                </c:pt>
                <c:pt idx="58" formatCode="_(* #,##0_);_(* \(#,##0\);_(* &quot;-&quot;??_);_(@_)">
                  <c:v>14893.23021552713</c:v>
                </c:pt>
                <c:pt idx="59" formatCode="_(* #,##0_);_(* \(#,##0\);_(* &quot;-&quot;??_);_(@_)">
                  <c:v>15280.454201130891</c:v>
                </c:pt>
                <c:pt idx="60" formatCode="_(* #,##0_);_(* \(#,##0\);_(* &quot;-&quot;??_);_(@_)">
                  <c:v>15677.746010360237</c:v>
                </c:pt>
              </c:numCache>
            </c:numRef>
          </c:val>
        </c:ser>
        <c:ser>
          <c:idx val="2"/>
          <c:order val="2"/>
          <c:tx>
            <c:strRef>
              <c:f>Sheet2!$H$1</c:f>
              <c:strCache>
                <c:ptCount val="1"/>
                <c:pt idx="0">
                  <c:v>Impacto 2%</c:v>
                </c:pt>
              </c:strCache>
            </c:strRef>
          </c:tx>
          <c:spPr>
            <a:ln>
              <a:solidFill>
                <a:schemeClr val="tx2">
                  <a:lumMod val="50000"/>
                </a:schemeClr>
              </a:solidFill>
              <a:prstDash val="sysDot"/>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Sheet2!$H$2:$H$62</c:f>
              <c:numCache>
                <c:formatCode>General</c:formatCode>
                <c:ptCount val="61"/>
                <c:pt idx="22" formatCode="_(* #,##0_);_(* \(#,##0\);_(* &quot;-&quot;??_);_(@_)">
                  <c:v>5911.3124457590711</c:v>
                </c:pt>
                <c:pt idx="23" formatCode="_(* #,##0_);_(* \(#,##0\);_(* &quot;-&quot;??_);_(@_)">
                  <c:v>6061.7829644293261</c:v>
                </c:pt>
                <c:pt idx="24" formatCode="_(* #,##0_);_(* \(#,##0\);_(* &quot;-&quot;??_);_(@_)">
                  <c:v>6216.0836607794654</c:v>
                </c:pt>
                <c:pt idx="25" formatCode="_(* #,##0_);_(* \(#,##0\);_(* &quot;-&quot;??_);_(@_)">
                  <c:v>6374.312030725695</c:v>
                </c:pt>
                <c:pt idx="26" formatCode="_(* #,##0_);_(* \(#,##0\);_(* &quot;-&quot;??_);_(@_)">
                  <c:v>6536.5680519104972</c:v>
                </c:pt>
                <c:pt idx="27" formatCode="_(* #,##0_);_(* \(#,##0\);_(* &quot;-&quot;??_);_(@_)">
                  <c:v>6702.9542468746904</c:v>
                </c:pt>
                <c:pt idx="28" formatCode="_(* #,##0_);_(* \(#,##0\);_(* &quot;-&quot;??_);_(@_)">
                  <c:v>6873.5757478365404</c:v>
                </c:pt>
                <c:pt idx="29" formatCode="_(* #,##0_);_(* \(#,##0\);_(* &quot;-&quot;??_);_(@_)">
                  <c:v>7048.5403631206573</c:v>
                </c:pt>
                <c:pt idx="30" formatCode="_(* #,##0_);_(* \(#,##0\);_(* &quot;-&quot;??_);_(@_)">
                  <c:v>7227.9586452769008</c:v>
                </c:pt>
                <c:pt idx="31" formatCode="_(* #,##0_);_(* \(#,##0\);_(* &quot;-&quot;??_);_(@_)">
                  <c:v>7411.9439609341662</c:v>
                </c:pt>
                <c:pt idx="32" formatCode="_(* #,##0_);_(* \(#,##0\);_(* &quot;-&quot;??_);_(@_)">
                  <c:v>7600.6125624318311</c:v>
                </c:pt>
                <c:pt idx="33" formatCode="_(* #,##0_);_(* \(#,##0\);_(* &quot;-&quot;??_);_(@_)">
                  <c:v>7794.0836612740004</c:v>
                </c:pt>
                <c:pt idx="34" formatCode="_(* #,##0_);_(* \(#,##0\);_(* &quot;-&quot;??_);_(@_)">
                  <c:v>7992.4795034549534</c:v>
                </c:pt>
                <c:pt idx="35" formatCode="_(* #,##0_);_(* \(#,##0\);_(* &quot;-&quot;??_);_(@_)">
                  <c:v>8195.9254467004248</c:v>
                </c:pt>
                <c:pt idx="36" formatCode="_(* #,##0_);_(* \(#,##0\);_(* &quot;-&quot;??_);_(@_)">
                  <c:v>8404.5500396758634</c:v>
                </c:pt>
                <c:pt idx="37" formatCode="_(* #,##0_);_(* \(#,##0\);_(* &quot;-&quot;??_);_(@_)">
                  <c:v>8618.485103211111</c:v>
                </c:pt>
                <c:pt idx="38" formatCode="_(* #,##0_);_(* \(#,##0\);_(* &quot;-&quot;??_);_(@_)">
                  <c:v>8837.8658135916212</c:v>
                </c:pt>
                <c:pt idx="39" formatCode="_(* #,##0_);_(* \(#,##0\);_(* &quot;-&quot;??_);_(@_)">
                  <c:v>9062.8307879711829</c:v>
                </c:pt>
                <c:pt idx="40" formatCode="_(* #,##0_);_(* \(#,##0\);_(* &quot;-&quot;??_);_(@_)">
                  <c:v>9293.5221719573256</c:v>
                </c:pt>
                <c:pt idx="41" formatCode="_(* #,##0_);_(* \(#,##0\);_(* &quot;-&quot;??_);_(@_)">
                  <c:v>9530.0857294276248</c:v>
                </c:pt>
                <c:pt idx="42" formatCode="_(* #,##0_);_(* \(#,##0\);_(* &quot;-&quot;??_);_(@_)">
                  <c:v>9772.6709346315656</c:v>
                </c:pt>
                <c:pt idx="43" formatCode="_(* #,##0_);_(* \(#,##0\);_(* &quot;-&quot;??_);_(@_)">
                  <c:v>10021.431066636274</c:v>
                </c:pt>
                <c:pt idx="44" formatCode="_(* #,##0_);_(* \(#,##0\);_(* &quot;-&quot;??_);_(@_)">
                  <c:v>10276.523306177198</c:v>
                </c:pt>
                <c:pt idx="45" formatCode="_(* #,##0_);_(* \(#,##0\);_(* &quot;-&quot;??_);_(@_)">
                  <c:v>10538.108834973995</c:v>
                </c:pt>
                <c:pt idx="46" formatCode="_(* #,##0_);_(* \(#,##0\);_(* &quot;-&quot;??_);_(@_)">
                  <c:v>10806.352937574193</c:v>
                </c:pt>
                <c:pt idx="47" formatCode="_(* #,##0_);_(* \(#,##0\);_(* &quot;-&quot;??_);_(@_)">
                  <c:v>11081.425105789061</c:v>
                </c:pt>
                <c:pt idx="48" formatCode="_(* #,##0_);_(* \(#,##0\);_(* &quot;-&quot;??_);_(@_)">
                  <c:v>11363.499145788443</c:v>
                </c:pt>
                <c:pt idx="49" formatCode="_(* #,##0_);_(* \(#,##0\);_(* &quot;-&quot;??_);_(@_)">
                  <c:v>11652.75328792103</c:v>
                </c:pt>
                <c:pt idx="50" formatCode="_(* #,##0_);_(* \(#,##0\);_(* &quot;-&quot;??_);_(@_)">
                  <c:v>11949.370299330705</c:v>
                </c:pt>
                <c:pt idx="51" formatCode="_(* #,##0_);_(* \(#,##0\);_(* &quot;-&quot;??_);_(@_)">
                  <c:v>12253.537599439001</c:v>
                </c:pt>
                <c:pt idx="52" formatCode="_(* #,##0_);_(* \(#,##0\);_(* &quot;-&quot;??_);_(@_)">
                  <c:v>12565.447378367317</c:v>
                </c:pt>
                <c:pt idx="53" formatCode="_(* #,##0_);_(* \(#,##0\);_(* &quot;-&quot;??_);_(@_)">
                  <c:v>12885.296718373538</c:v>
                </c:pt>
                <c:pt idx="54" formatCode="_(* #,##0_);_(* \(#,##0\);_(* &quot;-&quot;??_);_(@_)">
                  <c:v>13213.287718379814</c:v>
                </c:pt>
                <c:pt idx="55" formatCode="_(* #,##0_);_(* \(#,##0\);_(* &quot;-&quot;??_);_(@_)">
                  <c:v>13549.627621669761</c:v>
                </c:pt>
                <c:pt idx="56" formatCode="_(* #,##0_);_(* \(#,##0\);_(* &quot;-&quot;??_);_(@_)">
                  <c:v>13894.528946837258</c:v>
                </c:pt>
                <c:pt idx="57" formatCode="_(* #,##0_);_(* \(#,##0\);_(* &quot;-&quot;??_);_(@_)">
                  <c:v>14248.209622066877</c:v>
                </c:pt>
                <c:pt idx="58" formatCode="_(* #,##0_);_(* \(#,##0\);_(* &quot;-&quot;??_);_(@_)">
                  <c:v>14610.893122833764</c:v>
                </c:pt>
                <c:pt idx="59" formatCode="_(* #,##0_);_(* \(#,##0\);_(* &quot;-&quot;??_);_(@_)">
                  <c:v>14982.808613107867</c:v>
                </c:pt>
                <c:pt idx="60" formatCode="_(* #,##0_);_(* \(#,##0\);_(* &quot;-&quot;??_);_(@_)">
                  <c:v>15364.191090153032</c:v>
                </c:pt>
              </c:numCache>
            </c:numRef>
          </c:val>
        </c:ser>
        <c:ser>
          <c:idx val="3"/>
          <c:order val="3"/>
          <c:tx>
            <c:strRef>
              <c:f>Sheet2!$I$1</c:f>
              <c:strCache>
                <c:ptCount val="1"/>
                <c:pt idx="0">
                  <c:v>Impacto 5%</c:v>
                </c:pt>
              </c:strCache>
            </c:strRef>
          </c:tx>
          <c:spPr>
            <a:ln>
              <a:solidFill>
                <a:srgbClr val="FFFF00"/>
              </a:solidFill>
              <a:prstDash val="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Sheet2!$I$2:$I$62</c:f>
              <c:numCache>
                <c:formatCode>General</c:formatCode>
                <c:ptCount val="61"/>
                <c:pt idx="22" formatCode="_(* #,##0_);_(* \(#,##0\);_(* &quot;-&quot;??_);_(@_)">
                  <c:v>5911.3124457590711</c:v>
                </c:pt>
                <c:pt idx="23" formatCode="_(* #,##0_);_(* \(#,##0\);_(* &quot;-&quot;??_);_(@_)">
                  <c:v>6056.8254035396612</c:v>
                </c:pt>
                <c:pt idx="24" formatCode="_(* #,##0_);_(* \(#,##0\);_(* &quot;-&quot;??_);_(@_)">
                  <c:v>6205.9203105195384</c:v>
                </c:pt>
                <c:pt idx="25" formatCode="_(* #,##0_);_(* \(#,##0\);_(* &quot;-&quot;??_);_(@_)">
                  <c:v>6358.685340015174</c:v>
                </c:pt>
                <c:pt idx="26" formatCode="_(* #,##0_);_(* \(#,##0\);_(* &quot;-&quot;??_);_(@_)">
                  <c:v>6515.2108358186415</c:v>
                </c:pt>
                <c:pt idx="27" formatCode="_(* #,##0_);_(* \(#,##0\);_(* &quot;-&quot;??_);_(@_)">
                  <c:v>6675.5893656262215</c:v>
                </c:pt>
                <c:pt idx="28" formatCode="_(* #,##0_);_(* \(#,##0\);_(* &quot;-&quot;??_);_(@_)">
                  <c:v>6839.9157757820185</c:v>
                </c:pt>
                <c:pt idx="29" formatCode="_(* #,##0_);_(* \(#,##0\);_(* &quot;-&quot;??_);_(@_)">
                  <c:v>7008.2872473692169</c:v>
                </c:pt>
                <c:pt idx="30" formatCode="_(* #,##0_);_(* \(#,##0\);_(* &quot;-&quot;??_);_(@_)">
                  <c:v>7180.8033536819994</c:v>
                </c:pt>
                <c:pt idx="31" formatCode="_(* #,##0_);_(* \(#,##0\);_(* &quot;-&quot;??_);_(@_)">
                  <c:v>7357.5661191123254</c:v>
                </c:pt>
                <c:pt idx="32" formatCode="_(* #,##0_);_(* \(#,##0\);_(* &quot;-&quot;??_);_(@_)">
                  <c:v>7538.680079486131</c:v>
                </c:pt>
                <c:pt idx="33" formatCode="_(* #,##0_);_(* \(#,##0\);_(* &quot;-&quot;??_);_(@_)">
                  <c:v>7724.2523438847793</c:v>
                </c:pt>
                <c:pt idx="34" formatCode="_(* #,##0_);_(* \(#,##0\);_(* &quot;-&quot;??_);_(@_)">
                  <c:v>7914.3926579885738</c:v>
                </c:pt>
                <c:pt idx="35" formatCode="_(* #,##0_);_(* \(#,##0\);_(* &quot;-&quot;??_);_(@_)">
                  <c:v>8109.2134689790491</c:v>
                </c:pt>
                <c:pt idx="36" formatCode="_(* #,##0_);_(* \(#,##0\);_(* &quot;-&quot;??_);_(@_)">
                  <c:v>8308.829992039311</c:v>
                </c:pt>
                <c:pt idx="37" formatCode="_(* #,##0_);_(* \(#,##0\);_(* &quot;-&quot;??_);_(@_)">
                  <c:v>8513.3602784912</c:v>
                </c:pt>
                <c:pt idx="38" formatCode="_(* #,##0_);_(* \(#,##0\);_(* &quot;-&quot;??_);_(@_)">
                  <c:v>8722.9252856096155</c:v>
                </c:pt>
                <c:pt idx="39" formatCode="_(* #,##0_);_(* \(#,##0\);_(* &quot;-&quot;??_);_(@_)">
                  <c:v>8937.6489481559274</c:v>
                </c:pt>
                <c:pt idx="40" formatCode="_(* #,##0_);_(* \(#,##0\);_(* &quot;-&quot;??_);_(@_)">
                  <c:v>9157.6582516707858</c:v>
                </c:pt>
                <c:pt idx="41" formatCode="_(* #,##0_);_(* \(#,##0\);_(* &quot;-&quot;??_);_(@_)">
                  <c:v>9383.0833075736282</c:v>
                </c:pt>
                <c:pt idx="42" formatCode="_(* #,##0_);_(* \(#,##0\);_(* &quot;-&quot;??_);_(@_)">
                  <c:v>9614.0574301081633</c:v>
                </c:pt>
                <c:pt idx="43" formatCode="_(* #,##0_);_(* \(#,##0\);_(* &quot;-&quot;??_);_(@_)">
                  <c:v>9850.7172151836603</c:v>
                </c:pt>
                <c:pt idx="44" formatCode="_(* #,##0_);_(* \(#,##0\);_(* &quot;-&quot;??_);_(@_)">
                  <c:v>10093.202621156448</c:v>
                </c:pt>
                <c:pt idx="45" formatCode="_(* #,##0_);_(* \(#,##0\);_(* &quot;-&quot;??_);_(@_)">
                  <c:v>10341.657051599646</c:v>
                </c:pt>
                <c:pt idx="46" formatCode="_(* #,##0_);_(* \(#,##0\);_(* &quot;-&quot;??_);_(@_)">
                  <c:v>10596.227440111434</c:v>
                </c:pt>
                <c:pt idx="47" formatCode="_(* #,##0_);_(* \(#,##0\);_(* &quot;-&quot;??_);_(@_)">
                  <c:v>10857.064337208942</c:v>
                </c:pt>
                <c:pt idx="48" formatCode="_(* #,##0_);_(* \(#,##0\);_(* &quot;-&quot;??_);_(@_)">
                  <c:v>11124.321999363878</c:v>
                </c:pt>
                <c:pt idx="49" formatCode="_(* #,##0_);_(* \(#,##0\);_(* &quot;-&quot;??_);_(@_)">
                  <c:v>11398.158480227421</c:v>
                </c:pt>
                <c:pt idx="50" formatCode="_(* #,##0_);_(* \(#,##0\);_(* &quot;-&quot;??_);_(@_)">
                  <c:v>11678.735724101532</c:v>
                </c:pt>
                <c:pt idx="51" formatCode="_(* #,##0_);_(* \(#,##0\);_(* &quot;-&quot;??_);_(@_)">
                  <c:v>11966.219661711921</c:v>
                </c:pt>
                <c:pt idx="52" formatCode="_(* #,##0_);_(* \(#,##0\);_(* &quot;-&quot;??_);_(@_)">
                  <c:v>12260.780308337316</c:v>
                </c:pt>
                <c:pt idx="53" formatCode="_(* #,##0_);_(* \(#,##0\);_(* &quot;-&quot;??_);_(@_)">
                  <c:v>12562.591864355492</c:v>
                </c:pt>
                <c:pt idx="54" formatCode="_(* #,##0_);_(* \(#,##0\);_(* &quot;-&quot;??_);_(@_)">
                  <c:v>12871.832818263129</c:v>
                </c:pt>
                <c:pt idx="55" formatCode="_(* #,##0_);_(* \(#,##0\);_(* &quot;-&quot;??_);_(@_)">
                  <c:v>13188.686052232657</c:v>
                </c:pt>
                <c:pt idx="56" formatCode="_(* #,##0_);_(* \(#,##0\);_(* &quot;-&quot;??_);_(@_)">
                  <c:v>13513.33895026656</c:v>
                </c:pt>
                <c:pt idx="57" formatCode="_(* #,##0_);_(* \(#,##0\);_(* &quot;-&quot;??_);_(@_)">
                  <c:v>13845.983509015206</c:v>
                </c:pt>
                <c:pt idx="58" formatCode="_(* #,##0_);_(* \(#,##0\);_(* &quot;-&quot;??_);_(@_)">
                  <c:v>14186.81645132119</c:v>
                </c:pt>
                <c:pt idx="59" formatCode="_(* #,##0_);_(* \(#,##0\);_(* &quot;-&quot;??_);_(@_)">
                  <c:v>14536.039342559741</c:v>
                </c:pt>
                <c:pt idx="60" formatCode="_(* #,##0_);_(* \(#,##0\);_(* &quot;-&quot;??_);_(@_)">
                  <c:v>14893.858709842225</c:v>
                </c:pt>
              </c:numCache>
            </c:numRef>
          </c:val>
        </c:ser>
        <c:ser>
          <c:idx val="4"/>
          <c:order val="4"/>
          <c:tx>
            <c:strRef>
              <c:f>Sheet2!$J$1</c:f>
              <c:strCache>
                <c:ptCount val="1"/>
                <c:pt idx="0">
                  <c:v>Impacto 10%</c:v>
                </c:pt>
              </c:strCache>
            </c:strRef>
          </c:tx>
          <c:spPr>
            <a:ln>
              <a:solidFill>
                <a:srgbClr val="FF0000"/>
              </a:solidFill>
              <a:prstDash val="lg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Sheet2!$J$2:$J$62</c:f>
              <c:numCache>
                <c:formatCode>General</c:formatCode>
                <c:ptCount val="61"/>
                <c:pt idx="22" formatCode="_(* #,##0_);_(* \(#,##0\);_(* &quot;-&quot;??_);_(@_)">
                  <c:v>5911.3124457590711</c:v>
                </c:pt>
                <c:pt idx="23" formatCode="_(* #,##0_);_(* \(#,##0\);_(* &quot;-&quot;??_);_(@_)">
                  <c:v>6048.2137493297487</c:v>
                </c:pt>
                <c:pt idx="24" formatCode="_(* #,##0_);_(* \(#,##0\);_(* &quot;-&quot;??_);_(@_)">
                  <c:v>6188.2855784125722</c:v>
                </c:pt>
                <c:pt idx="25" formatCode="_(* #,##0_);_(* \(#,##0\);_(* &quot;-&quot;??_);_(@_)">
                  <c:v>6331.6013598614654</c:v>
                </c:pt>
                <c:pt idx="26" formatCode="_(* #,##0_);_(* \(#,##0\);_(* &quot;-&quot;??_);_(@_)">
                  <c:v>6478.2362210380134</c:v>
                </c:pt>
                <c:pt idx="27" formatCode="_(* #,##0_);_(* \(#,##0\);_(* &quot;-&quot;??_);_(@_)">
                  <c:v>6628.2670291939166</c:v>
                </c:pt>
                <c:pt idx="28" formatCode="_(* #,##0_);_(* \(#,##0\);_(* &quot;-&quot;??_);_(@_)">
                  <c:v>6781.7724317652828</c:v>
                </c:pt>
                <c:pt idx="29" formatCode="_(* #,##0_);_(* \(#,##0\);_(* &quot;-&quot;??_);_(@_)">
                  <c:v>6938.8328976004905</c:v>
                </c:pt>
                <c:pt idx="30" formatCode="_(* #,##0_);_(* \(#,##0\);_(* &quot;-&quot;??_);_(@_)">
                  <c:v>7099.5307591425862</c:v>
                </c:pt>
                <c:pt idx="31" formatCode="_(* #,##0_);_(* \(#,##0\);_(* &quot;-&quot;??_);_(@_)">
                  <c:v>7263.9502555886684</c:v>
                </c:pt>
                <c:pt idx="32" formatCode="_(* #,##0_);_(* \(#,##0\);_(* &quot;-&quot;??_);_(@_)">
                  <c:v>7432.1775770486065</c:v>
                </c:pt>
                <c:pt idx="33" formatCode="_(* #,##0_);_(* \(#,##0\);_(* &quot;-&quot;??_);_(@_)">
                  <c:v>7604.3009097269423</c:v>
                </c:pt>
                <c:pt idx="34" formatCode="_(* #,##0_);_(* \(#,##0\);_(* &quot;-&quot;??_);_(@_)">
                  <c:v>7780.4104821506462</c:v>
                </c:pt>
                <c:pt idx="35" formatCode="_(* #,##0_);_(* \(#,##0\);_(* &quot;-&quot;??_);_(@_)">
                  <c:v>7960.5986124677947</c:v>
                </c:pt>
                <c:pt idx="36" formatCode="_(* #,##0_);_(* \(#,##0\);_(* &quot;-&quot;??_);_(@_)">
                  <c:v>8144.9597568413565</c:v>
                </c:pt>
                <c:pt idx="37" formatCode="_(* #,##0_);_(* \(#,##0\);_(* &quot;-&quot;??_);_(@_)">
                  <c:v>8333.590558964248</c:v>
                </c:pt>
                <c:pt idx="38" formatCode="_(* #,##0_);_(* \(#,##0\);_(* &quot;-&quot;??_);_(@_)">
                  <c:v>8526.5899007203916</c:v>
                </c:pt>
                <c:pt idx="39" formatCode="_(* #,##0_);_(* \(#,##0\);_(* &quot;-&quot;??_);_(@_)">
                  <c:v>8724.0589540199271</c:v>
                </c:pt>
                <c:pt idx="40" formatCode="_(* #,##0_);_(* \(#,##0\);_(* &quot;-&quot;??_);_(@_)">
                  <c:v>8926.1012338337659</c:v>
                </c:pt>
                <c:pt idx="41" formatCode="_(* #,##0_);_(* \(#,##0\);_(* &quot;-&quot;??_);_(@_)">
                  <c:v>9132.8226524575857</c:v>
                </c:pt>
                <c:pt idx="42" formatCode="_(* #,##0_);_(* \(#,##0\);_(* &quot;-&quot;??_);_(@_)">
                  <c:v>9344.3315750317161</c:v>
                </c:pt>
                <c:pt idx="43" formatCode="_(* #,##0_);_(* \(#,##0\);_(* &quot;-&quot;??_);_(@_)">
                  <c:v>9560.7388763471026</c:v>
                </c:pt>
                <c:pt idx="44" formatCode="_(* #,##0_);_(* \(#,##0\);_(* &quot;-&quot;??_);_(@_)">
                  <c:v>9782.1579989667734</c:v>
                </c:pt>
                <c:pt idx="45" formatCode="_(* #,##0_);_(* \(#,##0\);_(* &quot;-&quot;??_);_(@_)">
                  <c:v>10008.705012693707</c:v>
                </c:pt>
                <c:pt idx="46" formatCode="_(* #,##0_);_(* \(#,##0\);_(* &quot;-&quot;??_);_(@_)">
                  <c:v>10240.498675415</c:v>
                </c:pt>
                <c:pt idx="47" formatCode="_(* #,##0_);_(* \(#,##0\);_(* &quot;-&quot;??_);_(@_)">
                  <c:v>10477.660495356396</c:v>
                </c:pt>
                <c:pt idx="48" formatCode="_(* #,##0_);_(* \(#,##0\);_(* &quot;-&quot;??_);_(@_)">
                  <c:v>10720.314794777611</c:v>
                </c:pt>
                <c:pt idx="49" formatCode="_(* #,##0_);_(* \(#,##0\);_(* &quot;-&quot;??_);_(@_)">
                  <c:v>10968.588775143233</c:v>
                </c:pt>
                <c:pt idx="50" formatCode="_(* #,##0_);_(* \(#,##0\);_(* &quot;-&quot;??_);_(@_)">
                  <c:v>11222.612583802756</c:v>
                </c:pt>
                <c:pt idx="51" formatCode="_(* #,##0_);_(* \(#,##0\);_(* &quot;-&quot;??_);_(@_)">
                  <c:v>11482.519382214992</c:v>
                </c:pt>
                <c:pt idx="52" formatCode="_(* #,##0_);_(* \(#,##0\);_(* &quot;-&quot;??_);_(@_)">
                  <c:v>11748.445415752432</c:v>
                </c:pt>
                <c:pt idx="53" formatCode="_(* #,##0_);_(* \(#,##0\);_(* &quot;-&quot;??_);_(@_)">
                  <c:v>12020.530085122216</c:v>
                </c:pt>
                <c:pt idx="54" formatCode="_(* #,##0_);_(* \(#,##0\);_(* &quot;-&quot;??_);_(@_)">
                  <c:v>12298.916019441138</c:v>
                </c:pt>
                <c:pt idx="55" formatCode="_(* #,##0_);_(* \(#,##0\);_(* &quot;-&quot;??_);_(@_)">
                  <c:v>12583.749151003412</c:v>
                </c:pt>
                <c:pt idx="56" formatCode="_(* #,##0_);_(* \(#,##0\);_(* &quot;-&quot;??_);_(@_)">
                  <c:v>12875.178791778886</c:v>
                </c:pt>
                <c:pt idx="57" formatCode="_(* #,##0_);_(* \(#,##0\);_(* &quot;-&quot;??_);_(@_)">
                  <c:v>13173.357711684301</c:v>
                </c:pt>
                <c:pt idx="58" formatCode="_(* #,##0_);_(* \(#,##0\);_(* &quot;-&quot;??_);_(@_)">
                  <c:v>13478.442218666734</c:v>
                </c:pt>
                <c:pt idx="59" formatCode="_(* #,##0_);_(* \(#,##0\);_(* &quot;-&quot;??_);_(@_)">
                  <c:v>13790.592240640566</c:v>
                </c:pt>
                <c:pt idx="60" formatCode="_(* #,##0_);_(* \(#,##0\);_(* &quot;-&quot;??_);_(@_)">
                  <c:v>14109.971409324213</c:v>
                </c:pt>
              </c:numCache>
            </c:numRef>
          </c:val>
        </c:ser>
        <c:marker val="1"/>
        <c:axId val="60196352"/>
        <c:axId val="60197888"/>
      </c:lineChart>
      <c:catAx>
        <c:axId val="60196352"/>
        <c:scaling>
          <c:orientation val="minMax"/>
        </c:scaling>
        <c:axPos val="b"/>
        <c:numFmt formatCode="General" sourceLinked="1"/>
        <c:tickLblPos val="nextTo"/>
        <c:crossAx val="60197888"/>
        <c:crosses val="autoZero"/>
        <c:auto val="1"/>
        <c:lblAlgn val="ctr"/>
        <c:lblOffset val="100"/>
      </c:catAx>
      <c:valAx>
        <c:axId val="60197888"/>
        <c:scaling>
          <c:orientation val="minMax"/>
          <c:max val="16000"/>
          <c:min val="4000"/>
        </c:scaling>
        <c:axPos val="l"/>
        <c:majorGridlines>
          <c:spPr>
            <a:ln>
              <a:prstDash val="lgDash"/>
            </a:ln>
          </c:spPr>
        </c:majorGridlines>
        <c:numFmt formatCode="_(* #,##0_);_(* \(#,##0\);_(* &quot;-&quot;??_);_(@_)" sourceLinked="1"/>
        <c:tickLblPos val="nextTo"/>
        <c:crossAx val="60196352"/>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8E023E-F1CE-4832-86B0-3C1CAF72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1</Pages>
  <Words>14284</Words>
  <Characters>81423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 Alatorre</dc:creator>
  <cp:lastModifiedBy>José Eduardo Alatorre</cp:lastModifiedBy>
  <cp:revision>111</cp:revision>
  <dcterms:created xsi:type="dcterms:W3CDTF">2013-11-19T13:05:00Z</dcterms:created>
  <dcterms:modified xsi:type="dcterms:W3CDTF">2014-03-05T14:34:00Z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id="c4aOAd4F"/&gt;&lt;style id="http://www.zotero.org/styles/comision-economica-para-america-latina-y-el-caribe"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