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F3" w:rsidRPr="005715CA" w:rsidRDefault="00517044" w:rsidP="00E4455B">
      <w:pPr>
        <w:pStyle w:val="SPortadillaTitulo"/>
        <w:jc w:val="center"/>
        <w:rPr>
          <w:lang w:val="es-ES"/>
        </w:rPr>
      </w:pPr>
      <w:r w:rsidRPr="005715CA">
        <w:rPr>
          <w:lang w:val="es-ES"/>
        </w:rPr>
        <w:t>Cambio climático, crecimiento y pobreza.</w:t>
      </w:r>
    </w:p>
    <w:p w:rsidR="00517044" w:rsidRPr="005720EE" w:rsidRDefault="00517044">
      <w:pPr>
        <w:rPr>
          <w:lang w:val="es-ES"/>
        </w:rPr>
      </w:pPr>
    </w:p>
    <w:p w:rsidR="00237BD1" w:rsidRPr="005720EE" w:rsidRDefault="00237BD1" w:rsidP="00517044">
      <w:pPr>
        <w:pStyle w:val="ListParagraph"/>
        <w:numPr>
          <w:ilvl w:val="0"/>
          <w:numId w:val="1"/>
        </w:numPr>
        <w:rPr>
          <w:lang w:val="es-ES"/>
        </w:rPr>
      </w:pPr>
      <w:r w:rsidRPr="005720EE">
        <w:rPr>
          <w:lang w:val="es-ES"/>
        </w:rPr>
        <w:t>Cambio climático e impactos en el crecimiento</w:t>
      </w:r>
    </w:p>
    <w:p w:rsidR="00237BD1" w:rsidRPr="005720EE" w:rsidRDefault="00237BD1" w:rsidP="00237BD1">
      <w:pPr>
        <w:pStyle w:val="ListParagraph"/>
        <w:numPr>
          <w:ilvl w:val="1"/>
          <w:numId w:val="1"/>
        </w:numPr>
        <w:rPr>
          <w:lang w:val="es-ES"/>
        </w:rPr>
      </w:pPr>
      <w:r w:rsidRPr="005720EE">
        <w:rPr>
          <w:lang w:val="es-ES"/>
        </w:rPr>
        <w:t>Revisión de la literatura (ver BID, CEPAL, WWF, 2013)</w:t>
      </w:r>
    </w:p>
    <w:p w:rsidR="00517044" w:rsidRPr="005720EE" w:rsidRDefault="00237BD1" w:rsidP="00517044">
      <w:pPr>
        <w:pStyle w:val="ListParagraph"/>
        <w:numPr>
          <w:ilvl w:val="0"/>
          <w:numId w:val="1"/>
        </w:numPr>
        <w:rPr>
          <w:lang w:val="es-ES"/>
        </w:rPr>
      </w:pPr>
      <w:r w:rsidRPr="005720EE">
        <w:rPr>
          <w:lang w:val="es-ES"/>
        </w:rPr>
        <w:t>Crecimiento y pobreza.</w:t>
      </w:r>
    </w:p>
    <w:p w:rsidR="00237BD1" w:rsidRPr="005720EE" w:rsidRDefault="00237BD1" w:rsidP="00237BD1">
      <w:pPr>
        <w:pStyle w:val="ListParagraph"/>
        <w:numPr>
          <w:ilvl w:val="1"/>
          <w:numId w:val="1"/>
        </w:numPr>
        <w:rPr>
          <w:lang w:val="es-ES"/>
        </w:rPr>
      </w:pPr>
      <w:r w:rsidRPr="005720EE">
        <w:rPr>
          <w:lang w:val="es-ES"/>
        </w:rPr>
        <w:t>Marco teórico</w:t>
      </w:r>
    </w:p>
    <w:p w:rsidR="00237BD1" w:rsidRPr="005720EE" w:rsidRDefault="00237BD1" w:rsidP="00237BD1">
      <w:pPr>
        <w:pStyle w:val="ListParagraph"/>
        <w:numPr>
          <w:ilvl w:val="1"/>
          <w:numId w:val="1"/>
        </w:numPr>
        <w:rPr>
          <w:lang w:val="es-ES"/>
        </w:rPr>
      </w:pPr>
      <w:r w:rsidRPr="005720EE">
        <w:rPr>
          <w:lang w:val="es-ES"/>
        </w:rPr>
        <w:t>Revisión breve de la literatura</w:t>
      </w:r>
    </w:p>
    <w:p w:rsidR="00517044" w:rsidRPr="005720EE" w:rsidRDefault="00237BD1" w:rsidP="00517044">
      <w:pPr>
        <w:pStyle w:val="ListParagraph"/>
        <w:numPr>
          <w:ilvl w:val="0"/>
          <w:numId w:val="1"/>
        </w:numPr>
        <w:rPr>
          <w:lang w:val="es-ES"/>
        </w:rPr>
      </w:pPr>
      <w:r w:rsidRPr="005720EE">
        <w:rPr>
          <w:lang w:val="es-ES"/>
        </w:rPr>
        <w:t>Crecimiento y pobreza. Datos en América Latina y el Caribe</w:t>
      </w:r>
    </w:p>
    <w:p w:rsidR="00237BD1" w:rsidRPr="005720EE" w:rsidRDefault="00237BD1" w:rsidP="00237BD1">
      <w:pPr>
        <w:pStyle w:val="ListParagraph"/>
        <w:numPr>
          <w:ilvl w:val="1"/>
          <w:numId w:val="1"/>
        </w:numPr>
        <w:rPr>
          <w:lang w:val="es-ES"/>
        </w:rPr>
      </w:pPr>
      <w:r w:rsidRPr="005720EE">
        <w:rPr>
          <w:lang w:val="es-ES"/>
        </w:rPr>
        <w:t>Población, crecimiento y datos de pobreza</w:t>
      </w:r>
    </w:p>
    <w:p w:rsidR="00237BD1" w:rsidRPr="005720EE" w:rsidRDefault="00237BD1" w:rsidP="00237BD1">
      <w:pPr>
        <w:pStyle w:val="ListParagraph"/>
        <w:numPr>
          <w:ilvl w:val="1"/>
          <w:numId w:val="1"/>
        </w:numPr>
        <w:rPr>
          <w:lang w:val="es-ES"/>
        </w:rPr>
      </w:pPr>
      <w:r w:rsidRPr="005720EE">
        <w:rPr>
          <w:lang w:val="es-ES"/>
        </w:rPr>
        <w:t>¿Vulnerabilidad?</w:t>
      </w:r>
    </w:p>
    <w:p w:rsidR="00237BD1" w:rsidRPr="005720EE" w:rsidRDefault="00237BD1" w:rsidP="00517044">
      <w:pPr>
        <w:pStyle w:val="ListParagraph"/>
        <w:numPr>
          <w:ilvl w:val="0"/>
          <w:numId w:val="1"/>
        </w:numPr>
        <w:rPr>
          <w:lang w:val="es-ES"/>
        </w:rPr>
      </w:pPr>
      <w:r w:rsidRPr="005720EE">
        <w:rPr>
          <w:lang w:val="es-ES"/>
        </w:rPr>
        <w:t>Metodología econométrica</w:t>
      </w:r>
    </w:p>
    <w:p w:rsidR="00237BD1" w:rsidRPr="005720EE" w:rsidRDefault="00237BD1" w:rsidP="00237BD1">
      <w:pPr>
        <w:pStyle w:val="ListParagraph"/>
        <w:numPr>
          <w:ilvl w:val="1"/>
          <w:numId w:val="1"/>
        </w:numPr>
        <w:rPr>
          <w:lang w:val="es-ES"/>
        </w:rPr>
      </w:pPr>
      <w:r w:rsidRPr="005720EE">
        <w:rPr>
          <w:lang w:val="es-ES"/>
        </w:rPr>
        <w:t>Descripción de la base de datos</w:t>
      </w:r>
    </w:p>
    <w:p w:rsidR="00237BD1" w:rsidRPr="005720EE" w:rsidRDefault="00237BD1" w:rsidP="00237BD1">
      <w:pPr>
        <w:pStyle w:val="ListParagraph"/>
        <w:numPr>
          <w:ilvl w:val="1"/>
          <w:numId w:val="1"/>
        </w:numPr>
        <w:rPr>
          <w:lang w:val="es-ES"/>
        </w:rPr>
      </w:pPr>
      <w:r w:rsidRPr="005720EE">
        <w:rPr>
          <w:lang w:val="es-ES"/>
        </w:rPr>
        <w:t>Nota precautoria sobre la</w:t>
      </w:r>
      <w:r w:rsidR="00393B88">
        <w:rPr>
          <w:lang w:val="es-ES"/>
        </w:rPr>
        <w:t xml:space="preserve"> metodología de las</w:t>
      </w:r>
      <w:r w:rsidRPr="005720EE">
        <w:rPr>
          <w:lang w:val="es-ES"/>
        </w:rPr>
        <w:t xml:space="preserve"> estimaciones</w:t>
      </w:r>
    </w:p>
    <w:p w:rsidR="00237BD1" w:rsidRPr="005720EE" w:rsidRDefault="00237BD1" w:rsidP="00517044">
      <w:pPr>
        <w:pStyle w:val="ListParagraph"/>
        <w:numPr>
          <w:ilvl w:val="0"/>
          <w:numId w:val="1"/>
        </w:numPr>
        <w:rPr>
          <w:lang w:val="es-ES"/>
        </w:rPr>
      </w:pPr>
      <w:r w:rsidRPr="005720EE">
        <w:rPr>
          <w:lang w:val="es-ES"/>
        </w:rPr>
        <w:t>Estimaciones y principales resultados</w:t>
      </w:r>
    </w:p>
    <w:p w:rsidR="00393B88" w:rsidRPr="00393B88" w:rsidRDefault="00237BD1" w:rsidP="00393B88">
      <w:pPr>
        <w:pStyle w:val="ListParagraph"/>
        <w:numPr>
          <w:ilvl w:val="0"/>
          <w:numId w:val="1"/>
        </w:numPr>
        <w:rPr>
          <w:lang w:val="es-ES"/>
        </w:rPr>
      </w:pPr>
      <w:r w:rsidRPr="005720EE">
        <w:rPr>
          <w:lang w:val="es-ES"/>
        </w:rPr>
        <w:t>Simulaciones e impactos del cambio climático sobre la pobreza</w:t>
      </w:r>
      <w:r w:rsidR="00393B88">
        <w:rPr>
          <w:lang w:val="es-ES"/>
        </w:rPr>
        <w:t>.</w:t>
      </w:r>
    </w:p>
    <w:p w:rsidR="00F74D5A" w:rsidRDefault="00C56AA2" w:rsidP="00C56AA2">
      <w:pPr>
        <w:pStyle w:val="ListParagraph"/>
        <w:numPr>
          <w:ilvl w:val="0"/>
          <w:numId w:val="1"/>
        </w:numPr>
        <w:rPr>
          <w:lang w:val="es-ES"/>
        </w:rPr>
      </w:pPr>
      <w:r>
        <w:rPr>
          <w:lang w:val="es-ES"/>
        </w:rPr>
        <w:t>Conclusiones</w:t>
      </w:r>
    </w:p>
    <w:p w:rsidR="00F74D5A" w:rsidRPr="00F74D5A" w:rsidRDefault="00F74D5A" w:rsidP="00F74D5A">
      <w:pPr>
        <w:rPr>
          <w:lang w:val="en-US"/>
        </w:rPr>
      </w:pPr>
    </w:p>
    <w:p w:rsidR="00F74D5A" w:rsidRDefault="00EC455F">
      <w:pPr>
        <w:jc w:val="left"/>
        <w:rPr>
          <w:noProof/>
          <w:lang w:val="en-US"/>
        </w:rPr>
        <w:sectPr w:rsidR="00F74D5A" w:rsidSect="00F74D5A">
          <w:type w:val="continuous"/>
          <w:pgSz w:w="12240" w:h="15840"/>
          <w:pgMar w:top="1440" w:right="1440" w:bottom="1440" w:left="1440" w:header="720" w:footer="720" w:gutter="0"/>
          <w:cols w:space="720"/>
          <w:docGrid w:linePitch="360"/>
        </w:sectPr>
      </w:pPr>
      <w:r>
        <w:rPr>
          <w:lang w:val="en-US"/>
        </w:rPr>
        <w:fldChar w:fldCharType="begin"/>
      </w:r>
      <w:r w:rsidR="00F74D5A">
        <w:rPr>
          <w:lang w:val="en-US"/>
        </w:rPr>
        <w:instrText xml:space="preserve"> INDEX \e "</w:instrText>
      </w:r>
      <w:r w:rsidR="00F74D5A">
        <w:rPr>
          <w:lang w:val="en-US"/>
        </w:rPr>
        <w:tab/>
        <w:instrText xml:space="preserve">" \c "2" \z "1033" </w:instrText>
      </w:r>
      <w:r>
        <w:rPr>
          <w:lang w:val="en-US"/>
        </w:rPr>
        <w:fldChar w:fldCharType="separate"/>
      </w:r>
    </w:p>
    <w:p w:rsidR="00F74D5A" w:rsidRDefault="00F74D5A">
      <w:pPr>
        <w:jc w:val="left"/>
        <w:rPr>
          <w:noProof/>
          <w:lang w:val="en-US"/>
        </w:rPr>
        <w:sectPr w:rsidR="00F74D5A" w:rsidSect="00F74D5A">
          <w:type w:val="continuous"/>
          <w:pgSz w:w="12240" w:h="15840"/>
          <w:pgMar w:top="1440" w:right="1440" w:bottom="1440" w:left="1440" w:header="720" w:footer="720" w:gutter="0"/>
          <w:cols w:num="2" w:space="720"/>
          <w:docGrid w:linePitch="360"/>
        </w:sectPr>
      </w:pPr>
    </w:p>
    <w:p w:rsidR="00F74D5A" w:rsidRPr="00F74D5A" w:rsidRDefault="00EC455F">
      <w:pPr>
        <w:jc w:val="left"/>
        <w:rPr>
          <w:lang w:val="en-US"/>
        </w:rPr>
      </w:pPr>
      <w:r>
        <w:rPr>
          <w:lang w:val="en-US"/>
        </w:rPr>
        <w:lastRenderedPageBreak/>
        <w:fldChar w:fldCharType="end"/>
      </w:r>
      <w:r w:rsidR="00F74D5A" w:rsidRPr="00F74D5A">
        <w:rPr>
          <w:lang w:val="en-US"/>
        </w:rPr>
        <w:br w:type="page"/>
      </w:r>
    </w:p>
    <w:p w:rsidR="00C56AA2" w:rsidRPr="00F74D5A" w:rsidRDefault="00C56AA2" w:rsidP="00C56AA2">
      <w:pPr>
        <w:pStyle w:val="ListParagraph"/>
        <w:numPr>
          <w:ilvl w:val="0"/>
          <w:numId w:val="1"/>
        </w:numPr>
        <w:rPr>
          <w:lang w:val="en-US"/>
        </w:rPr>
        <w:sectPr w:rsidR="00C56AA2" w:rsidRPr="00F74D5A" w:rsidSect="00F74D5A">
          <w:type w:val="continuous"/>
          <w:pgSz w:w="12240" w:h="15840"/>
          <w:pgMar w:top="1440" w:right="1440" w:bottom="1440" w:left="1440" w:header="720" w:footer="720" w:gutter="0"/>
          <w:cols w:space="720"/>
          <w:docGrid w:linePitch="360"/>
        </w:sectPr>
      </w:pPr>
    </w:p>
    <w:p w:rsidR="000512B9" w:rsidRPr="00733715" w:rsidRDefault="000512B9" w:rsidP="000512B9">
      <w:pPr>
        <w:pStyle w:val="STituloJerarquia1"/>
        <w:rPr>
          <w:lang w:val="pt-BR"/>
        </w:rPr>
      </w:pPr>
      <w:bookmarkStart w:id="0" w:name="_Toc289249988"/>
      <w:r w:rsidRPr="00733715">
        <w:rPr>
          <w:lang w:val="pt-BR"/>
        </w:rPr>
        <w:lastRenderedPageBreak/>
        <w:t>I.</w:t>
      </w:r>
      <w:r w:rsidRPr="00733715">
        <w:rPr>
          <w:lang w:val="pt-BR"/>
        </w:rPr>
        <w:tab/>
      </w:r>
      <w:bookmarkEnd w:id="0"/>
      <w:r>
        <w:rPr>
          <w:lang w:val="pt-BR"/>
        </w:rPr>
        <w:t>Introducción</w:t>
      </w:r>
    </w:p>
    <w:p w:rsidR="00737708" w:rsidRDefault="00737708" w:rsidP="006433A1">
      <w:pPr>
        <w:rPr>
          <w:lang w:val="es-ES"/>
        </w:rPr>
      </w:pPr>
      <w:r>
        <w:rPr>
          <w:lang w:val="es-ES"/>
        </w:rPr>
        <w:t>Los niveles de pobreza e indigencia en América Latina y el Caribe</w:t>
      </w:r>
      <w:r w:rsidR="008A7348">
        <w:rPr>
          <w:lang w:val="es-ES"/>
        </w:rPr>
        <w:t xml:space="preserve"> (ALC)</w:t>
      </w:r>
      <w:r>
        <w:rPr>
          <w:lang w:val="es-ES"/>
        </w:rPr>
        <w:t xml:space="preserve"> han mostrado una reducción en los últimos años, sin embargo, a pesar de los esfuerzos realizados para erradicar la pobreza, su in</w:t>
      </w:r>
      <w:r w:rsidR="00F84172">
        <w:rPr>
          <w:lang w:val="es-ES"/>
        </w:rPr>
        <w:t>cidencia es aún significativa y</w:t>
      </w:r>
      <w:r>
        <w:rPr>
          <w:lang w:val="es-ES"/>
        </w:rPr>
        <w:t xml:space="preserve"> es claro que los esfuerzos necesarios para mejorar los niveles de bienestar de la población son aún considerables. </w:t>
      </w:r>
    </w:p>
    <w:p w:rsidR="008A7348" w:rsidRDefault="008A7348" w:rsidP="008A7348">
      <w:pPr>
        <w:ind w:firstLine="567"/>
        <w:rPr>
          <w:lang w:val="es-ES"/>
        </w:rPr>
      </w:pPr>
    </w:p>
    <w:p w:rsidR="00C56AA2" w:rsidRDefault="00737708" w:rsidP="008A7348">
      <w:pPr>
        <w:ind w:firstLine="567"/>
        <w:rPr>
          <w:lang w:val="es-ES"/>
        </w:rPr>
      </w:pPr>
      <w:r>
        <w:rPr>
          <w:lang w:val="es-ES"/>
        </w:rPr>
        <w:t xml:space="preserve">Actualmente, el combate al </w:t>
      </w:r>
      <w:r w:rsidR="00C56AA2">
        <w:rPr>
          <w:lang w:val="es-ES"/>
        </w:rPr>
        <w:t>cambio climático</w:t>
      </w:r>
      <w:r w:rsidR="00A40C31">
        <w:rPr>
          <w:lang w:val="es-ES"/>
        </w:rPr>
        <w:t xml:space="preserve"> representa un factor </w:t>
      </w:r>
      <w:r w:rsidR="008A7348">
        <w:rPr>
          <w:lang w:val="es-ES"/>
        </w:rPr>
        <w:t>adicional</w:t>
      </w:r>
      <w:r w:rsidR="00A40C31">
        <w:rPr>
          <w:lang w:val="es-ES"/>
        </w:rPr>
        <w:t xml:space="preserve"> a considerar para los países en desarrollo</w:t>
      </w:r>
      <w:r w:rsidR="008A7348">
        <w:rPr>
          <w:lang w:val="es-ES"/>
        </w:rPr>
        <w:t xml:space="preserve"> en general y para ALC en particular ya que e</w:t>
      </w:r>
      <w:r w:rsidR="006E5184">
        <w:rPr>
          <w:lang w:val="es-ES"/>
        </w:rPr>
        <w:t xml:space="preserve">l esfuerzo conjunto de adaptarse a las nuevas condiciones climáticas </w:t>
      </w:r>
      <w:r w:rsidR="005715CA">
        <w:rPr>
          <w:lang w:val="es-ES"/>
        </w:rPr>
        <w:t>mientras</w:t>
      </w:r>
      <w:r w:rsidR="006E5184">
        <w:rPr>
          <w:lang w:val="es-ES"/>
        </w:rPr>
        <w:t xml:space="preserve"> se emprenden tareas de mitigación de las emisiones de gases de efecto invernadero (GEI) condicionarán la senda de desarrollo de los países</w:t>
      </w:r>
      <w:r w:rsidR="008A7348">
        <w:rPr>
          <w:lang w:val="es-ES"/>
        </w:rPr>
        <w:t>, significando una presión adicional sobre los recursos, ya de por sí, escasos</w:t>
      </w:r>
      <w:r w:rsidR="006E5184">
        <w:rPr>
          <w:lang w:val="es-ES"/>
        </w:rPr>
        <w:t xml:space="preserve">. Asimismo, los impactos </w:t>
      </w:r>
      <w:r w:rsidR="005715CA">
        <w:rPr>
          <w:lang w:val="es-ES"/>
        </w:rPr>
        <w:t>esperados tendrán, con algún nivel de certidumbre, efectos negativos sobre el bienestar humano.</w:t>
      </w:r>
    </w:p>
    <w:p w:rsidR="005715CA" w:rsidRDefault="005715CA" w:rsidP="00656BF5">
      <w:pPr>
        <w:rPr>
          <w:lang w:val="es-ES"/>
        </w:rPr>
      </w:pPr>
    </w:p>
    <w:p w:rsidR="0045379A" w:rsidRDefault="00F83CD1" w:rsidP="005715CA">
      <w:pPr>
        <w:ind w:firstLine="567"/>
        <w:rPr>
          <w:lang w:val="es-ES"/>
        </w:rPr>
      </w:pPr>
      <w:r>
        <w:rPr>
          <w:lang w:val="es-ES"/>
        </w:rPr>
        <w:t>La evidencia científica sobre l</w:t>
      </w:r>
      <w:r w:rsidR="006433A1">
        <w:rPr>
          <w:lang w:val="es-ES"/>
        </w:rPr>
        <w:t xml:space="preserve">a incidencia de las actividades humanas </w:t>
      </w:r>
      <w:r>
        <w:rPr>
          <w:lang w:val="es-ES"/>
        </w:rPr>
        <w:t>en</w:t>
      </w:r>
      <w:r w:rsidR="006433A1">
        <w:rPr>
          <w:lang w:val="es-ES"/>
        </w:rPr>
        <w:t xml:space="preserve"> el clima es un hecho</w:t>
      </w:r>
      <w:r>
        <w:rPr>
          <w:lang w:val="es-ES"/>
        </w:rPr>
        <w:t xml:space="preserve"> </w:t>
      </w:r>
      <w:r w:rsidR="00EC455F">
        <w:rPr>
          <w:lang w:val="es-ES"/>
        </w:rPr>
        <w:fldChar w:fldCharType="begin"/>
      </w:r>
      <w:r>
        <w:rPr>
          <w:lang w:val="es-ES"/>
        </w:rPr>
        <w:instrText xml:space="preserve"> ADDIN ZOTERO_ITEM CSL_CITATION {"citationID":"5HJoQlP3","properties":{"formattedCitation":"(IPCC,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EC455F">
        <w:rPr>
          <w:lang w:val="es-ES"/>
        </w:rPr>
        <w:fldChar w:fldCharType="separate"/>
      </w:r>
      <w:r w:rsidRPr="00F83CD1">
        <w:t>(IPCC, 2013)</w:t>
      </w:r>
      <w:r w:rsidR="00EC455F">
        <w:rPr>
          <w:lang w:val="es-ES"/>
        </w:rPr>
        <w:fldChar w:fldCharType="end"/>
      </w:r>
      <w:r w:rsidR="006433A1">
        <w:rPr>
          <w:lang w:val="es-ES"/>
        </w:rPr>
        <w:t xml:space="preserve">. </w:t>
      </w:r>
      <w:r w:rsidR="00656BF5">
        <w:rPr>
          <w:lang w:val="es-ES"/>
        </w:rPr>
        <w:t>Los impactos del cambio clim</w:t>
      </w:r>
      <w:r w:rsidR="006433A1">
        <w:rPr>
          <w:lang w:val="es-ES"/>
        </w:rPr>
        <w:t>ático sobre el bienestar humano.</w:t>
      </w:r>
    </w:p>
    <w:p w:rsidR="0045379A" w:rsidRDefault="0045379A" w:rsidP="00656BF5">
      <w:pPr>
        <w:rPr>
          <w:lang w:val="es-ES"/>
        </w:rPr>
      </w:pPr>
    </w:p>
    <w:p w:rsidR="00F84172" w:rsidRDefault="00F84172" w:rsidP="00656BF5">
      <w:pPr>
        <w:rPr>
          <w:lang w:val="es-ES"/>
        </w:rPr>
      </w:pPr>
    </w:p>
    <w:p w:rsidR="00F84172" w:rsidRDefault="00F84172" w:rsidP="00656BF5">
      <w:pPr>
        <w:rPr>
          <w:lang w:val="es-ES"/>
        </w:rPr>
      </w:pPr>
      <w:r>
        <w:rPr>
          <w:lang w:val="es-ES"/>
        </w:rPr>
        <w:tab/>
        <w:t>Es claro que el crecimiento económico solamente es uno de los factores que inciden en la reducción de los niveles de pobreza. Las políticas de redistribución del ingreso, juegan un papel fundamental. Sin embargo, al enfocarnos en el crecimiento económico, es posible aislar los impactos del cambio climático sobre la pobreza ****.</w:t>
      </w:r>
    </w:p>
    <w:p w:rsidR="00F84172" w:rsidRDefault="00F84172" w:rsidP="00656BF5">
      <w:pPr>
        <w:rPr>
          <w:lang w:val="es-ES"/>
        </w:rPr>
      </w:pPr>
    </w:p>
    <w:p w:rsidR="00F84172" w:rsidRDefault="00F84172" w:rsidP="00656BF5">
      <w:pPr>
        <w:rPr>
          <w:lang w:val="es-ES"/>
        </w:rPr>
      </w:pPr>
    </w:p>
    <w:p w:rsidR="00F84172" w:rsidRDefault="00F84172" w:rsidP="00656BF5">
      <w:pPr>
        <w:rPr>
          <w:lang w:val="es-ES"/>
        </w:rPr>
        <w:sectPr w:rsidR="00F84172" w:rsidSect="0045379A">
          <w:pgSz w:w="12240" w:h="15840"/>
          <w:pgMar w:top="1440" w:right="1440" w:bottom="1440" w:left="1440" w:header="720" w:footer="720" w:gutter="0"/>
          <w:cols w:space="720"/>
          <w:docGrid w:linePitch="360"/>
        </w:sectPr>
      </w:pPr>
    </w:p>
    <w:p w:rsidR="00652C8E" w:rsidRDefault="0045379A" w:rsidP="0045379A">
      <w:pPr>
        <w:pStyle w:val="STituloJerarquia1"/>
        <w:rPr>
          <w:lang w:val="es-ES"/>
        </w:rPr>
      </w:pPr>
      <w:r>
        <w:rPr>
          <w:lang w:val="es-ES"/>
        </w:rPr>
        <w:lastRenderedPageBreak/>
        <w:t>II.</w:t>
      </w:r>
      <w:r>
        <w:rPr>
          <w:lang w:val="es-ES"/>
        </w:rPr>
        <w:tab/>
      </w:r>
      <w:r w:rsidR="00652C8E">
        <w:rPr>
          <w:lang w:val="es-ES"/>
        </w:rPr>
        <w:t>Cambio climático e impactos en el crecimiento</w:t>
      </w:r>
    </w:p>
    <w:p w:rsidR="00652C8E" w:rsidRDefault="00652C8E" w:rsidP="00652C8E">
      <w:pPr>
        <w:rPr>
          <w:lang w:val="es-ES"/>
        </w:rPr>
      </w:pPr>
    </w:p>
    <w:p w:rsidR="00EF27F6" w:rsidRDefault="00EF27F6" w:rsidP="00EF27F6"/>
    <w:p w:rsidR="00EF27F6" w:rsidRDefault="00EF27F6" w:rsidP="00EF27F6">
      <w:pPr>
        <w:pStyle w:val="STituloJerarquia2SINnumeral"/>
        <w:ind w:left="360"/>
      </w:pPr>
    </w:p>
    <w:p w:rsidR="00982BB6" w:rsidRDefault="00982BB6" w:rsidP="00982BB6">
      <w:pPr>
        <w:pStyle w:val="STituloJerarquia2SINnumeral"/>
        <w:numPr>
          <w:ilvl w:val="0"/>
          <w:numId w:val="9"/>
        </w:numPr>
      </w:pPr>
      <w:r>
        <w:t>Tendencia de las emisiones</w:t>
      </w:r>
      <w:r w:rsidR="006B5325">
        <w:t xml:space="preserve"> y contribución de América Latina y el Caribe</w:t>
      </w:r>
      <w:r>
        <w:t>.</w:t>
      </w:r>
    </w:p>
    <w:p w:rsidR="00A73EB0" w:rsidRDefault="00A73EB0" w:rsidP="00CD7CFE">
      <w:pPr>
        <w:rPr>
          <w:lang w:val="es-ES"/>
        </w:rPr>
      </w:pPr>
    </w:p>
    <w:p w:rsidR="00B72AB8" w:rsidRDefault="00537C28" w:rsidP="00B72AB8">
      <w:pPr>
        <w:ind w:firstLine="360"/>
        <w:rPr>
          <w:lang w:val="es-ES"/>
        </w:rPr>
      </w:pPr>
      <w:r>
        <w:rPr>
          <w:lang w:val="es-ES"/>
        </w:rPr>
        <w:t>Las concentraciones de los principales gases de efecto invernadero</w:t>
      </w:r>
      <w:r w:rsidR="00B72AB8">
        <w:rPr>
          <w:lang w:val="es-ES"/>
        </w:rPr>
        <w:t xml:space="preserve"> (dióxido de carbono (CO2), metano (CH4) y óxido </w:t>
      </w:r>
      <w:r w:rsidR="00E230B7">
        <w:rPr>
          <w:lang w:val="es-ES"/>
        </w:rPr>
        <w:t>nitroso</w:t>
      </w:r>
      <w:r w:rsidR="00B72AB8">
        <w:rPr>
          <w:lang w:val="es-ES"/>
        </w:rPr>
        <w:t xml:space="preserve"> (N2O))</w:t>
      </w:r>
      <w:r>
        <w:rPr>
          <w:lang w:val="es-ES"/>
        </w:rPr>
        <w:t xml:space="preserve"> han alcanzado niveles no observados en los últimos 800,000 años </w:t>
      </w:r>
      <w:r w:rsidR="00EC455F">
        <w:rPr>
          <w:lang w:val="es-ES"/>
        </w:rPr>
        <w:fldChar w:fldCharType="begin"/>
      </w:r>
      <w:r>
        <w:rPr>
          <w:lang w:val="es-ES"/>
        </w:rPr>
        <w:instrText xml:space="preserve"> ADDIN ZOTERO_ITEM CSL_CITATION {"citationID":"UPQKXQjE","properties":{"formattedCitation":"(IPCC,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EC455F">
        <w:rPr>
          <w:lang w:val="es-ES"/>
        </w:rPr>
        <w:fldChar w:fldCharType="separate"/>
      </w:r>
      <w:r w:rsidRPr="00537C28">
        <w:t>(IPCC, 2013)</w:t>
      </w:r>
      <w:r w:rsidR="00EC455F">
        <w:rPr>
          <w:lang w:val="es-ES"/>
        </w:rPr>
        <w:fldChar w:fldCharType="end"/>
      </w:r>
      <w:r>
        <w:rPr>
          <w:lang w:val="es-ES"/>
        </w:rPr>
        <w:t xml:space="preserve">. </w:t>
      </w:r>
      <w:r w:rsidR="00B72AB8">
        <w:rPr>
          <w:lang w:val="es-ES"/>
        </w:rPr>
        <w:t>Las concentraciones</w:t>
      </w:r>
      <w:r w:rsidR="00362732">
        <w:rPr>
          <w:lang w:val="es-ES"/>
        </w:rPr>
        <w:t xml:space="preserve"> de CO2 han aumentado de 2</w:t>
      </w:r>
      <w:r w:rsidR="002D0873">
        <w:rPr>
          <w:lang w:val="es-ES"/>
        </w:rPr>
        <w:t>8</w:t>
      </w:r>
      <w:r w:rsidR="00362732">
        <w:rPr>
          <w:lang w:val="es-ES"/>
        </w:rPr>
        <w:t>0 partes por millón (ppm) en la era preindustrial a alrededor de 400 ppm en la actualidad (</w:t>
      </w:r>
      <w:r w:rsidR="005715CA">
        <w:rPr>
          <w:lang w:val="es-ES"/>
        </w:rPr>
        <w:t>3</w:t>
      </w:r>
      <w:r w:rsidR="00362732">
        <w:rPr>
          <w:lang w:val="es-ES"/>
        </w:rPr>
        <w:t>97 ppm en octubre de 2013)</w:t>
      </w:r>
      <w:r w:rsidR="00A73EB0">
        <w:rPr>
          <w:lang w:val="es-ES"/>
        </w:rPr>
        <w:t xml:space="preserve"> </w:t>
      </w:r>
      <w:r w:rsidR="00EC455F">
        <w:rPr>
          <w:lang w:val="es-ES"/>
        </w:rPr>
        <w:fldChar w:fldCharType="begin"/>
      </w:r>
      <w:r w:rsidR="00B72AB8">
        <w:rPr>
          <w:lang w:val="es-ES"/>
        </w:rPr>
        <w:instrText xml:space="preserve"> ADDIN ZOTERO_ITEM CSL_CITATION {"citationID":"pTq3ueDs","properties":{"formattedCitation":"(NOAA, 2013)","plainCitation":"(NOAA, 2013)"},"citationItems":[{"id":4484,"uris":["http://zotero.org/groups/197651/items/2XRN3CK6"],"uri":["http://zotero.org/groups/197651/items/2XRN3CK6"],"itemData":{"id":4484,"type":"webpage","title":"Trends in Carbon Dioxide","abstract":"The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scales.","URL":"http://www.esrl.noaa.gov/gmd/ccgg/trends/","note":"The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scales.","language":"EN-US","author":[{"family":"NOAA","given":""}],"issued":{"date-parts":[["2013"]]},"accessed":{"date-parts":[["2013",8,16]]}}}],"schema":"https://github.com/citation-style-language/schema/raw/master/csl-citation.json"} </w:instrText>
      </w:r>
      <w:r w:rsidR="00EC455F">
        <w:rPr>
          <w:lang w:val="es-ES"/>
        </w:rPr>
        <w:fldChar w:fldCharType="separate"/>
      </w:r>
      <w:r w:rsidR="00B72AB8" w:rsidRPr="00B72AB8">
        <w:t>(NOAA, 2013)</w:t>
      </w:r>
      <w:r w:rsidR="00EC455F">
        <w:rPr>
          <w:lang w:val="es-ES"/>
        </w:rPr>
        <w:fldChar w:fldCharType="end"/>
      </w:r>
      <w:r w:rsidR="00B72AB8">
        <w:rPr>
          <w:lang w:val="es-ES"/>
        </w:rPr>
        <w:t xml:space="preserve"> principalmente derivado de la quema de combustibles fósiles y el cambio de uso de suelo.</w:t>
      </w:r>
      <w:r w:rsidR="00A73EB0">
        <w:rPr>
          <w:lang w:val="es-ES"/>
        </w:rPr>
        <w:t xml:space="preserve"> </w:t>
      </w:r>
      <w:r w:rsidR="00B72AB8">
        <w:rPr>
          <w:lang w:val="es-ES"/>
        </w:rPr>
        <w:t xml:space="preserve">Las concentraciones de metano </w:t>
      </w:r>
    </w:p>
    <w:p w:rsidR="00B72AB8" w:rsidRDefault="00B72AB8" w:rsidP="00B72AB8">
      <w:pPr>
        <w:ind w:firstLine="360"/>
        <w:rPr>
          <w:lang w:val="es-ES"/>
        </w:rPr>
      </w:pPr>
    </w:p>
    <w:p w:rsidR="0004426B" w:rsidRDefault="008D07CD" w:rsidP="00B72AB8">
      <w:pPr>
        <w:ind w:firstLine="360"/>
        <w:rPr>
          <w:lang w:val="es-ES"/>
        </w:rPr>
      </w:pPr>
      <w:r>
        <w:rPr>
          <w:lang w:val="es-ES"/>
        </w:rPr>
        <w:t>Las concentraciones de gases de efecto invernadero</w:t>
      </w:r>
      <w:r w:rsidR="002D0873">
        <w:rPr>
          <w:lang w:val="es-ES"/>
        </w:rPr>
        <w:t xml:space="preserve"> (GEI)</w:t>
      </w:r>
      <w:r w:rsidR="002D0873">
        <w:rPr>
          <w:rStyle w:val="FootnoteReference"/>
          <w:lang w:val="es-ES"/>
        </w:rPr>
        <w:footnoteReference w:id="1"/>
      </w:r>
      <w:r w:rsidR="002D0873">
        <w:rPr>
          <w:lang w:val="es-ES"/>
        </w:rPr>
        <w:t xml:space="preserve">, se encuentran en las 444 ppm </w:t>
      </w:r>
      <w:r w:rsidR="00EC455F">
        <w:rPr>
          <w:lang w:val="es-ES"/>
        </w:rPr>
        <w:fldChar w:fldCharType="begin"/>
      </w:r>
      <w:r w:rsidR="002D0873">
        <w:rPr>
          <w:lang w:val="es-ES"/>
        </w:rPr>
        <w:instrText xml:space="preserve"> ADDIN ZOTERO_ITEM CSL_CITATION {"citationID":"NpqwCmS0","properties":{"formattedCitation":"(EEA, 2013)","plainCitation":"(EEA, 2013)"},"citationItems":[{"id":4639,"uris":["http://zotero.org/users/98373/items/E5E27ECI"],"uri":["http://zotero.org/users/98373/items/E5E27ECI"],"itemData":{"id":4639,"type":"article","title":"Atmospheric greenhouse gas concentrations (CSI 013/CLIM 052) - Assessment published Jan 2013","publisher":"EEA","URL":"http://www.eea.europa.eu/data-and-maps/indicators/atmospheric-greenhouse-gas-concentrations-2/ds_resolveuid/76e1c7bbdcb1400a957d21ac7d4b7865","author":[{"family":"EEA","given":"European Environment Agency"}],"issued":{"date-parts":[["2013",1]]},"accessed":{"date-parts":[["2013",11,25]]}}}],"schema":"https://github.com/citation-style-language/schema/raw/master/csl-citation.json"} </w:instrText>
      </w:r>
      <w:r w:rsidR="00EC455F">
        <w:rPr>
          <w:lang w:val="es-ES"/>
        </w:rPr>
        <w:fldChar w:fldCharType="separate"/>
      </w:r>
      <w:r w:rsidR="002D0873" w:rsidRPr="002D0873">
        <w:t>(EEA, 2013)</w:t>
      </w:r>
      <w:r w:rsidR="00EC455F">
        <w:rPr>
          <w:lang w:val="es-ES"/>
        </w:rPr>
        <w:fldChar w:fldCharType="end"/>
      </w:r>
      <w:r w:rsidR="002D0873">
        <w:rPr>
          <w:lang w:val="es-ES"/>
        </w:rPr>
        <w:t>,  .</w:t>
      </w:r>
    </w:p>
    <w:p w:rsidR="0004426B" w:rsidRDefault="0004426B" w:rsidP="00B72AB8">
      <w:pPr>
        <w:ind w:firstLine="360"/>
        <w:rPr>
          <w:lang w:val="es-ES"/>
        </w:rPr>
      </w:pPr>
    </w:p>
    <w:p w:rsidR="00793E4B" w:rsidRPr="0004426B" w:rsidRDefault="0004426B" w:rsidP="0004426B">
      <w:pPr>
        <w:pStyle w:val="Caption"/>
        <w:spacing w:after="0"/>
        <w:jc w:val="center"/>
        <w:rPr>
          <w:rFonts w:ascii="Arial" w:hAnsi="Arial" w:cs="Arial"/>
          <w:color w:val="auto"/>
        </w:rPr>
      </w:pPr>
      <w:r w:rsidRPr="0004426B">
        <w:rPr>
          <w:rFonts w:ascii="Arial" w:hAnsi="Arial" w:cs="Arial"/>
          <w:color w:val="auto"/>
        </w:rPr>
        <w:t xml:space="preserve">CUADRO </w:t>
      </w:r>
      <w:r w:rsidR="00EC455F" w:rsidRPr="0004426B">
        <w:rPr>
          <w:rFonts w:ascii="Arial" w:hAnsi="Arial" w:cs="Arial"/>
          <w:color w:val="auto"/>
        </w:rPr>
        <w:fldChar w:fldCharType="begin"/>
      </w:r>
      <w:r w:rsidRPr="0004426B">
        <w:rPr>
          <w:rFonts w:ascii="Arial" w:hAnsi="Arial" w:cs="Arial"/>
          <w:color w:val="auto"/>
        </w:rPr>
        <w:instrText xml:space="preserve"> SEQ CUADRO \* ARABIC </w:instrText>
      </w:r>
      <w:r w:rsidR="00EC455F" w:rsidRPr="0004426B">
        <w:rPr>
          <w:rFonts w:ascii="Arial" w:hAnsi="Arial" w:cs="Arial"/>
          <w:color w:val="auto"/>
        </w:rPr>
        <w:fldChar w:fldCharType="separate"/>
      </w:r>
      <w:r w:rsidRPr="0004426B">
        <w:rPr>
          <w:rFonts w:ascii="Arial" w:hAnsi="Arial" w:cs="Arial"/>
          <w:noProof/>
          <w:color w:val="auto"/>
        </w:rPr>
        <w:t>1</w:t>
      </w:r>
      <w:r w:rsidR="00EC455F" w:rsidRPr="0004426B">
        <w:rPr>
          <w:rFonts w:ascii="Arial" w:hAnsi="Arial" w:cs="Arial"/>
          <w:color w:val="auto"/>
        </w:rPr>
        <w:fldChar w:fldCharType="end"/>
      </w:r>
    </w:p>
    <w:p w:rsidR="0004426B" w:rsidRPr="0004426B" w:rsidRDefault="0004426B" w:rsidP="0004426B">
      <w:pPr>
        <w:jc w:val="center"/>
        <w:rPr>
          <w:b/>
        </w:rPr>
      </w:pPr>
      <w:r w:rsidRPr="0004426B">
        <w:rPr>
          <w:rFonts w:ascii="Arial" w:hAnsi="Arial" w:cs="Arial"/>
          <w:b/>
          <w:sz w:val="18"/>
          <w:szCs w:val="18"/>
        </w:rPr>
        <w:t>CONCENTRACIONES ACTUALES DE DIÓXIDO DE CARBONO, METANO Y OXIDO NITROSO EN LA ATMÓSFERA</w:t>
      </w:r>
      <w:r w:rsidR="00EC455F">
        <w:rPr>
          <w:rFonts w:ascii="Arial" w:hAnsi="Arial" w:cs="Arial"/>
          <w:b/>
          <w:sz w:val="18"/>
          <w:szCs w:val="18"/>
        </w:rPr>
        <w:fldChar w:fldCharType="begin"/>
      </w:r>
      <w:r w:rsidR="00F74D5A">
        <w:instrText xml:space="preserve"> XE "</w:instrText>
      </w:r>
      <w:r w:rsidR="00F74D5A" w:rsidRPr="00213E46">
        <w:rPr>
          <w:rFonts w:ascii="Arial" w:hAnsi="Arial" w:cs="Arial"/>
        </w:rPr>
        <w:instrText xml:space="preserve">CUADRO </w:instrText>
      </w:r>
      <w:r w:rsidR="00F74D5A" w:rsidRPr="00213E46">
        <w:rPr>
          <w:rFonts w:ascii="Arial" w:hAnsi="Arial" w:cs="Arial"/>
          <w:noProof/>
        </w:rPr>
        <w:instrText>1</w:instrText>
      </w:r>
      <w:r w:rsidR="00F74D5A">
        <w:instrText xml:space="preserve">" </w:instrText>
      </w:r>
      <w:r w:rsidR="00EC455F">
        <w:rPr>
          <w:rFonts w:ascii="Arial" w:hAnsi="Arial" w:cs="Arial"/>
          <w:b/>
          <w:sz w:val="18"/>
          <w:szCs w:val="18"/>
        </w:rPr>
        <w:fldChar w:fldCharType="end"/>
      </w:r>
    </w:p>
    <w:tbl>
      <w:tblPr>
        <w:tblStyle w:val="LightShading1"/>
        <w:tblW w:w="0" w:type="auto"/>
        <w:jc w:val="center"/>
        <w:tblLook w:val="06A0"/>
      </w:tblPr>
      <w:tblGrid>
        <w:gridCol w:w="1926"/>
        <w:gridCol w:w="1567"/>
        <w:gridCol w:w="957"/>
        <w:gridCol w:w="1067"/>
        <w:gridCol w:w="1117"/>
      </w:tblGrid>
      <w:tr w:rsidR="00F31A77" w:rsidRPr="008B4B12" w:rsidTr="00681090">
        <w:trPr>
          <w:cnfStyle w:val="100000000000"/>
          <w:trHeight w:val="300"/>
          <w:jc w:val="center"/>
        </w:trPr>
        <w:tc>
          <w:tcPr>
            <w:cnfStyle w:val="001000000000"/>
            <w:tcW w:w="0" w:type="auto"/>
            <w:vMerge w:val="restart"/>
            <w:tcBorders>
              <w:bottom w:val="single" w:sz="4" w:space="0" w:color="auto"/>
            </w:tcBorders>
            <w:noWrap/>
            <w:vAlign w:val="center"/>
            <w:hideMark/>
          </w:tcPr>
          <w:p w:rsidR="00F31A77" w:rsidRPr="008B4B12" w:rsidRDefault="00F31A77" w:rsidP="00F51DAC">
            <w:pPr>
              <w:jc w:val="center"/>
              <w:rPr>
                <w:rFonts w:ascii="Arial" w:hAnsi="Arial" w:cs="Arial"/>
                <w:color w:val="000000"/>
                <w:sz w:val="18"/>
                <w:szCs w:val="22"/>
                <w:lang w:val="es-ES"/>
              </w:rPr>
            </w:pPr>
            <w:r w:rsidRPr="008B4B12">
              <w:rPr>
                <w:rFonts w:ascii="Arial" w:hAnsi="Arial" w:cs="Arial"/>
                <w:color w:val="000000"/>
                <w:sz w:val="18"/>
                <w:szCs w:val="22"/>
                <w:lang w:val="es-ES"/>
              </w:rPr>
              <w:t>Gas</w:t>
            </w:r>
          </w:p>
        </w:tc>
        <w:tc>
          <w:tcPr>
            <w:tcW w:w="0" w:type="auto"/>
            <w:vMerge w:val="restart"/>
            <w:tcBorders>
              <w:bottom w:val="single" w:sz="4" w:space="0" w:color="auto"/>
            </w:tcBorders>
            <w:noWrap/>
            <w:vAlign w:val="center"/>
            <w:hideMark/>
          </w:tcPr>
          <w:p w:rsidR="00F31A77" w:rsidRPr="008B4B12" w:rsidRDefault="00F31A77" w:rsidP="00F51DAC">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Unidad</w:t>
            </w:r>
          </w:p>
        </w:tc>
        <w:tc>
          <w:tcPr>
            <w:tcW w:w="0" w:type="auto"/>
            <w:gridSpan w:val="3"/>
            <w:tcBorders>
              <w:bottom w:val="single" w:sz="4" w:space="0" w:color="auto"/>
            </w:tcBorders>
            <w:noWrap/>
            <w:vAlign w:val="center"/>
            <w:hideMark/>
          </w:tcPr>
          <w:p w:rsidR="00F31A77" w:rsidRPr="008B4B12" w:rsidRDefault="00F31A77" w:rsidP="00F51DAC">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Concentraciones en la tropósfera</w:t>
            </w:r>
          </w:p>
        </w:tc>
      </w:tr>
      <w:tr w:rsidR="00F51DAC" w:rsidRPr="008B4B12" w:rsidTr="00681090">
        <w:trPr>
          <w:trHeight w:val="300"/>
          <w:jc w:val="center"/>
        </w:trPr>
        <w:tc>
          <w:tcPr>
            <w:cnfStyle w:val="001000000000"/>
            <w:tcW w:w="0" w:type="auto"/>
            <w:vMerge/>
            <w:tcBorders>
              <w:top w:val="nil"/>
              <w:bottom w:val="single" w:sz="4" w:space="0" w:color="auto"/>
            </w:tcBorders>
            <w:noWrap/>
            <w:vAlign w:val="center"/>
            <w:hideMark/>
          </w:tcPr>
          <w:p w:rsidR="00F51DAC" w:rsidRPr="008B4B12" w:rsidRDefault="00F51DAC" w:rsidP="00F51DAC">
            <w:pPr>
              <w:jc w:val="center"/>
              <w:rPr>
                <w:rFonts w:ascii="Arial" w:hAnsi="Arial" w:cs="Arial"/>
                <w:color w:val="000000"/>
                <w:sz w:val="18"/>
                <w:szCs w:val="22"/>
                <w:lang w:val="es-ES"/>
              </w:rPr>
            </w:pPr>
          </w:p>
        </w:tc>
        <w:tc>
          <w:tcPr>
            <w:tcW w:w="0" w:type="auto"/>
            <w:vMerge/>
            <w:tcBorders>
              <w:top w:val="nil"/>
              <w:bottom w:val="single" w:sz="4" w:space="0" w:color="auto"/>
            </w:tcBorders>
            <w:noWrap/>
            <w:vAlign w:val="center"/>
            <w:hideMark/>
          </w:tcPr>
          <w:p w:rsidR="00F51DAC" w:rsidRPr="008B4B12" w:rsidRDefault="00F51DAC" w:rsidP="00F51DAC">
            <w:pPr>
              <w:jc w:val="center"/>
              <w:cnfStyle w:val="000000000000"/>
              <w:rPr>
                <w:rFonts w:ascii="Arial" w:hAnsi="Arial" w:cs="Arial"/>
                <w:color w:val="000000"/>
                <w:sz w:val="18"/>
                <w:szCs w:val="22"/>
                <w:lang w:val="es-ES"/>
              </w:rPr>
            </w:pPr>
          </w:p>
        </w:tc>
        <w:tc>
          <w:tcPr>
            <w:tcW w:w="0" w:type="auto"/>
            <w:tcBorders>
              <w:top w:val="single" w:sz="4" w:space="0" w:color="auto"/>
              <w:bottom w:val="single" w:sz="4" w:space="0" w:color="auto"/>
            </w:tcBorders>
            <w:noWrap/>
            <w:vAlign w:val="center"/>
            <w:hideMark/>
          </w:tcPr>
          <w:p w:rsidR="00F51DAC" w:rsidRPr="008B4B12" w:rsidRDefault="00F51DAC" w:rsidP="00F51DAC">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Pre-1750</w:t>
            </w:r>
          </w:p>
        </w:tc>
        <w:tc>
          <w:tcPr>
            <w:tcW w:w="0" w:type="auto"/>
            <w:tcBorders>
              <w:top w:val="single" w:sz="4" w:space="0" w:color="auto"/>
              <w:bottom w:val="single" w:sz="4" w:space="0" w:color="auto"/>
            </w:tcBorders>
            <w:noWrap/>
            <w:vAlign w:val="center"/>
            <w:hideMark/>
          </w:tcPr>
          <w:p w:rsidR="00F51DAC" w:rsidRPr="008B4B12" w:rsidRDefault="00F51DAC" w:rsidP="00F51DAC">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Actuales</w:t>
            </w:r>
          </w:p>
        </w:tc>
        <w:tc>
          <w:tcPr>
            <w:tcW w:w="0" w:type="auto"/>
            <w:tcBorders>
              <w:top w:val="single" w:sz="4" w:space="0" w:color="auto"/>
              <w:bottom w:val="single" w:sz="4" w:space="0" w:color="auto"/>
            </w:tcBorders>
          </w:tcPr>
          <w:p w:rsidR="00F51DAC" w:rsidRPr="008B4B12" w:rsidRDefault="00F51DAC" w:rsidP="00F51DAC">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Incremento</w:t>
            </w:r>
          </w:p>
          <w:p w:rsidR="00F51DAC" w:rsidRPr="008B4B12" w:rsidRDefault="00F51DAC" w:rsidP="00F51DAC">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
        </w:tc>
      </w:tr>
      <w:tr w:rsidR="00F51DAC" w:rsidRPr="008B4B12" w:rsidTr="00BD0D08">
        <w:trPr>
          <w:trHeight w:val="300"/>
          <w:jc w:val="center"/>
        </w:trPr>
        <w:tc>
          <w:tcPr>
            <w:cnfStyle w:val="001000000000"/>
            <w:tcW w:w="0" w:type="auto"/>
            <w:tcBorders>
              <w:top w:val="single" w:sz="4" w:space="0" w:color="auto"/>
            </w:tcBorders>
            <w:noWrap/>
            <w:vAlign w:val="center"/>
            <w:hideMark/>
          </w:tcPr>
          <w:p w:rsidR="00F51DAC" w:rsidRPr="008B4B12" w:rsidRDefault="00F51DAC" w:rsidP="00F51DAC">
            <w:pPr>
              <w:jc w:val="center"/>
              <w:rPr>
                <w:rFonts w:ascii="Arial" w:hAnsi="Arial" w:cs="Arial"/>
                <w:color w:val="000000"/>
                <w:sz w:val="18"/>
                <w:szCs w:val="22"/>
                <w:lang w:val="es-ES"/>
              </w:rPr>
            </w:pPr>
            <w:proofErr w:type="spellStart"/>
            <w:r w:rsidRPr="008B4B12">
              <w:rPr>
                <w:rFonts w:ascii="Arial" w:hAnsi="Arial" w:cs="Arial"/>
                <w:color w:val="000000"/>
                <w:sz w:val="18"/>
                <w:szCs w:val="22"/>
                <w:lang w:val="es-ES"/>
              </w:rPr>
              <w:t>Díoxido</w:t>
            </w:r>
            <w:proofErr w:type="spellEnd"/>
            <w:r w:rsidRPr="008B4B12">
              <w:rPr>
                <w:rFonts w:ascii="Arial" w:hAnsi="Arial" w:cs="Arial"/>
                <w:color w:val="000000"/>
                <w:sz w:val="18"/>
                <w:szCs w:val="22"/>
                <w:lang w:val="es-ES"/>
              </w:rPr>
              <w:t xml:space="preserve"> de Carbono</w:t>
            </w:r>
          </w:p>
          <w:p w:rsidR="00F51DAC" w:rsidRPr="008B4B12" w:rsidRDefault="00F51DAC" w:rsidP="00F51DAC">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CO</w:t>
            </w:r>
            <w:r w:rsidRPr="008B4B12">
              <w:rPr>
                <w:rFonts w:ascii="Arial" w:hAnsi="Arial" w:cs="Arial"/>
                <w:b w:val="0"/>
                <w:i/>
                <w:color w:val="000000"/>
                <w:sz w:val="18"/>
                <w:szCs w:val="22"/>
                <w:vertAlign w:val="subscript"/>
                <w:lang w:val="es-ES"/>
              </w:rPr>
              <w:t>2</w:t>
            </w:r>
          </w:p>
        </w:tc>
        <w:tc>
          <w:tcPr>
            <w:tcW w:w="0" w:type="auto"/>
            <w:tcBorders>
              <w:top w:val="single" w:sz="4" w:space="0" w:color="auto"/>
            </w:tcBorders>
            <w:noWrap/>
            <w:vAlign w:val="center"/>
            <w:hideMark/>
          </w:tcPr>
          <w:p w:rsidR="00F51DAC" w:rsidRPr="008B4B12" w:rsidRDefault="00F51DAC"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Partes por millón</w:t>
            </w:r>
          </w:p>
          <w:p w:rsidR="00F51DAC" w:rsidRPr="008B4B12" w:rsidRDefault="00F51DAC" w:rsidP="00F51DAC">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(ppm)</w:t>
            </w:r>
          </w:p>
        </w:tc>
        <w:tc>
          <w:tcPr>
            <w:tcW w:w="0" w:type="auto"/>
            <w:tcBorders>
              <w:top w:val="single" w:sz="4" w:space="0" w:color="auto"/>
            </w:tcBorders>
            <w:noWrap/>
            <w:vAlign w:val="center"/>
            <w:hideMark/>
          </w:tcPr>
          <w:p w:rsidR="00F51DAC" w:rsidRPr="008B4B12" w:rsidRDefault="005E2F79"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w:t>
            </w:r>
            <w:r w:rsidR="00F51DAC" w:rsidRPr="008B4B12">
              <w:rPr>
                <w:rFonts w:ascii="Arial" w:hAnsi="Arial" w:cs="Arial"/>
                <w:color w:val="000000"/>
                <w:sz w:val="18"/>
                <w:szCs w:val="22"/>
                <w:lang w:val="es-ES"/>
              </w:rPr>
              <w:t>280</w:t>
            </w:r>
          </w:p>
        </w:tc>
        <w:tc>
          <w:tcPr>
            <w:tcW w:w="0" w:type="auto"/>
            <w:tcBorders>
              <w:top w:val="single" w:sz="4" w:space="0" w:color="auto"/>
            </w:tcBorders>
            <w:noWrap/>
            <w:vAlign w:val="center"/>
            <w:hideMark/>
          </w:tcPr>
          <w:p w:rsidR="00F51DAC" w:rsidRPr="008B4B12" w:rsidRDefault="00F51DAC"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397</w:t>
            </w:r>
          </w:p>
        </w:tc>
        <w:tc>
          <w:tcPr>
            <w:tcW w:w="0" w:type="auto"/>
            <w:tcBorders>
              <w:top w:val="single" w:sz="4" w:space="0" w:color="auto"/>
            </w:tcBorders>
            <w:vAlign w:val="center"/>
          </w:tcPr>
          <w:p w:rsidR="00F51DAC" w:rsidRPr="008B4B12" w:rsidRDefault="00BD0D08" w:rsidP="00BD0D08">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42</w:t>
            </w:r>
          </w:p>
        </w:tc>
      </w:tr>
      <w:tr w:rsidR="00F51DAC" w:rsidRPr="008B4B12" w:rsidTr="00BD0D08">
        <w:trPr>
          <w:trHeight w:val="300"/>
          <w:jc w:val="center"/>
        </w:trPr>
        <w:tc>
          <w:tcPr>
            <w:cnfStyle w:val="001000000000"/>
            <w:tcW w:w="0" w:type="auto"/>
            <w:noWrap/>
            <w:vAlign w:val="center"/>
            <w:hideMark/>
          </w:tcPr>
          <w:p w:rsidR="00F51DAC" w:rsidRPr="008B4B12" w:rsidRDefault="00F51DAC" w:rsidP="00F51DAC">
            <w:pPr>
              <w:jc w:val="center"/>
              <w:rPr>
                <w:rFonts w:ascii="Arial" w:hAnsi="Arial" w:cs="Arial"/>
                <w:color w:val="000000"/>
                <w:sz w:val="18"/>
                <w:szCs w:val="22"/>
                <w:lang w:val="es-ES"/>
              </w:rPr>
            </w:pPr>
            <w:r w:rsidRPr="008B4B12">
              <w:rPr>
                <w:rFonts w:ascii="Arial" w:hAnsi="Arial" w:cs="Arial"/>
                <w:color w:val="000000"/>
                <w:sz w:val="18"/>
                <w:szCs w:val="22"/>
                <w:lang w:val="es-ES"/>
              </w:rPr>
              <w:t>Metano</w:t>
            </w:r>
          </w:p>
          <w:p w:rsidR="00F51DAC" w:rsidRPr="008B4B12" w:rsidRDefault="00F51DAC" w:rsidP="00F51DAC">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CH</w:t>
            </w:r>
            <w:r w:rsidRPr="008B4B12">
              <w:rPr>
                <w:rFonts w:ascii="Arial" w:hAnsi="Arial" w:cs="Arial"/>
                <w:b w:val="0"/>
                <w:i/>
                <w:color w:val="000000"/>
                <w:sz w:val="18"/>
                <w:szCs w:val="22"/>
                <w:vertAlign w:val="subscript"/>
                <w:lang w:val="es-ES"/>
              </w:rPr>
              <w:t>4</w:t>
            </w:r>
          </w:p>
        </w:tc>
        <w:tc>
          <w:tcPr>
            <w:tcW w:w="0" w:type="auto"/>
            <w:noWrap/>
            <w:vAlign w:val="center"/>
            <w:hideMark/>
          </w:tcPr>
          <w:p w:rsidR="00F51DAC" w:rsidRPr="008B4B12" w:rsidRDefault="00F51DAC"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Partes por billón</w:t>
            </w:r>
          </w:p>
          <w:p w:rsidR="00F51DAC" w:rsidRPr="008B4B12" w:rsidRDefault="00F51DAC" w:rsidP="00F51DAC">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ppb</w:t>
            </w:r>
            <w:proofErr w:type="spellEnd"/>
            <w:r w:rsidRPr="008B4B12">
              <w:rPr>
                <w:rFonts w:ascii="Arial" w:hAnsi="Arial" w:cs="Arial"/>
                <w:i/>
                <w:color w:val="000000"/>
                <w:sz w:val="18"/>
                <w:szCs w:val="22"/>
                <w:lang w:val="es-ES"/>
              </w:rPr>
              <w:t>)</w:t>
            </w:r>
          </w:p>
        </w:tc>
        <w:tc>
          <w:tcPr>
            <w:tcW w:w="0" w:type="auto"/>
            <w:noWrap/>
            <w:vAlign w:val="center"/>
            <w:hideMark/>
          </w:tcPr>
          <w:p w:rsidR="00F51DAC" w:rsidRPr="008B4B12" w:rsidRDefault="005E2F79"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w:t>
            </w:r>
            <w:r w:rsidR="00F51DAC" w:rsidRPr="008B4B12">
              <w:rPr>
                <w:rFonts w:ascii="Arial" w:hAnsi="Arial" w:cs="Arial"/>
                <w:color w:val="000000"/>
                <w:sz w:val="18"/>
                <w:szCs w:val="22"/>
                <w:lang w:val="es-ES"/>
              </w:rPr>
              <w:t>700</w:t>
            </w:r>
          </w:p>
        </w:tc>
        <w:tc>
          <w:tcPr>
            <w:tcW w:w="0" w:type="auto"/>
            <w:noWrap/>
            <w:vAlign w:val="center"/>
            <w:hideMark/>
          </w:tcPr>
          <w:p w:rsidR="00F51DAC" w:rsidRPr="008B4B12" w:rsidRDefault="00F51DAC"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1874/1758</w:t>
            </w:r>
          </w:p>
        </w:tc>
        <w:tc>
          <w:tcPr>
            <w:tcW w:w="0" w:type="auto"/>
            <w:vAlign w:val="center"/>
          </w:tcPr>
          <w:p w:rsidR="00F51DAC" w:rsidRPr="008B4B12" w:rsidRDefault="00BD0D08" w:rsidP="00BD0D08">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159</w:t>
            </w:r>
          </w:p>
        </w:tc>
      </w:tr>
      <w:tr w:rsidR="00F51DAC" w:rsidRPr="008B4B12" w:rsidTr="00BD0D08">
        <w:trPr>
          <w:trHeight w:val="300"/>
          <w:jc w:val="center"/>
        </w:trPr>
        <w:tc>
          <w:tcPr>
            <w:cnfStyle w:val="001000000000"/>
            <w:tcW w:w="0" w:type="auto"/>
            <w:noWrap/>
            <w:vAlign w:val="center"/>
            <w:hideMark/>
          </w:tcPr>
          <w:p w:rsidR="00F51DAC" w:rsidRPr="008B4B12" w:rsidRDefault="00F51DAC" w:rsidP="00F51DAC">
            <w:pPr>
              <w:jc w:val="center"/>
              <w:rPr>
                <w:rFonts w:ascii="Arial" w:hAnsi="Arial" w:cs="Arial"/>
                <w:color w:val="000000"/>
                <w:sz w:val="18"/>
                <w:szCs w:val="22"/>
                <w:lang w:val="es-ES"/>
              </w:rPr>
            </w:pPr>
            <w:r w:rsidRPr="008B4B12">
              <w:rPr>
                <w:rFonts w:ascii="Arial" w:hAnsi="Arial" w:cs="Arial"/>
                <w:color w:val="000000"/>
                <w:sz w:val="18"/>
                <w:szCs w:val="22"/>
                <w:lang w:val="es-ES"/>
              </w:rPr>
              <w:lastRenderedPageBreak/>
              <w:t>Oxido Nitroso</w:t>
            </w:r>
          </w:p>
          <w:p w:rsidR="00F51DAC" w:rsidRPr="008B4B12" w:rsidRDefault="00F51DAC" w:rsidP="00F51DAC">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NO</w:t>
            </w:r>
            <w:r w:rsidRPr="008B4B12">
              <w:rPr>
                <w:rFonts w:ascii="Arial" w:hAnsi="Arial" w:cs="Arial"/>
                <w:b w:val="0"/>
                <w:i/>
                <w:color w:val="000000"/>
                <w:sz w:val="18"/>
                <w:szCs w:val="22"/>
                <w:vertAlign w:val="subscript"/>
                <w:lang w:val="es-ES"/>
              </w:rPr>
              <w:t>2</w:t>
            </w:r>
          </w:p>
        </w:tc>
        <w:tc>
          <w:tcPr>
            <w:tcW w:w="0" w:type="auto"/>
            <w:noWrap/>
            <w:vAlign w:val="center"/>
            <w:hideMark/>
          </w:tcPr>
          <w:p w:rsidR="00F51DAC" w:rsidRPr="008B4B12" w:rsidRDefault="00F51DAC"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Partes por billón</w:t>
            </w:r>
          </w:p>
          <w:p w:rsidR="00F51DAC" w:rsidRPr="008B4B12" w:rsidRDefault="00F51DAC" w:rsidP="00F51DAC">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ppb</w:t>
            </w:r>
            <w:proofErr w:type="spellEnd"/>
            <w:r w:rsidRPr="008B4B12">
              <w:rPr>
                <w:rFonts w:ascii="Arial" w:hAnsi="Arial" w:cs="Arial"/>
                <w:i/>
                <w:color w:val="000000"/>
                <w:sz w:val="18"/>
                <w:szCs w:val="22"/>
                <w:lang w:val="es-ES"/>
              </w:rPr>
              <w:t>)</w:t>
            </w:r>
          </w:p>
        </w:tc>
        <w:tc>
          <w:tcPr>
            <w:tcW w:w="0" w:type="auto"/>
            <w:noWrap/>
            <w:vAlign w:val="center"/>
            <w:hideMark/>
          </w:tcPr>
          <w:p w:rsidR="00F51DAC" w:rsidRPr="008B4B12" w:rsidRDefault="005E2F79"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w:t>
            </w:r>
            <w:r w:rsidR="00F51DAC" w:rsidRPr="008B4B12">
              <w:rPr>
                <w:rFonts w:ascii="Arial" w:hAnsi="Arial" w:cs="Arial"/>
                <w:color w:val="000000"/>
                <w:sz w:val="18"/>
                <w:szCs w:val="22"/>
                <w:lang w:val="es-ES"/>
              </w:rPr>
              <w:t>270</w:t>
            </w:r>
          </w:p>
        </w:tc>
        <w:tc>
          <w:tcPr>
            <w:tcW w:w="0" w:type="auto"/>
            <w:noWrap/>
            <w:vAlign w:val="center"/>
            <w:hideMark/>
          </w:tcPr>
          <w:p w:rsidR="00F51DAC" w:rsidRPr="008B4B12" w:rsidRDefault="00F51DAC" w:rsidP="00F51DAC">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324/323</w:t>
            </w:r>
          </w:p>
        </w:tc>
        <w:tc>
          <w:tcPr>
            <w:tcW w:w="0" w:type="auto"/>
            <w:vAlign w:val="center"/>
          </w:tcPr>
          <w:p w:rsidR="00F51DAC" w:rsidRPr="008B4B12" w:rsidRDefault="00BD0D08" w:rsidP="00BD0D08">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20</w:t>
            </w:r>
          </w:p>
        </w:tc>
      </w:tr>
    </w:tbl>
    <w:p w:rsidR="00982BB6" w:rsidRPr="008B4B12" w:rsidRDefault="00292840" w:rsidP="008B4B12">
      <w:pPr>
        <w:ind w:left="1350" w:right="1350"/>
        <w:rPr>
          <w:rFonts w:ascii="Arial" w:hAnsi="Arial" w:cs="Arial"/>
          <w:sz w:val="16"/>
          <w:lang w:val="es-ES"/>
        </w:rPr>
      </w:pPr>
      <w:r w:rsidRPr="008B4B12">
        <w:rPr>
          <w:rFonts w:ascii="Arial" w:hAnsi="Arial" w:cs="Arial"/>
          <w:sz w:val="16"/>
          <w:lang w:val="es-ES"/>
        </w:rPr>
        <w:t xml:space="preserve">Fuente: Elaboración propia con datos de CDIAC, </w:t>
      </w:r>
      <w:proofErr w:type="spellStart"/>
      <w:r w:rsidRPr="008B4B12">
        <w:rPr>
          <w:rFonts w:ascii="Arial" w:hAnsi="Arial" w:cs="Arial"/>
          <w:sz w:val="16"/>
          <w:lang w:val="es-ES"/>
        </w:rPr>
        <w:t>Carbon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Dioxide</w:t>
      </w:r>
      <w:proofErr w:type="spellEnd"/>
      <w:r w:rsidRPr="008B4B12">
        <w:rPr>
          <w:rFonts w:ascii="Arial" w:hAnsi="Arial" w:cs="Arial"/>
          <w:sz w:val="16"/>
          <w:lang w:val="es-ES"/>
        </w:rPr>
        <w:t xml:space="preserve"> </w:t>
      </w:r>
      <w:proofErr w:type="spellStart"/>
      <w:r w:rsidRPr="008B4B12">
        <w:rPr>
          <w:rFonts w:ascii="Arial" w:hAnsi="Arial" w:cs="Arial"/>
          <w:sz w:val="16"/>
          <w:lang w:val="es-ES"/>
        </w:rPr>
        <w:t>Information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Analysis</w:t>
      </w:r>
      <w:proofErr w:type="spellEnd"/>
      <w:r w:rsidRPr="008B4B12">
        <w:rPr>
          <w:rFonts w:ascii="Arial" w:hAnsi="Arial" w:cs="Arial"/>
          <w:sz w:val="16"/>
          <w:lang w:val="es-ES"/>
        </w:rPr>
        <w:t xml:space="preserve"> Center (2013), «</w:t>
      </w:r>
      <w:proofErr w:type="spellStart"/>
      <w:r w:rsidRPr="008B4B12">
        <w:rPr>
          <w:rFonts w:ascii="Arial" w:hAnsi="Arial" w:cs="Arial"/>
          <w:sz w:val="16"/>
          <w:lang w:val="es-ES"/>
        </w:rPr>
        <w:t>Recent</w:t>
      </w:r>
      <w:proofErr w:type="spellEnd"/>
      <w:r w:rsidRPr="008B4B12">
        <w:rPr>
          <w:rFonts w:ascii="Arial" w:hAnsi="Arial" w:cs="Arial"/>
          <w:sz w:val="16"/>
          <w:lang w:val="es-ES"/>
        </w:rPr>
        <w:t xml:space="preserve"> </w:t>
      </w:r>
      <w:proofErr w:type="spellStart"/>
      <w:r w:rsidRPr="008B4B12">
        <w:rPr>
          <w:rFonts w:ascii="Arial" w:hAnsi="Arial" w:cs="Arial"/>
          <w:sz w:val="16"/>
          <w:lang w:val="es-ES"/>
        </w:rPr>
        <w:t>Greenhouse</w:t>
      </w:r>
      <w:proofErr w:type="spellEnd"/>
      <w:r w:rsidRPr="008B4B12">
        <w:rPr>
          <w:rFonts w:ascii="Arial" w:hAnsi="Arial" w:cs="Arial"/>
          <w:sz w:val="16"/>
          <w:lang w:val="es-ES"/>
        </w:rPr>
        <w:t xml:space="preserve"> Gas </w:t>
      </w:r>
      <w:proofErr w:type="spellStart"/>
      <w:r w:rsidRPr="008B4B12">
        <w:rPr>
          <w:rFonts w:ascii="Arial" w:hAnsi="Arial" w:cs="Arial"/>
          <w:sz w:val="16"/>
          <w:lang w:val="es-ES"/>
        </w:rPr>
        <w:t>Concentrations</w:t>
      </w:r>
      <w:proofErr w:type="spellEnd"/>
      <w:r w:rsidRPr="008B4B12">
        <w:rPr>
          <w:rFonts w:ascii="Arial" w:hAnsi="Arial" w:cs="Arial"/>
          <w:sz w:val="16"/>
          <w:lang w:val="es-ES"/>
        </w:rPr>
        <w:t>», [en línea] &lt;http://cdiac.ornl.gov/pns/current_ghg.html&gt; [fecha de consulta: 2 de diciembre de 2013].</w:t>
      </w:r>
    </w:p>
    <w:p w:rsidR="00292840" w:rsidRDefault="00292840" w:rsidP="008B4B12">
      <w:pPr>
        <w:ind w:left="1350" w:right="1350"/>
        <w:rPr>
          <w:lang w:val="es-ES"/>
        </w:rPr>
      </w:pPr>
      <w:r w:rsidRPr="008B4B12">
        <w:rPr>
          <w:rFonts w:ascii="Arial" w:hAnsi="Arial" w:cs="Arial"/>
          <w:sz w:val="16"/>
          <w:lang w:val="es-ES"/>
        </w:rPr>
        <w:t>Nota: El dato actual de CO</w:t>
      </w:r>
      <w:r w:rsidRPr="008B4B12">
        <w:rPr>
          <w:rFonts w:ascii="Arial" w:hAnsi="Arial" w:cs="Arial"/>
          <w:sz w:val="16"/>
          <w:vertAlign w:val="subscript"/>
          <w:lang w:val="es-ES"/>
        </w:rPr>
        <w:t>2</w:t>
      </w:r>
      <w:r w:rsidRPr="008B4B12">
        <w:rPr>
          <w:rFonts w:ascii="Arial" w:hAnsi="Arial" w:cs="Arial"/>
          <w:sz w:val="16"/>
          <w:lang w:val="es-ES"/>
        </w:rPr>
        <w:t xml:space="preserve"> se refiere a las concentraciones registradas en octubre de 2013</w:t>
      </w:r>
      <w:r w:rsidR="0004426B" w:rsidRPr="008B4B12">
        <w:rPr>
          <w:rFonts w:ascii="Arial" w:hAnsi="Arial" w:cs="Arial"/>
          <w:sz w:val="16"/>
          <w:lang w:val="es-ES"/>
        </w:rPr>
        <w:t xml:space="preserve"> (http://www.esrl.noaa.gov/gmd/ccgg/trends/)</w:t>
      </w:r>
      <w:r w:rsidRPr="008B4B12">
        <w:rPr>
          <w:rFonts w:ascii="Arial" w:hAnsi="Arial" w:cs="Arial"/>
          <w:sz w:val="16"/>
          <w:lang w:val="es-ES"/>
        </w:rPr>
        <w:t>. Para el caso de los CH</w:t>
      </w:r>
      <w:r w:rsidRPr="008B4B12">
        <w:rPr>
          <w:rFonts w:ascii="Arial" w:hAnsi="Arial" w:cs="Arial"/>
          <w:sz w:val="16"/>
          <w:vertAlign w:val="subscript"/>
          <w:lang w:val="es-ES"/>
        </w:rPr>
        <w:t>4</w:t>
      </w:r>
      <w:r w:rsidRPr="008B4B12">
        <w:rPr>
          <w:rFonts w:ascii="Arial" w:hAnsi="Arial" w:cs="Arial"/>
          <w:sz w:val="16"/>
          <w:lang w:val="es-ES"/>
        </w:rPr>
        <w:t xml:space="preserve"> y NO</w:t>
      </w:r>
      <w:r w:rsidRPr="008B4B12">
        <w:rPr>
          <w:rFonts w:ascii="Arial" w:hAnsi="Arial" w:cs="Arial"/>
          <w:sz w:val="16"/>
          <w:vertAlign w:val="subscript"/>
          <w:lang w:val="es-ES"/>
        </w:rPr>
        <w:t>2</w:t>
      </w:r>
      <w:r w:rsidRPr="008B4B12">
        <w:rPr>
          <w:rFonts w:ascii="Arial" w:hAnsi="Arial" w:cs="Arial"/>
          <w:sz w:val="16"/>
          <w:lang w:val="es-ES"/>
        </w:rPr>
        <w:t xml:space="preserve"> el primer valor representa</w:t>
      </w:r>
      <w:r w:rsidR="00F26B80" w:rsidRPr="008B4B12">
        <w:rPr>
          <w:rFonts w:ascii="Arial" w:hAnsi="Arial" w:cs="Arial"/>
          <w:sz w:val="16"/>
          <w:lang w:val="es-ES"/>
        </w:rPr>
        <w:t xml:space="preserve"> el registro realizado en</w:t>
      </w:r>
      <w:r w:rsidRPr="008B4B12">
        <w:rPr>
          <w:rFonts w:ascii="Arial" w:hAnsi="Arial" w:cs="Arial"/>
          <w:sz w:val="16"/>
          <w:lang w:val="es-ES"/>
        </w:rPr>
        <w:t xml:space="preserve"> Mace Head, Irlanda, </w:t>
      </w:r>
      <w:r w:rsidR="00F26B80" w:rsidRPr="008B4B12">
        <w:rPr>
          <w:rFonts w:ascii="Arial" w:hAnsi="Arial" w:cs="Arial"/>
          <w:sz w:val="16"/>
          <w:lang w:val="es-ES"/>
        </w:rPr>
        <w:t>(</w:t>
      </w:r>
      <w:r w:rsidRPr="008B4B12">
        <w:rPr>
          <w:rFonts w:ascii="Arial" w:hAnsi="Arial" w:cs="Arial"/>
          <w:sz w:val="16"/>
          <w:lang w:val="es-ES"/>
        </w:rPr>
        <w:t>un sitio del hemisferio norte en latitudes medias</w:t>
      </w:r>
      <w:r w:rsidR="00F26B80" w:rsidRPr="008B4B12">
        <w:rPr>
          <w:rFonts w:ascii="Arial" w:hAnsi="Arial" w:cs="Arial"/>
          <w:sz w:val="16"/>
          <w:lang w:val="es-ES"/>
        </w:rPr>
        <w:t>)</w:t>
      </w:r>
      <w:r w:rsidRPr="008B4B12">
        <w:rPr>
          <w:rFonts w:ascii="Arial" w:hAnsi="Arial" w:cs="Arial"/>
          <w:sz w:val="16"/>
          <w:lang w:val="es-ES"/>
        </w:rPr>
        <w:t>, y el segundo valor representa</w:t>
      </w:r>
      <w:r w:rsidR="00F26B80" w:rsidRPr="008B4B12">
        <w:rPr>
          <w:rFonts w:ascii="Arial" w:hAnsi="Arial" w:cs="Arial"/>
          <w:sz w:val="16"/>
          <w:lang w:val="es-ES"/>
        </w:rPr>
        <w:t xml:space="preserve"> el registro realizado en Cabo </w:t>
      </w:r>
      <w:proofErr w:type="spellStart"/>
      <w:r w:rsidR="00F26B80" w:rsidRPr="008B4B12">
        <w:rPr>
          <w:rFonts w:ascii="Arial" w:hAnsi="Arial" w:cs="Arial"/>
          <w:sz w:val="16"/>
          <w:lang w:val="es-ES"/>
        </w:rPr>
        <w:t>Grim</w:t>
      </w:r>
      <w:proofErr w:type="spellEnd"/>
      <w:r w:rsidR="00F26B80" w:rsidRPr="008B4B12">
        <w:rPr>
          <w:rFonts w:ascii="Arial" w:hAnsi="Arial" w:cs="Arial"/>
          <w:sz w:val="16"/>
          <w:lang w:val="es-ES"/>
        </w:rPr>
        <w:t>, Tasmania</w:t>
      </w:r>
      <w:r w:rsidRPr="008B4B12">
        <w:rPr>
          <w:rFonts w:ascii="Arial" w:hAnsi="Arial" w:cs="Arial"/>
          <w:sz w:val="16"/>
          <w:lang w:val="es-ES"/>
        </w:rPr>
        <w:t xml:space="preserve"> </w:t>
      </w:r>
      <w:r w:rsidR="00F26B80" w:rsidRPr="008B4B12">
        <w:rPr>
          <w:rFonts w:ascii="Arial" w:hAnsi="Arial" w:cs="Arial"/>
          <w:sz w:val="16"/>
          <w:lang w:val="es-ES"/>
        </w:rPr>
        <w:t>(</w:t>
      </w:r>
      <w:r w:rsidRPr="008B4B12">
        <w:rPr>
          <w:rFonts w:ascii="Arial" w:hAnsi="Arial" w:cs="Arial"/>
          <w:sz w:val="16"/>
          <w:lang w:val="es-ES"/>
        </w:rPr>
        <w:t>un sitio en el hemisferio sur en latitudes medias</w:t>
      </w:r>
      <w:r w:rsidR="00F26B80" w:rsidRPr="008B4B12">
        <w:rPr>
          <w:rFonts w:ascii="Arial" w:hAnsi="Arial" w:cs="Arial"/>
          <w:sz w:val="16"/>
          <w:lang w:val="es-ES"/>
        </w:rPr>
        <w:t>)</w:t>
      </w:r>
      <w:r w:rsidR="0004426B" w:rsidRPr="008B4B12">
        <w:rPr>
          <w:rFonts w:ascii="Arial" w:hAnsi="Arial" w:cs="Arial"/>
          <w:sz w:val="16"/>
          <w:lang w:val="es-ES"/>
        </w:rPr>
        <w:t>,</w:t>
      </w:r>
      <w:r w:rsidRPr="008B4B12">
        <w:rPr>
          <w:rFonts w:ascii="Arial" w:hAnsi="Arial" w:cs="Arial"/>
          <w:sz w:val="16"/>
          <w:lang w:val="es-ES"/>
        </w:rPr>
        <w:t xml:space="preserve"> </w:t>
      </w:r>
      <w:r w:rsidR="0004426B" w:rsidRPr="008B4B12">
        <w:rPr>
          <w:rFonts w:ascii="Arial" w:hAnsi="Arial" w:cs="Arial"/>
          <w:sz w:val="16"/>
          <w:lang w:val="es-ES"/>
        </w:rPr>
        <w:t>l</w:t>
      </w:r>
      <w:r w:rsidR="00F26B80" w:rsidRPr="008B4B12">
        <w:rPr>
          <w:rFonts w:ascii="Arial" w:hAnsi="Arial" w:cs="Arial"/>
          <w:sz w:val="16"/>
          <w:lang w:val="es-ES"/>
        </w:rPr>
        <w:t>os valores actuales</w:t>
      </w:r>
      <w:r w:rsidRPr="008B4B12">
        <w:rPr>
          <w:rFonts w:ascii="Arial" w:hAnsi="Arial" w:cs="Arial"/>
          <w:sz w:val="16"/>
          <w:lang w:val="es-ES"/>
        </w:rPr>
        <w:t xml:space="preserve"> son promedios aritméticos anuales basados ​​en las concentraciones mensuales para el año 2011.</w:t>
      </w:r>
    </w:p>
    <w:p w:rsidR="00292840" w:rsidRDefault="00292840" w:rsidP="00292840">
      <w:pPr>
        <w:rPr>
          <w:lang w:val="es-ES"/>
        </w:rPr>
      </w:pPr>
    </w:p>
    <w:p w:rsidR="00107E65" w:rsidRDefault="00107E65" w:rsidP="00CD7CFE">
      <w:pPr>
        <w:rPr>
          <w:lang w:val="es-ES"/>
        </w:rPr>
      </w:pPr>
    </w:p>
    <w:p w:rsidR="00107E65" w:rsidRDefault="00107E65" w:rsidP="00CD7CFE">
      <w:pPr>
        <w:rPr>
          <w:lang w:val="es-ES"/>
        </w:rPr>
      </w:pPr>
    </w:p>
    <w:p w:rsidR="006B5325" w:rsidRDefault="006B5325" w:rsidP="00982BB6">
      <w:pPr>
        <w:pStyle w:val="STituloJerarquia2SINnumeral"/>
        <w:numPr>
          <w:ilvl w:val="0"/>
          <w:numId w:val="9"/>
        </w:numPr>
      </w:pPr>
      <w:r>
        <w:t>El presupuesto de carbono y escenarios climáticos</w:t>
      </w:r>
    </w:p>
    <w:p w:rsidR="009D2D1D" w:rsidRDefault="009D2D1D" w:rsidP="009D2D1D"/>
    <w:p w:rsidR="006F7D8E" w:rsidRDefault="00E70AF4" w:rsidP="006F7D8E">
      <w:r>
        <w:t>Un esquema útil para evaluar las implicaciones en términos de aumento de temperatura de los diferentes escenarios de emisiones</w:t>
      </w:r>
      <w:r w:rsidR="009B1658">
        <w:t xml:space="preserve"> así como para estimar la magnitud de los esfuerzos de mitigación necesarios</w:t>
      </w:r>
      <w:r>
        <w:t xml:space="preserve">, es a través del </w:t>
      </w:r>
      <w:r w:rsidR="009D2D1D">
        <w:t xml:space="preserve">total de emisiones </w:t>
      </w:r>
      <w:r w:rsidR="009B1658">
        <w:t>de CO</w:t>
      </w:r>
      <w:r w:rsidR="009B1658" w:rsidRPr="009D2D1D">
        <w:rPr>
          <w:vertAlign w:val="subscript"/>
        </w:rPr>
        <w:t>2</w:t>
      </w:r>
      <w:r w:rsidR="009B1658">
        <w:t xml:space="preserve"> </w:t>
      </w:r>
      <w:r w:rsidR="009D2D1D">
        <w:t>acumuladas</w:t>
      </w:r>
      <w:r w:rsidR="006F7D8E">
        <w:t>. En efecto, resultados de simulaciones de</w:t>
      </w:r>
      <w:r w:rsidR="009A6DBC">
        <w:t xml:space="preserve"> diversos</w:t>
      </w:r>
      <w:r w:rsidR="006F7D8E">
        <w:t xml:space="preserve"> modelos climáticos sugieren la existencia de una relación aproximadamente lineal entre </w:t>
      </w:r>
      <w:r w:rsidR="00AF6A05">
        <w:t>los cambios en la temperatura y</w:t>
      </w:r>
      <w:r w:rsidR="006F7D8E">
        <w:t xml:space="preserve"> </w:t>
      </w:r>
      <w:r w:rsidR="00AF6A05">
        <w:t xml:space="preserve">las emisiones </w:t>
      </w:r>
      <w:r w:rsidR="009A6DBC">
        <w:t xml:space="preserve">acumuladas </w:t>
      </w:r>
      <w:r w:rsidR="00AF6A05">
        <w:t>de CO</w:t>
      </w:r>
      <w:r w:rsidR="00AF6A05" w:rsidRPr="00AF6A05">
        <w:rPr>
          <w:vertAlign w:val="subscript"/>
        </w:rPr>
        <w:t>2</w:t>
      </w:r>
      <w:r w:rsidR="00AF6A05">
        <w:t xml:space="preserve"> </w:t>
      </w:r>
      <w:r w:rsidR="00EC455F">
        <w:fldChar w:fldCharType="begin"/>
      </w:r>
      <w:r w:rsidR="00AF6A05">
        <w:instrText xml:space="preserve"> ADDIN ZOTERO_ITEM CSL_CITATION {"citationID":"UAr93XL7","properties":{"formattedCitation":"(Matthews y otros, 2009; Matthews, Solomon y Pierrehumbert, 2012; Allen y otros, 2009; IPCC, 2013)","plainCitation":"(Matthews y otros, 2009; Matthews, Solomon y Pierrehumbert, 2012; Allen y otros, 2009; IPCC, 2013)"},"citationItems":[{"id":4682,"uris":["http://zotero.org/users/98373/items/KXJ4M3TA"],"uri":["http://zotero.org/users/98373/items/KXJ4M3TA"],"itemData":{"id":4682,"type":"article-journal","title":"The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 (2) the total allowable emissions for climate stabilization do not depend on the timing of those emissions; and (3) the temperature response to a pulse of CO2 is approximately constant on timescales of decades to centuries.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emissions.","DOI":"10.1038/nature08047","ISSN":"0028-0836","journalAbbreviation":"Nature","language":"en","author":[{"family":"Matthews","given":"H. Damon"},{"family":"Gillett","given":"Nathan P."},{"family":"Stott","given":"Peter A."},{"family":"Zickfeld","given":"Kirsten"}],"issued":{"date-parts":[["2009",6,11]]},"accessed":{"date-parts":[["2013",12,5]]}}},{"id":4680,"uris":["http://zotero.org/users/98373/items/VX2WP88P"],"uri":["http://zotero.org/users/98373/items/VX2WP88P"],"itemData":{"id":4680,"type":"article-journal","title":"Cumulative carbon as a policy framework for achieving climate stabilization","container-title":"Philosophical transactions. Series A, Mathematical, physical, and engineering sciences","page":"4365-4379","volume":"370","issue":"1974","source":"NCBI PubMed","abstract":"The primary objective of the United Nations Framework Convention on Climate Change is to stabilize greenhouse gas concentrations at a level that will avoid dangerous climate impacts. However, greenhouse gas concentration stabilization is an awkward framework within which to assess dangerous climate change on account of the significant lag between a given concentration level and the eventual equilibrium temperature change. By contrast, recent research has shown that global temperature change can be well described by a given cumulative carbon emissions budget. Here, we propose that cumulative carbon emissions represent an alternative framework that is applicable both as a tool for climate mitigation as well as for the assessment of potential climate impacts. We show first that both atmospheric CO(2) concentration at a given year and the associated temperature change are generally associated with a unique cumulative carbon emissions budget that is largely independent of the emissions scenario. The rate of global temperature change can therefore be related to first order to the rate of increase of cumulative carbon emissions. However, transient warming over the next century will also be strongly affected by emissions of shorter lived forcing agents such as aerosols and methane. Non-CO(2) emissions therefore contribute to uncertainty in the cumulative carbon budget associated with near-term temperature targets, and may suggest the need for a mitigation approach that considers separately short- and long-lived gas emissions. By contrast, long-term temperature change remains primarily associated with total cumulative carbon emissions owing to the much longer atmospheric residence time of CO(2) relative to other major climate forcing agents.","DOI":"10.1098/rsta.2012.0064","ISSN":"1364-503X","note":"PMID: 22869803","journalAbbreviation":"Philos Trans A Math Phys Eng Sci","language":"eng","author":[{"family":"Matthews","given":"H Damon"},{"family":"Solomon","given":"Susan"},{"family":"Pierrehumbert","given":"Raymond"}],"issued":{"date-parts":[["2012",9,13]]},"PMID":"22869803"}},{"id":918,"uris":["http://zotero.org/users/98373/items/92WT3M5T"],"uri":["http://zotero.org/users/98373/items/92WT3M5T"],"itemData":{"id":918,"type":"article-journal","title":"Warming caused by cumulative carbon emissions towards the trillionth tonne","container-title":"Nature","page":"1163-1166","volume":"458","issue":"7242","source":"Nature","DOI":"10.1038/nature08019","ISSN":"0028-0836","journalAbbreviation":"Nature","author":[{"family":"Allen","given":"Myles R."},{"family":"Frame","given":"David J."},{"family":"Huntingford","given":"Chris"},{"family":"Jones","given":"Chris D."},{"family":"Lowe","given":"Jason A."},{"family":"Meinshausen","given":"Malte"},{"family":"Meinshausen","given":"Nicolai"}],"issued":{"date-parts":[["2009",4,30]]},"accessed":{"date-parts":[["2011",8,22]]}}},{"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EC455F">
        <w:fldChar w:fldCharType="separate"/>
      </w:r>
      <w:r w:rsidR="00AF6A05" w:rsidRPr="006A0631">
        <w:t>(Matthews y otros, 2009; Matthews, Solomon y Pierrehumbert, 2012; Allen y otros, 2009; IPCC, 2013)</w:t>
      </w:r>
      <w:r w:rsidR="00EC455F">
        <w:fldChar w:fldCharType="end"/>
      </w:r>
      <w:r w:rsidR="00AF6A05">
        <w:t xml:space="preserve">. </w:t>
      </w:r>
    </w:p>
    <w:p w:rsidR="00E47A79" w:rsidRDefault="00E47A79" w:rsidP="006F7D8E"/>
    <w:p w:rsidR="00E47A79" w:rsidRDefault="00E47A79" w:rsidP="006F7D8E"/>
    <w:p w:rsidR="006F7D8E" w:rsidRDefault="00E47A79" w:rsidP="00E47A79">
      <w:pPr>
        <w:pStyle w:val="Caption"/>
        <w:spacing w:after="0"/>
        <w:jc w:val="center"/>
        <w:rPr>
          <w:color w:val="auto"/>
        </w:rPr>
      </w:pPr>
      <w:r w:rsidRPr="00E47A79">
        <w:rPr>
          <w:color w:val="auto"/>
        </w:rPr>
        <w:t xml:space="preserve">GRÁFICO </w:t>
      </w:r>
      <w:r w:rsidR="00EC455F" w:rsidRPr="00E47A79">
        <w:rPr>
          <w:color w:val="auto"/>
        </w:rPr>
        <w:fldChar w:fldCharType="begin"/>
      </w:r>
      <w:r w:rsidRPr="00E47A79">
        <w:rPr>
          <w:color w:val="auto"/>
        </w:rPr>
        <w:instrText xml:space="preserve"> SEQ GRÁFICO \* ARABIC </w:instrText>
      </w:r>
      <w:r w:rsidR="00EC455F" w:rsidRPr="00E47A79">
        <w:rPr>
          <w:color w:val="auto"/>
        </w:rPr>
        <w:fldChar w:fldCharType="separate"/>
      </w:r>
      <w:r w:rsidRPr="00E47A79">
        <w:rPr>
          <w:noProof/>
          <w:color w:val="auto"/>
        </w:rPr>
        <w:t>1</w:t>
      </w:r>
      <w:r w:rsidR="00EC455F" w:rsidRPr="00E47A79">
        <w:rPr>
          <w:color w:val="auto"/>
        </w:rPr>
        <w:fldChar w:fldCharType="end"/>
      </w:r>
    </w:p>
    <w:p w:rsidR="00E47A79" w:rsidRDefault="00E47A79" w:rsidP="00E47A79">
      <w:pPr>
        <w:jc w:val="center"/>
        <w:rPr>
          <w:b/>
        </w:rPr>
      </w:pPr>
      <w:r w:rsidRPr="00E47A79">
        <w:rPr>
          <w:b/>
        </w:rPr>
        <w:t xml:space="preserve">MUNDO: EMISIONES DE CO2, 1959 </w:t>
      </w:r>
      <w:r>
        <w:rPr>
          <w:b/>
        </w:rPr>
        <w:t>–</w:t>
      </w:r>
      <w:r w:rsidRPr="00E47A79">
        <w:rPr>
          <w:b/>
        </w:rPr>
        <w:t xml:space="preserve"> 2012</w:t>
      </w:r>
    </w:p>
    <w:p w:rsidR="00E47A79" w:rsidRPr="00E47A79" w:rsidRDefault="00E47A79" w:rsidP="00E47A79">
      <w:pPr>
        <w:jc w:val="center"/>
        <w:rPr>
          <w:i/>
        </w:rPr>
      </w:pPr>
      <w:r w:rsidRPr="00E47A79">
        <w:rPr>
          <w:i/>
        </w:rPr>
        <w:t>(</w:t>
      </w:r>
      <w:r w:rsidR="00EF7D47">
        <w:rPr>
          <w:i/>
        </w:rPr>
        <w:t>Giga toneladas de carbono</w:t>
      </w:r>
      <w:r w:rsidRPr="00E47A79">
        <w:rPr>
          <w:i/>
        </w:rPr>
        <w:t>)</w:t>
      </w:r>
    </w:p>
    <w:p w:rsidR="00EF27F6" w:rsidRDefault="00E47A79" w:rsidP="00E47A79">
      <w:pPr>
        <w:jc w:val="center"/>
      </w:pPr>
      <w:r w:rsidRPr="00E47A79">
        <w:rPr>
          <w:noProof/>
          <w:lang w:val="en-US"/>
        </w:rPr>
        <w:drawing>
          <wp:inline distT="0" distB="0" distL="0" distR="0">
            <wp:extent cx="4797188" cy="3493827"/>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3BBC" w:rsidRPr="00AD3BBC" w:rsidRDefault="00E52D47" w:rsidP="00AD3BBC">
      <w:pPr>
        <w:rPr>
          <w:sz w:val="20"/>
        </w:rPr>
      </w:pPr>
      <w:r w:rsidRPr="00E52D47">
        <w:rPr>
          <w:b/>
        </w:rPr>
        <w:t>Fuente:</w:t>
      </w:r>
      <w:r>
        <w:rPr>
          <w:b/>
        </w:rPr>
        <w:t xml:space="preserve"> </w:t>
      </w:r>
      <w:r w:rsidR="004509E7" w:rsidRPr="004509E7">
        <w:t>Elaboración propia.</w:t>
      </w:r>
      <w:r w:rsidR="004509E7">
        <w:rPr>
          <w:b/>
        </w:rPr>
        <w:t xml:space="preserve"> </w:t>
      </w:r>
      <w:r w:rsidR="004509E7" w:rsidRPr="004509E7">
        <w:rPr>
          <w:sz w:val="20"/>
        </w:rPr>
        <w:t xml:space="preserve">Las emisiones relativas a la quema de combustibles fósiles y la producción de cemento proviene de </w:t>
      </w:r>
      <w:proofErr w:type="spellStart"/>
      <w:r w:rsidR="004509E7" w:rsidRPr="004509E7">
        <w:rPr>
          <w:sz w:val="20"/>
        </w:rPr>
        <w:t>Boden</w:t>
      </w:r>
      <w:proofErr w:type="spellEnd"/>
      <w:r w:rsidR="004509E7" w:rsidRPr="004509E7">
        <w:rPr>
          <w:sz w:val="20"/>
        </w:rPr>
        <w:t xml:space="preserve">, T. A., </w:t>
      </w:r>
      <w:proofErr w:type="spellStart"/>
      <w:r w:rsidR="004509E7" w:rsidRPr="004509E7">
        <w:rPr>
          <w:sz w:val="20"/>
        </w:rPr>
        <w:t>Marland</w:t>
      </w:r>
      <w:proofErr w:type="spellEnd"/>
      <w:r w:rsidR="004509E7" w:rsidRPr="004509E7">
        <w:rPr>
          <w:sz w:val="20"/>
        </w:rPr>
        <w:t xml:space="preserve">, G., and </w:t>
      </w:r>
      <w:proofErr w:type="spellStart"/>
      <w:r w:rsidR="004509E7" w:rsidRPr="004509E7">
        <w:rPr>
          <w:sz w:val="20"/>
        </w:rPr>
        <w:t>Andres</w:t>
      </w:r>
      <w:proofErr w:type="spellEnd"/>
      <w:r w:rsidR="004509E7" w:rsidRPr="004509E7">
        <w:rPr>
          <w:sz w:val="20"/>
        </w:rPr>
        <w:t xml:space="preserve">, R. J.: Global, Regional, and </w:t>
      </w:r>
      <w:proofErr w:type="spellStart"/>
      <w:r w:rsidR="004509E7" w:rsidRPr="004509E7">
        <w:rPr>
          <w:sz w:val="20"/>
        </w:rPr>
        <w:t>National</w:t>
      </w:r>
      <w:proofErr w:type="spellEnd"/>
      <w:r w:rsidR="004509E7" w:rsidRPr="004509E7">
        <w:rPr>
          <w:sz w:val="20"/>
        </w:rPr>
        <w:t xml:space="preserve"> </w:t>
      </w:r>
      <w:proofErr w:type="spellStart"/>
      <w:r w:rsidR="004509E7" w:rsidRPr="004509E7">
        <w:rPr>
          <w:sz w:val="20"/>
        </w:rPr>
        <w:t>Fossil</w:t>
      </w:r>
      <w:proofErr w:type="spellEnd"/>
      <w:r w:rsidR="004509E7" w:rsidRPr="004509E7">
        <w:rPr>
          <w:sz w:val="20"/>
        </w:rPr>
        <w:t xml:space="preserve">-Fuel CO2 </w:t>
      </w:r>
      <w:proofErr w:type="spellStart"/>
      <w:r w:rsidR="004509E7" w:rsidRPr="004509E7">
        <w:rPr>
          <w:sz w:val="20"/>
        </w:rPr>
        <w:t>Emissions</w:t>
      </w:r>
      <w:proofErr w:type="spellEnd"/>
      <w:r w:rsidR="004509E7" w:rsidRPr="004509E7">
        <w:rPr>
          <w:sz w:val="20"/>
        </w:rPr>
        <w:t xml:space="preserve">, </w:t>
      </w:r>
      <w:proofErr w:type="spellStart"/>
      <w:r w:rsidR="004509E7" w:rsidRPr="004509E7">
        <w:rPr>
          <w:sz w:val="20"/>
        </w:rPr>
        <w:t>Carbon</w:t>
      </w:r>
      <w:proofErr w:type="spellEnd"/>
      <w:r w:rsidR="004509E7" w:rsidRPr="004509E7">
        <w:rPr>
          <w:sz w:val="20"/>
        </w:rPr>
        <w:t xml:space="preserve"> </w:t>
      </w:r>
      <w:proofErr w:type="spellStart"/>
      <w:r w:rsidR="004509E7" w:rsidRPr="004509E7">
        <w:rPr>
          <w:sz w:val="20"/>
        </w:rPr>
        <w:t>Dioxide</w:t>
      </w:r>
      <w:proofErr w:type="spellEnd"/>
      <w:r w:rsidR="004509E7" w:rsidRPr="004509E7">
        <w:rPr>
          <w:sz w:val="20"/>
        </w:rPr>
        <w:t xml:space="preserve"> </w:t>
      </w:r>
      <w:proofErr w:type="spellStart"/>
      <w:r w:rsidR="004509E7" w:rsidRPr="004509E7">
        <w:rPr>
          <w:sz w:val="20"/>
        </w:rPr>
        <w:t>Information</w:t>
      </w:r>
      <w:proofErr w:type="spellEnd"/>
      <w:r w:rsidR="004509E7" w:rsidRPr="004509E7">
        <w:rPr>
          <w:sz w:val="20"/>
        </w:rPr>
        <w:t xml:space="preserve"> </w:t>
      </w:r>
      <w:proofErr w:type="spellStart"/>
      <w:r w:rsidR="004509E7" w:rsidRPr="004509E7">
        <w:rPr>
          <w:sz w:val="20"/>
        </w:rPr>
        <w:t>Analysis</w:t>
      </w:r>
      <w:proofErr w:type="spellEnd"/>
      <w:r w:rsidR="004509E7" w:rsidRPr="004509E7">
        <w:rPr>
          <w:sz w:val="20"/>
        </w:rPr>
        <w:t xml:space="preserve"> Center, </w:t>
      </w:r>
      <w:proofErr w:type="spellStart"/>
      <w:r w:rsidR="004509E7" w:rsidRPr="004509E7">
        <w:rPr>
          <w:sz w:val="20"/>
        </w:rPr>
        <w:t>Oak</w:t>
      </w:r>
      <w:proofErr w:type="spellEnd"/>
      <w:r w:rsidR="004509E7" w:rsidRPr="004509E7">
        <w:rPr>
          <w:sz w:val="20"/>
        </w:rPr>
        <w:t xml:space="preserve"> Ridge </w:t>
      </w:r>
      <w:proofErr w:type="spellStart"/>
      <w:r w:rsidR="004509E7" w:rsidRPr="004509E7">
        <w:rPr>
          <w:sz w:val="20"/>
        </w:rPr>
        <w:t>National</w:t>
      </w:r>
      <w:proofErr w:type="spellEnd"/>
      <w:r w:rsidR="004509E7" w:rsidRPr="004509E7">
        <w:rPr>
          <w:sz w:val="20"/>
        </w:rPr>
        <w:t xml:space="preserve"> </w:t>
      </w:r>
      <w:proofErr w:type="spellStart"/>
      <w:r w:rsidR="004509E7" w:rsidRPr="004509E7">
        <w:rPr>
          <w:sz w:val="20"/>
        </w:rPr>
        <w:t>Laboratory</w:t>
      </w:r>
      <w:proofErr w:type="spellEnd"/>
      <w:r w:rsidR="004509E7" w:rsidRPr="004509E7">
        <w:rPr>
          <w:sz w:val="20"/>
        </w:rPr>
        <w:t xml:space="preserve">, U.S. </w:t>
      </w:r>
      <w:proofErr w:type="spellStart"/>
      <w:r w:rsidR="004509E7" w:rsidRPr="004509E7">
        <w:rPr>
          <w:sz w:val="20"/>
        </w:rPr>
        <w:t>Department</w:t>
      </w:r>
      <w:proofErr w:type="spellEnd"/>
      <w:r w:rsidR="004509E7" w:rsidRPr="004509E7">
        <w:rPr>
          <w:sz w:val="20"/>
        </w:rPr>
        <w:t xml:space="preserve"> of </w:t>
      </w:r>
      <w:proofErr w:type="spellStart"/>
      <w:r w:rsidR="004509E7" w:rsidRPr="004509E7">
        <w:rPr>
          <w:sz w:val="20"/>
        </w:rPr>
        <w:t>Energy</w:t>
      </w:r>
      <w:proofErr w:type="spellEnd"/>
      <w:r w:rsidR="004509E7" w:rsidRPr="004509E7">
        <w:rPr>
          <w:sz w:val="20"/>
        </w:rPr>
        <w:t xml:space="preserve">, </w:t>
      </w:r>
      <w:proofErr w:type="spellStart"/>
      <w:r w:rsidR="004509E7" w:rsidRPr="004509E7">
        <w:rPr>
          <w:sz w:val="20"/>
        </w:rPr>
        <w:t>Oak</w:t>
      </w:r>
      <w:proofErr w:type="spellEnd"/>
      <w:r w:rsidR="004509E7" w:rsidRPr="004509E7">
        <w:rPr>
          <w:sz w:val="20"/>
        </w:rPr>
        <w:t xml:space="preserve"> Ridge, </w:t>
      </w:r>
      <w:proofErr w:type="spellStart"/>
      <w:r w:rsidR="004509E7" w:rsidRPr="004509E7">
        <w:rPr>
          <w:sz w:val="20"/>
        </w:rPr>
        <w:t>Tenn</w:t>
      </w:r>
      <w:proofErr w:type="spellEnd"/>
      <w:r w:rsidR="004509E7" w:rsidRPr="004509E7">
        <w:rPr>
          <w:sz w:val="20"/>
        </w:rPr>
        <w:t>., U.S.A., 2013.</w:t>
      </w:r>
      <w:r w:rsidR="004509E7">
        <w:rPr>
          <w:sz w:val="20"/>
        </w:rPr>
        <w:t xml:space="preserve"> Las emisiones  relativas al cambio de uso de suelo provienen de </w:t>
      </w:r>
      <w:proofErr w:type="spellStart"/>
      <w:r w:rsidR="004509E7" w:rsidRPr="004509E7">
        <w:rPr>
          <w:sz w:val="20"/>
        </w:rPr>
        <w:t>Boden</w:t>
      </w:r>
      <w:proofErr w:type="spellEnd"/>
      <w:r w:rsidR="004509E7" w:rsidRPr="004509E7">
        <w:rPr>
          <w:sz w:val="20"/>
        </w:rPr>
        <w:t xml:space="preserve">, T. </w:t>
      </w:r>
      <w:r w:rsidR="004509E7" w:rsidRPr="004509E7">
        <w:rPr>
          <w:sz w:val="20"/>
        </w:rPr>
        <w:lastRenderedPageBreak/>
        <w:t xml:space="preserve">A., </w:t>
      </w:r>
      <w:proofErr w:type="spellStart"/>
      <w:r w:rsidR="004509E7" w:rsidRPr="004509E7">
        <w:rPr>
          <w:sz w:val="20"/>
        </w:rPr>
        <w:t>Marland</w:t>
      </w:r>
      <w:proofErr w:type="spellEnd"/>
      <w:r w:rsidR="004509E7" w:rsidRPr="004509E7">
        <w:rPr>
          <w:sz w:val="20"/>
        </w:rPr>
        <w:t xml:space="preserve">, G., and </w:t>
      </w:r>
      <w:proofErr w:type="spellStart"/>
      <w:r w:rsidR="004509E7" w:rsidRPr="004509E7">
        <w:rPr>
          <w:sz w:val="20"/>
        </w:rPr>
        <w:t>Andres</w:t>
      </w:r>
      <w:proofErr w:type="spellEnd"/>
      <w:r w:rsidR="004509E7" w:rsidRPr="004509E7">
        <w:rPr>
          <w:sz w:val="20"/>
        </w:rPr>
        <w:t xml:space="preserve">, R. J.: Global, Regional, and </w:t>
      </w:r>
      <w:proofErr w:type="spellStart"/>
      <w:r w:rsidR="004509E7" w:rsidRPr="004509E7">
        <w:rPr>
          <w:sz w:val="20"/>
        </w:rPr>
        <w:t>National</w:t>
      </w:r>
      <w:proofErr w:type="spellEnd"/>
      <w:r w:rsidR="004509E7" w:rsidRPr="004509E7">
        <w:rPr>
          <w:sz w:val="20"/>
        </w:rPr>
        <w:t xml:space="preserve"> </w:t>
      </w:r>
      <w:proofErr w:type="spellStart"/>
      <w:r w:rsidR="004509E7" w:rsidRPr="004509E7">
        <w:rPr>
          <w:sz w:val="20"/>
        </w:rPr>
        <w:t>Fossil</w:t>
      </w:r>
      <w:proofErr w:type="spellEnd"/>
      <w:r w:rsidR="004509E7" w:rsidRPr="004509E7">
        <w:rPr>
          <w:sz w:val="20"/>
        </w:rPr>
        <w:t xml:space="preserve">-Fuel CO2 </w:t>
      </w:r>
      <w:proofErr w:type="spellStart"/>
      <w:r w:rsidR="004509E7" w:rsidRPr="004509E7">
        <w:rPr>
          <w:sz w:val="20"/>
        </w:rPr>
        <w:t>Emissions</w:t>
      </w:r>
      <w:proofErr w:type="spellEnd"/>
      <w:r w:rsidR="004509E7" w:rsidRPr="004509E7">
        <w:rPr>
          <w:sz w:val="20"/>
        </w:rPr>
        <w:t xml:space="preserve">, </w:t>
      </w:r>
      <w:proofErr w:type="spellStart"/>
      <w:r w:rsidR="004509E7" w:rsidRPr="004509E7">
        <w:rPr>
          <w:sz w:val="20"/>
        </w:rPr>
        <w:t>Carbon</w:t>
      </w:r>
      <w:proofErr w:type="spellEnd"/>
      <w:r w:rsidR="004509E7" w:rsidRPr="004509E7">
        <w:rPr>
          <w:sz w:val="20"/>
        </w:rPr>
        <w:t xml:space="preserve"> </w:t>
      </w:r>
      <w:proofErr w:type="spellStart"/>
      <w:r w:rsidR="004509E7" w:rsidRPr="004509E7">
        <w:rPr>
          <w:sz w:val="20"/>
        </w:rPr>
        <w:t>Dioxide</w:t>
      </w:r>
      <w:proofErr w:type="spellEnd"/>
      <w:r w:rsidR="004509E7" w:rsidRPr="004509E7">
        <w:rPr>
          <w:sz w:val="20"/>
        </w:rPr>
        <w:t xml:space="preserve"> </w:t>
      </w:r>
      <w:proofErr w:type="spellStart"/>
      <w:r w:rsidR="004509E7" w:rsidRPr="004509E7">
        <w:rPr>
          <w:sz w:val="20"/>
        </w:rPr>
        <w:t>Information</w:t>
      </w:r>
      <w:proofErr w:type="spellEnd"/>
      <w:r w:rsidR="004509E7" w:rsidRPr="004509E7">
        <w:rPr>
          <w:sz w:val="20"/>
        </w:rPr>
        <w:t xml:space="preserve"> </w:t>
      </w:r>
      <w:proofErr w:type="spellStart"/>
      <w:r w:rsidR="004509E7" w:rsidRPr="004509E7">
        <w:rPr>
          <w:sz w:val="20"/>
        </w:rPr>
        <w:t>Analysis</w:t>
      </w:r>
      <w:proofErr w:type="spellEnd"/>
      <w:r w:rsidR="004509E7" w:rsidRPr="004509E7">
        <w:rPr>
          <w:sz w:val="20"/>
        </w:rPr>
        <w:t xml:space="preserve"> Center, </w:t>
      </w:r>
      <w:proofErr w:type="spellStart"/>
      <w:r w:rsidR="004509E7" w:rsidRPr="004509E7">
        <w:rPr>
          <w:sz w:val="20"/>
        </w:rPr>
        <w:t>Oak</w:t>
      </w:r>
      <w:proofErr w:type="spellEnd"/>
      <w:r w:rsidR="004509E7" w:rsidRPr="004509E7">
        <w:rPr>
          <w:sz w:val="20"/>
        </w:rPr>
        <w:t xml:space="preserve"> Ridge </w:t>
      </w:r>
      <w:proofErr w:type="spellStart"/>
      <w:r w:rsidR="004509E7" w:rsidRPr="004509E7">
        <w:rPr>
          <w:sz w:val="20"/>
        </w:rPr>
        <w:t>National</w:t>
      </w:r>
      <w:proofErr w:type="spellEnd"/>
      <w:r w:rsidR="004509E7" w:rsidRPr="004509E7">
        <w:rPr>
          <w:sz w:val="20"/>
        </w:rPr>
        <w:t xml:space="preserve"> </w:t>
      </w:r>
      <w:proofErr w:type="spellStart"/>
      <w:r w:rsidR="004509E7" w:rsidRPr="004509E7">
        <w:rPr>
          <w:sz w:val="20"/>
        </w:rPr>
        <w:t>Laboratory</w:t>
      </w:r>
      <w:proofErr w:type="spellEnd"/>
      <w:r w:rsidR="004509E7" w:rsidRPr="004509E7">
        <w:rPr>
          <w:sz w:val="20"/>
        </w:rPr>
        <w:t xml:space="preserve">, U.S. </w:t>
      </w:r>
      <w:proofErr w:type="spellStart"/>
      <w:r w:rsidR="004509E7" w:rsidRPr="004509E7">
        <w:rPr>
          <w:sz w:val="20"/>
        </w:rPr>
        <w:t>Department</w:t>
      </w:r>
      <w:proofErr w:type="spellEnd"/>
      <w:r w:rsidR="004509E7" w:rsidRPr="004509E7">
        <w:rPr>
          <w:sz w:val="20"/>
        </w:rPr>
        <w:t xml:space="preserve"> of </w:t>
      </w:r>
      <w:proofErr w:type="spellStart"/>
      <w:r w:rsidR="004509E7" w:rsidRPr="004509E7">
        <w:rPr>
          <w:sz w:val="20"/>
        </w:rPr>
        <w:t>Energy</w:t>
      </w:r>
      <w:proofErr w:type="spellEnd"/>
      <w:r w:rsidR="004509E7" w:rsidRPr="004509E7">
        <w:rPr>
          <w:sz w:val="20"/>
        </w:rPr>
        <w:t xml:space="preserve">, </w:t>
      </w:r>
      <w:proofErr w:type="spellStart"/>
      <w:r w:rsidR="004509E7" w:rsidRPr="004509E7">
        <w:rPr>
          <w:sz w:val="20"/>
        </w:rPr>
        <w:t>Oak</w:t>
      </w:r>
      <w:proofErr w:type="spellEnd"/>
      <w:r w:rsidR="004509E7" w:rsidRPr="004509E7">
        <w:rPr>
          <w:sz w:val="20"/>
        </w:rPr>
        <w:t xml:space="preserve"> Ridge, </w:t>
      </w:r>
      <w:proofErr w:type="spellStart"/>
      <w:r w:rsidR="004509E7" w:rsidRPr="004509E7">
        <w:rPr>
          <w:sz w:val="20"/>
        </w:rPr>
        <w:t>Tenn</w:t>
      </w:r>
      <w:proofErr w:type="spellEnd"/>
      <w:r w:rsidR="004509E7" w:rsidRPr="004509E7">
        <w:rPr>
          <w:sz w:val="20"/>
        </w:rPr>
        <w:t>., U.S.A., 2013.</w:t>
      </w:r>
      <w:r w:rsidR="00AD3BBC">
        <w:rPr>
          <w:sz w:val="20"/>
        </w:rPr>
        <w:t xml:space="preserve"> </w:t>
      </w:r>
      <w:r w:rsidR="00AD3BBC" w:rsidRPr="00AD3BBC">
        <w:rPr>
          <w:sz w:val="20"/>
        </w:rPr>
        <w:t xml:space="preserve">Las emisiones de cambio de uso de suelo provienen de Houghton, R. A. y J. L. </w:t>
      </w:r>
      <w:proofErr w:type="spellStart"/>
      <w:r w:rsidR="00AD3BBC" w:rsidRPr="00AD3BBC">
        <w:rPr>
          <w:sz w:val="20"/>
        </w:rPr>
        <w:t>Hackler</w:t>
      </w:r>
      <w:proofErr w:type="spellEnd"/>
      <w:r w:rsidR="00AD3BBC" w:rsidRPr="00AD3BBC">
        <w:rPr>
          <w:sz w:val="20"/>
        </w:rPr>
        <w:t xml:space="preserve"> (2013), «</w:t>
      </w:r>
      <w:proofErr w:type="spellStart"/>
      <w:r w:rsidR="00AD3BBC" w:rsidRPr="00AD3BBC">
        <w:rPr>
          <w:sz w:val="20"/>
        </w:rPr>
        <w:t>Annual</w:t>
      </w:r>
      <w:proofErr w:type="spellEnd"/>
      <w:r w:rsidR="00AD3BBC" w:rsidRPr="00AD3BBC">
        <w:rPr>
          <w:sz w:val="20"/>
        </w:rPr>
        <w:t xml:space="preserve"> Flux of </w:t>
      </w:r>
      <w:proofErr w:type="spellStart"/>
      <w:r w:rsidR="00AD3BBC" w:rsidRPr="00AD3BBC">
        <w:rPr>
          <w:sz w:val="20"/>
        </w:rPr>
        <w:t>Carbon</w:t>
      </w:r>
      <w:proofErr w:type="spellEnd"/>
      <w:r w:rsidR="00AD3BBC" w:rsidRPr="00AD3BBC">
        <w:rPr>
          <w:sz w:val="20"/>
        </w:rPr>
        <w:t xml:space="preserve"> </w:t>
      </w:r>
      <w:proofErr w:type="spellStart"/>
      <w:r w:rsidR="00AD3BBC" w:rsidRPr="00AD3BBC">
        <w:rPr>
          <w:sz w:val="20"/>
        </w:rPr>
        <w:t>from</w:t>
      </w:r>
      <w:proofErr w:type="spellEnd"/>
      <w:r w:rsidR="00AD3BBC" w:rsidRPr="00AD3BBC">
        <w:rPr>
          <w:sz w:val="20"/>
        </w:rPr>
        <w:t xml:space="preserve"> </w:t>
      </w:r>
      <w:proofErr w:type="spellStart"/>
      <w:r w:rsidR="00AD3BBC" w:rsidRPr="00AD3BBC">
        <w:rPr>
          <w:sz w:val="20"/>
        </w:rPr>
        <w:t>Land</w:t>
      </w:r>
      <w:proofErr w:type="spellEnd"/>
      <w:r w:rsidR="00AD3BBC" w:rsidRPr="00AD3BBC">
        <w:rPr>
          <w:sz w:val="20"/>
        </w:rPr>
        <w:t xml:space="preserve"> Use and </w:t>
      </w:r>
      <w:proofErr w:type="spellStart"/>
      <w:r w:rsidR="00AD3BBC" w:rsidRPr="00AD3BBC">
        <w:rPr>
          <w:sz w:val="20"/>
        </w:rPr>
        <w:t>Land-Cover</w:t>
      </w:r>
      <w:proofErr w:type="spellEnd"/>
      <w:r w:rsidR="00AD3BBC" w:rsidRPr="00AD3BBC">
        <w:rPr>
          <w:sz w:val="20"/>
        </w:rPr>
        <w:t xml:space="preserve"> </w:t>
      </w:r>
      <w:proofErr w:type="spellStart"/>
      <w:r w:rsidR="00AD3BBC" w:rsidRPr="00AD3BBC">
        <w:rPr>
          <w:sz w:val="20"/>
        </w:rPr>
        <w:t>Change</w:t>
      </w:r>
      <w:proofErr w:type="spellEnd"/>
      <w:r w:rsidR="00AD3BBC" w:rsidRPr="00AD3BBC">
        <w:rPr>
          <w:sz w:val="20"/>
        </w:rPr>
        <w:t xml:space="preserve"> 1850 </w:t>
      </w:r>
      <w:proofErr w:type="spellStart"/>
      <w:r w:rsidR="00AD3BBC" w:rsidRPr="00AD3BBC">
        <w:rPr>
          <w:sz w:val="20"/>
        </w:rPr>
        <w:t>to</w:t>
      </w:r>
      <w:proofErr w:type="spellEnd"/>
      <w:r w:rsidR="00AD3BBC" w:rsidRPr="00AD3BBC">
        <w:rPr>
          <w:sz w:val="20"/>
        </w:rPr>
        <w:t xml:space="preserve"> 2010», </w:t>
      </w:r>
      <w:r w:rsidR="00AD3BBC" w:rsidRPr="00AD3BBC">
        <w:rPr>
          <w:i/>
          <w:iCs/>
          <w:sz w:val="20"/>
        </w:rPr>
        <w:t xml:space="preserve">Global </w:t>
      </w:r>
      <w:proofErr w:type="spellStart"/>
      <w:r w:rsidR="00AD3BBC" w:rsidRPr="00AD3BBC">
        <w:rPr>
          <w:i/>
          <w:iCs/>
          <w:sz w:val="20"/>
        </w:rPr>
        <w:t>Biogeochemical</w:t>
      </w:r>
      <w:proofErr w:type="spellEnd"/>
      <w:r w:rsidR="00AD3BBC" w:rsidRPr="00AD3BBC">
        <w:rPr>
          <w:i/>
          <w:iCs/>
          <w:sz w:val="20"/>
        </w:rPr>
        <w:t xml:space="preserve"> </w:t>
      </w:r>
      <w:proofErr w:type="spellStart"/>
      <w:r w:rsidR="00AD3BBC" w:rsidRPr="00AD3BBC">
        <w:rPr>
          <w:i/>
          <w:iCs/>
          <w:sz w:val="20"/>
        </w:rPr>
        <w:t>Cycles</w:t>
      </w:r>
      <w:proofErr w:type="spellEnd"/>
      <w:r w:rsidR="00AD3BBC" w:rsidRPr="00AD3BBC">
        <w:rPr>
          <w:sz w:val="20"/>
        </w:rPr>
        <w:t xml:space="preserve">, vol. in </w:t>
      </w:r>
      <w:proofErr w:type="spellStart"/>
      <w:r w:rsidR="00AD3BBC" w:rsidRPr="00AD3BBC">
        <w:rPr>
          <w:sz w:val="20"/>
        </w:rPr>
        <w:t>review</w:t>
      </w:r>
      <w:proofErr w:type="spellEnd"/>
      <w:r w:rsidR="00AD3BBC" w:rsidRPr="00AD3BBC">
        <w:rPr>
          <w:sz w:val="20"/>
        </w:rPr>
        <w:t>.</w:t>
      </w:r>
    </w:p>
    <w:p w:rsidR="00E52D47" w:rsidRPr="00AD3BBC" w:rsidRDefault="00E52D47" w:rsidP="004509E7">
      <w:pPr>
        <w:rPr>
          <w:b/>
        </w:rPr>
      </w:pPr>
    </w:p>
    <w:p w:rsidR="006F7D8E" w:rsidRPr="00AD3BBC" w:rsidRDefault="006F7D8E" w:rsidP="009D2D1D"/>
    <w:p w:rsidR="009D2D1D" w:rsidRDefault="009D2D1D" w:rsidP="009D2D1D"/>
    <w:p w:rsidR="00982BB6" w:rsidRDefault="00982BB6" w:rsidP="00982BB6">
      <w:pPr>
        <w:pStyle w:val="STituloJerarquia2SINnumeral"/>
        <w:numPr>
          <w:ilvl w:val="0"/>
          <w:numId w:val="9"/>
        </w:numPr>
      </w:pPr>
      <w:r>
        <w:t>Impactos esperados del cambio climático</w:t>
      </w:r>
    </w:p>
    <w:p w:rsidR="00982BB6" w:rsidRDefault="00982BB6" w:rsidP="00CD7CFE">
      <w:pPr>
        <w:rPr>
          <w:lang w:val="es-ES"/>
        </w:rPr>
      </w:pPr>
    </w:p>
    <w:p w:rsidR="00656BF5" w:rsidRDefault="00292840" w:rsidP="00CD7CFE">
      <w:pPr>
        <w:rPr>
          <w:lang w:val="es-ES"/>
        </w:rPr>
      </w:pPr>
      <w:r>
        <w:rPr>
          <w:lang w:val="es-ES"/>
        </w:rPr>
        <w:t xml:space="preserve">Como se muestra en la sección anterior, el crecimiento </w:t>
      </w:r>
      <w:r w:rsidR="009A6DBC">
        <w:rPr>
          <w:lang w:val="es-ES"/>
        </w:rPr>
        <w:t>observado</w:t>
      </w:r>
      <w:r>
        <w:rPr>
          <w:lang w:val="es-ES"/>
        </w:rPr>
        <w:t xml:space="preserve"> de las</w:t>
      </w:r>
      <w:r w:rsidR="006F482E">
        <w:rPr>
          <w:lang w:val="es-ES"/>
        </w:rPr>
        <w:t xml:space="preserve"> emisiones de gases de efecto invernadero (GEI) ha tenido y tendrá incidencia sobre la temperatura del planeta. </w:t>
      </w:r>
      <w:r w:rsidR="00B951D8">
        <w:rPr>
          <w:lang w:val="es-ES"/>
        </w:rPr>
        <w:t xml:space="preserve">Dichos cambios tendrán repercusiones sobre </w:t>
      </w:r>
      <w:r w:rsidR="00426B2F">
        <w:rPr>
          <w:lang w:val="es-ES"/>
        </w:rPr>
        <w:t xml:space="preserve">los ecosistemas, las actividades económicas y el bienestar humano. </w:t>
      </w:r>
      <w:r w:rsidR="00ED775A">
        <w:rPr>
          <w:lang w:val="es-ES"/>
        </w:rPr>
        <w:t xml:space="preserve"> Sin embargo la estimación de los costos económicos de dichos impactos </w:t>
      </w:r>
      <w:r w:rsidR="00FA2270">
        <w:rPr>
          <w:lang w:val="es-ES"/>
        </w:rPr>
        <w:t>conlleva</w:t>
      </w:r>
      <w:r w:rsidR="00ED775A">
        <w:rPr>
          <w:lang w:val="es-ES"/>
        </w:rPr>
        <w:t xml:space="preserve"> </w:t>
      </w:r>
      <w:r w:rsidR="00FA2270">
        <w:rPr>
          <w:lang w:val="es-ES"/>
        </w:rPr>
        <w:t>un importante nivel</w:t>
      </w:r>
      <w:r w:rsidR="00ED775A">
        <w:rPr>
          <w:lang w:val="es-ES"/>
        </w:rPr>
        <w:t xml:space="preserve"> de incertidumbre.</w:t>
      </w:r>
    </w:p>
    <w:p w:rsidR="002D2C8F" w:rsidRDefault="002D2C8F" w:rsidP="00CD7CFE">
      <w:pPr>
        <w:rPr>
          <w:lang w:val="es-ES"/>
        </w:rPr>
      </w:pPr>
    </w:p>
    <w:p w:rsidR="002D2C8F" w:rsidRDefault="002D2C8F" w:rsidP="00CD7CFE">
      <w:pPr>
        <w:rPr>
          <w:lang w:val="es-ES"/>
        </w:rPr>
      </w:pPr>
      <w:r>
        <w:rPr>
          <w:lang w:val="es-ES"/>
        </w:rPr>
        <w:t xml:space="preserve">Los impactos esperados del cambio climático dependen del sector, la región y la capacidad de adaptación. </w:t>
      </w:r>
    </w:p>
    <w:p w:rsidR="002D2C8F" w:rsidRDefault="002D2C8F" w:rsidP="00CD7CFE">
      <w:pPr>
        <w:rPr>
          <w:lang w:val="es-ES"/>
        </w:rPr>
      </w:pPr>
    </w:p>
    <w:p w:rsidR="009A6DBC" w:rsidRPr="009A6DBC" w:rsidRDefault="009A6DBC" w:rsidP="009A6DBC">
      <w:pPr>
        <w:rPr>
          <w:lang w:val="es-ES"/>
        </w:rPr>
      </w:pPr>
      <w:r w:rsidRPr="009A6DBC">
        <w:rPr>
          <w:lang w:val="es-ES"/>
        </w:rPr>
        <w:t xml:space="preserve">Independientemente de las medidas de mitigación que se adopten, la acumulación histórica de GEI implica un aumento inevitable de temperatura. Asimismo, los compromisos de mitigación asumidos por los países en las recientes negociaciones no han sido suficientes para alcanzar la reducción de GEI necesarias para alcanzar el objetivo climático </w:t>
      </w:r>
      <w:r w:rsidR="00EC455F" w:rsidRPr="00EC455F">
        <w:rPr>
          <w:lang w:val="es-ES"/>
        </w:rPr>
        <w:fldChar w:fldCharType="begin"/>
      </w:r>
      <w:r w:rsidRPr="009A6DBC">
        <w:rPr>
          <w:lang w:val="es-ES"/>
        </w:rPr>
        <w:instrText xml:space="preserve"> ADDIN ZOTERO_ITEM CSL_CITATION {"citationID":"Dpjp3ZhX","properties":{"formattedCitation":"(UNEP, 2013)","plainCitation":"(UNEP, 2013)"},"citationItems":[{"id":4646,"uris":["http://zotero.org/users/98373/items/69ZKQMHC"],"uri":["http://zotero.org/users/98373/items/69ZKQMHC"],"itemData":{"id":4646,"type":"book","title":"The Emissions Gap Report 2013","publisher":"United Nations Environment Programme (UNEP)","publisher-place":"Nairobi","event-place":"Nairobi","author":[{"family":"UNEP","given":"United Nations Environment Programme"}],"issued":{"date-parts":[["2013"]]}}}],"schema":"https://github.com/citation-style-language/schema/raw/master/csl-citation.json"} </w:instrText>
      </w:r>
      <w:r w:rsidR="00EC455F" w:rsidRPr="00EC455F">
        <w:rPr>
          <w:lang w:val="es-ES"/>
        </w:rPr>
        <w:fldChar w:fldCharType="separate"/>
      </w:r>
      <w:r w:rsidRPr="009A6DBC">
        <w:rPr>
          <w:lang w:val="es-ES"/>
        </w:rPr>
        <w:t>(UNEP, 2013)</w:t>
      </w:r>
      <w:r w:rsidR="00EC455F" w:rsidRPr="009A6DBC">
        <w:rPr>
          <w:lang w:val="en-US"/>
        </w:rPr>
        <w:fldChar w:fldCharType="end"/>
      </w:r>
      <w:r w:rsidRPr="009A6DBC">
        <w:rPr>
          <w:lang w:val="es-ES"/>
        </w:rPr>
        <w:t>. En este sentido, resulta fundamental que los países de América Latina y el Caribe incluyan en sus estrategias de desarrollo sostenible procesos oportunos de adaptación al cambio climático.</w:t>
      </w:r>
    </w:p>
    <w:p w:rsidR="009A6DBC" w:rsidRPr="009A6DBC" w:rsidRDefault="009A6DBC" w:rsidP="009A6DBC">
      <w:pPr>
        <w:rPr>
          <w:lang w:val="es-ES"/>
        </w:rPr>
      </w:pPr>
      <w:r w:rsidRPr="009A6DBC">
        <w:rPr>
          <w:lang w:val="es-ES"/>
        </w:rPr>
        <w:t xml:space="preserve">América Latina y el Caribe presenta características que lo hacen altamente vulnerable a los efectos del cambio climático, entre ellos encuentran su geografía, la distribución de la población e infraestructura, su dependencia de los recursos naturales, así como otras características sociales tales como el alto porcentaje de personas que viven apenas por encima de la línea de pobreza </w:t>
      </w:r>
      <w:r w:rsidR="00EC455F" w:rsidRPr="00EC455F">
        <w:rPr>
          <w:lang w:val="es-ES"/>
        </w:rPr>
        <w:fldChar w:fldCharType="begin"/>
      </w:r>
      <w:r w:rsidRPr="009A6DBC">
        <w:rPr>
          <w:lang w:val="es-ES"/>
        </w:rPr>
        <w:instrText xml:space="preserve"> ADDIN ZOTERO_ITEM CSL_CITATION {"citationID":"UX0nvaKU","properties":{"formattedCitation":"(CEPAL, 2010; Cecchini y otros, 2012; Vergara y otros, 2013; CEPAL, 2011)","plainCitation":"(CEPAL, 2010; Cecchini y otros, 2012; Vergara y otros, 2013; CEPAL, 2011)"},"citationItems":[{"id":1312,"uris":["http://zotero.org/users/98373/items/GEVN2KQ9"],"uri":["http://zotero.org/users/98373/items/GEVN2KQ9"],"itemData":{"id":1312,"type":"book","title":"La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Caribe"}],"issued":{"date-parts":[["2010"]]}}},{"id":755,"uris":["http://zotero.org/users/98373/items/5UCKI54E"],"uri":["http://zotero.org/users/98373/items/5UCKI54E"],"itemData":{"id":755,"type":"article-journal","title":"Vulnerabilidad de la estructura social en América Latina: medición y políticas públicas","container-title":"Revista Internacional de Estadística y Geografía","volume":"3","issue":"2","author":[{"family":"Cecchini","given":"Simone"},{"family":"Espíndola","given":"Ernesto"},{"family":"Filgueira","given":"Fernando"},{"family":"Hernández","given":"Diego"},{"family":"Martínez","given":"Rodrigo"}],"issued":{"date-parts":[["2012"]]}}},{"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H."},{"family":"Samaniego","given":"Joseluis"}],"issued":{"date-parts":[["2013"]]}}},{"id":1773,"uris":["http://zotero.org/users/98373/items/R7XQ6BPJ"],"uri":["http://zotero.org/users/98373/items/R7XQ6BPJ"],"itemData":{"id":1773,"type":"book","title":"Efectos del cambio climático en la costa de América Latina y el Caribe. Impactos.","publisher":"Naciones Unidas","note":"Inédito","author":[{"family":"CEPAL","given":"Comisión Económica para América Latina y el Caribe"}],"issued":{"date-parts":[["2011"]]}}}],"schema":"https://github.com/citation-style-language/schema/raw/master/csl-citation.json"} </w:instrText>
      </w:r>
      <w:r w:rsidR="00EC455F" w:rsidRPr="00EC455F">
        <w:rPr>
          <w:lang w:val="es-ES"/>
        </w:rPr>
        <w:fldChar w:fldCharType="separate"/>
      </w:r>
      <w:r w:rsidRPr="009A6DBC">
        <w:rPr>
          <w:lang w:val="es-ES"/>
        </w:rPr>
        <w:t>(CEPAL, 2010; Cecchini y otros, 2012; Vergara y otros, 2013; CEPAL, 2011)</w:t>
      </w:r>
      <w:r w:rsidR="00EC455F" w:rsidRPr="009A6DBC">
        <w:rPr>
          <w:lang w:val="en-US"/>
        </w:rPr>
        <w:fldChar w:fldCharType="end"/>
      </w:r>
      <w:r w:rsidRPr="009A6DBC">
        <w:rPr>
          <w:lang w:val="es-ES"/>
        </w:rPr>
        <w:t xml:space="preserve">. Entre los principales impactos físicos proyectados para la región ante un aumento de 2°C se encuentran </w:t>
      </w:r>
      <w:r w:rsidR="00EC455F" w:rsidRPr="00EC455F">
        <w:rPr>
          <w:lang w:val="es-ES"/>
        </w:rPr>
        <w:fldChar w:fldCharType="begin"/>
      </w:r>
      <w:r w:rsidRPr="009A6DBC">
        <w:rPr>
          <w:lang w:val="es-ES"/>
        </w:rPr>
        <w:instrText xml:space="preserve"> ADDIN ZOTERO_ITEM CSL_CITATION {"citationID":"Jw7VUCE3","properties":{"formattedCitation":"(Vergara y otros, 2013)","plainCitation":"(Vergara y otros, 2013)"},"citationItems":[{"id":4647,"uris":["http://zotero.org/users/98373/items/6BQAJGWV"],"uri":["http://zotero.org/users/98373/items/6BQAJGWV"],"itemData":{"id":4647,"type":"book","title":"The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EC455F" w:rsidRPr="00EC455F">
        <w:rPr>
          <w:lang w:val="es-ES"/>
        </w:rPr>
        <w:fldChar w:fldCharType="separate"/>
      </w:r>
      <w:r w:rsidRPr="009A6DBC">
        <w:rPr>
          <w:lang w:val="es-ES"/>
        </w:rPr>
        <w:t>(Vergara y otros, 2013)</w:t>
      </w:r>
      <w:r w:rsidR="00EC455F" w:rsidRPr="009A6DBC">
        <w:rPr>
          <w:lang w:val="en-US"/>
        </w:rPr>
        <w:fldChar w:fldCharType="end"/>
      </w:r>
      <w:r w:rsidRPr="009A6DBC">
        <w:rPr>
          <w:lang w:val="es-ES"/>
        </w:rPr>
        <w:t xml:space="preserve">: </w:t>
      </w:r>
    </w:p>
    <w:p w:rsidR="009A6DBC" w:rsidRPr="009A6DBC" w:rsidRDefault="009A6DBC" w:rsidP="009A6DBC">
      <w:pPr>
        <w:rPr>
          <w:lang w:val="es-ES"/>
        </w:rPr>
      </w:pPr>
    </w:p>
    <w:p w:rsidR="009A6DBC" w:rsidRPr="009A6DBC" w:rsidRDefault="009A6DBC" w:rsidP="009A6DBC">
      <w:pPr>
        <w:numPr>
          <w:ilvl w:val="0"/>
          <w:numId w:val="10"/>
        </w:numPr>
        <w:rPr>
          <w:lang w:val="es-ES"/>
        </w:rPr>
      </w:pPr>
      <w:r w:rsidRPr="009A6DBC">
        <w:rPr>
          <w:lang w:val="es-ES"/>
        </w:rPr>
        <w:t xml:space="preserve">Pérdida de humedad de los suelos, cambio en los patrones de temperatura y precipitación afectando la productividad agrícola y a las zonas ecológicas. </w:t>
      </w:r>
    </w:p>
    <w:p w:rsidR="009A6DBC" w:rsidRPr="009A6DBC" w:rsidRDefault="009A6DBC" w:rsidP="009A6DBC">
      <w:pPr>
        <w:numPr>
          <w:ilvl w:val="0"/>
          <w:numId w:val="10"/>
        </w:numPr>
        <w:rPr>
          <w:lang w:val="es-ES"/>
        </w:rPr>
      </w:pPr>
      <w:r w:rsidRPr="009A6DBC">
        <w:rPr>
          <w:lang w:val="es-ES"/>
        </w:rPr>
        <w:t>Aumento del nivel del mar y de la temperatura de la superficie oceánica, lo cual afectará las zonas marítimas y costeras. La evidencia indica que el aumento de nivel del mar implica una presión sobre los yacimientos de agua dulce en las zonas costeras, lo cual es de gran relevancia sobre todo para las islas del Caribe, asimismo, el aumento en el nivel de mar afecta la salinidad de las zonas costeras donde se encuentran los manglares. Por otro lado, el aumento observado de la temperatura oceánica acelera el proceso de blanqueamiento de los bancos de coral, lo cual puede importantes pérdidas de biodiversidad.</w:t>
      </w:r>
    </w:p>
    <w:p w:rsidR="009A6DBC" w:rsidRPr="009A6DBC" w:rsidRDefault="009A6DBC" w:rsidP="009A6DBC">
      <w:pPr>
        <w:numPr>
          <w:ilvl w:val="0"/>
          <w:numId w:val="10"/>
        </w:numPr>
        <w:rPr>
          <w:lang w:val="es-ES"/>
        </w:rPr>
      </w:pPr>
      <w:r w:rsidRPr="009A6DBC">
        <w:rPr>
          <w:lang w:val="es-ES"/>
        </w:rPr>
        <w:t>Aumento en la intensidad y frecuencia de eventos climáticos extremos. A pesar de la dificultad de establecer una clara relación entre la incidencia de eventos climáticos extremos y el calentamiento global, existe evidencia que muestra que el aumento reciente de huracanes se debe, en parte, al aumento de la temperatura de la superficie oceánica. De esta manera, es de esperarse una mayor frecuencia de estos eventos.</w:t>
      </w:r>
    </w:p>
    <w:p w:rsidR="009A6DBC" w:rsidRPr="009A6DBC" w:rsidRDefault="009A6DBC" w:rsidP="009A6DBC">
      <w:pPr>
        <w:numPr>
          <w:ilvl w:val="0"/>
          <w:numId w:val="10"/>
        </w:numPr>
        <w:rPr>
          <w:lang w:val="es-ES"/>
        </w:rPr>
      </w:pPr>
      <w:r w:rsidRPr="009A6DBC">
        <w:rPr>
          <w:lang w:val="es-ES"/>
        </w:rPr>
        <w:t xml:space="preserve">Mayor exposición a enfermedades tropicales relacionadas con el aumento de temperatura y cambios en los patrones de precipitación. </w:t>
      </w:r>
      <w:r w:rsidRPr="009A6DBC">
        <w:t>Los efectos del cambio climático sobre la salud humana se relacionan con el aumento en la incidencia de casos de malaria, dengue, cólera y estrés de calor</w:t>
      </w:r>
      <w:r w:rsidRPr="009A6DBC">
        <w:rPr>
          <w:lang w:val="es-MX"/>
        </w:rPr>
        <w:t xml:space="preserve">. </w:t>
      </w:r>
    </w:p>
    <w:p w:rsidR="009A6DBC" w:rsidRPr="009A6DBC" w:rsidRDefault="009A6DBC" w:rsidP="009A6DBC">
      <w:pPr>
        <w:numPr>
          <w:ilvl w:val="0"/>
          <w:numId w:val="10"/>
        </w:numPr>
        <w:rPr>
          <w:lang w:val="es-ES"/>
        </w:rPr>
      </w:pPr>
      <w:r w:rsidRPr="009A6DBC">
        <w:rPr>
          <w:lang w:val="es-ES"/>
        </w:rPr>
        <w:t xml:space="preserve">Aumento en el retroceso de los glaciares andinos. Se espera que el cambio climático sea aún más pronunciado en zonas montañosas de alta elevación. Los efectos del cambio climático ya son notorios en los glaciares de la zona de los Andes, los cuales se han reducido de manera significativa. Se espera </w:t>
      </w:r>
      <w:r w:rsidRPr="009A6DBC">
        <w:rPr>
          <w:lang w:val="es-ES"/>
        </w:rPr>
        <w:lastRenderedPageBreak/>
        <w:t>que estos cambios tengan repercusiones en la regulación del ciclo hidrológico y en la provisión de agua para hidroelectricidad y para el consumo humano.</w:t>
      </w:r>
    </w:p>
    <w:p w:rsidR="009A6DBC" w:rsidRPr="009A6DBC" w:rsidRDefault="009A6DBC" w:rsidP="009A6DBC">
      <w:pPr>
        <w:numPr>
          <w:ilvl w:val="0"/>
          <w:numId w:val="10"/>
        </w:numPr>
        <w:rPr>
          <w:lang w:val="es-ES"/>
        </w:rPr>
      </w:pPr>
      <w:r w:rsidRPr="009A6DBC">
        <w:rPr>
          <w:lang w:val="es-ES"/>
        </w:rPr>
        <w:t>Impactos en las cuencas hidrológicas. El calentamiento global incrementará la amplitud y la frecuencia de eventos de precipitaciones extremas, lo cual afectará el régimen hidrológico de las cuencas de la región. Asimismo, la baja estabilidad del régimen hidrológico tendrá impactos en la producción hidroeléctrica.</w:t>
      </w:r>
    </w:p>
    <w:p w:rsidR="009A6DBC" w:rsidRDefault="009A6DBC" w:rsidP="009A6DBC">
      <w:pPr>
        <w:numPr>
          <w:ilvl w:val="0"/>
          <w:numId w:val="10"/>
        </w:numPr>
        <w:rPr>
          <w:lang w:val="es-ES"/>
        </w:rPr>
      </w:pPr>
      <w:r w:rsidRPr="009A6DBC">
        <w:rPr>
          <w:lang w:val="es-ES"/>
        </w:rPr>
        <w:t>Aumento de efectos adversos sobre la biodiversidad y la estabilidad de los ecosistemas. Se espera que el cambio climático altere las especies y los ecosistemas naturales, modificando la biodiversidad, la composición de ecosistemas y su distribución espacial. Asimismo, se espera que, adicionalmente a los procesos de deforestación, el cambio climático reduzca la resiliencia de la selva Amazónica, lo cual disminuirá su capacidad de captura de carbono.</w:t>
      </w:r>
    </w:p>
    <w:p w:rsidR="009A6DBC" w:rsidRDefault="009A6DBC" w:rsidP="009A6DBC">
      <w:pPr>
        <w:rPr>
          <w:lang w:val="es-ES"/>
        </w:rPr>
      </w:pPr>
    </w:p>
    <w:p w:rsidR="009A6DBC" w:rsidRPr="009A6DBC" w:rsidRDefault="009A6DBC" w:rsidP="009A6DBC">
      <w:pPr>
        <w:rPr>
          <w:lang w:val="es-ES"/>
        </w:rPr>
      </w:pPr>
    </w:p>
    <w:p w:rsidR="009A6DBC" w:rsidRDefault="009A6DBC" w:rsidP="009A6DBC">
      <w:pPr>
        <w:rPr>
          <w:lang w:val="es-ES"/>
        </w:rPr>
      </w:pPr>
      <w:r w:rsidRPr="009A6DBC">
        <w:rPr>
          <w:lang w:val="es-ES"/>
        </w:rPr>
        <w:t xml:space="preserve">De esta manera, los costos estimados asociados a los principales impactos físicos relacionados con un aumento de 2°C en América Latina y el Caribe son de entre $85.000 y $110.000 millones de dólares anuales hasta 2050, o alternativamente, de entre 1.8% y 2.4% del PIB de 2010 (Cuadro 2) </w:t>
      </w:r>
      <w:r w:rsidR="00EC455F" w:rsidRPr="00EC455F">
        <w:rPr>
          <w:lang w:val="es-ES"/>
        </w:rPr>
        <w:fldChar w:fldCharType="begin"/>
      </w:r>
      <w:r w:rsidRPr="009A6DBC">
        <w:rPr>
          <w:lang w:val="es-ES"/>
        </w:rPr>
        <w:instrText xml:space="preserve"> ADDIN ZOTERO_ITEM CSL_CITATION {"citationID":"lqIykXF2","properties":{"formattedCitation":"(CEPAL, 2009, 2010; Vergara y otros, 2013)","plainCitation":"(CEPAL, 2009, 2010; Vergara y otros, 2013)"},"citationItems":[{"id":1558,"uris":["http://zotero.org/users/98373/items/MAVRT9CZ"],"uri":["http://zotero.org/users/98373/items/MAVRT9CZ"],"itemData":{"id":1558,"type":"book","title":"La economía del cambio climático en América Latina y el Caribe. Síntesis 2009","note":"LC/G.2425","author":[{"family":"CEPAL","given":"Comisión Económica para América Latina y el Caribe"}],"issued":{"date-parts":[["2009",11]]}}},{"id":1312,"uris":["http://zotero.org/users/98373/items/GEVN2KQ9"],"uri":["http://zotero.org/users/98373/items/GEVN2KQ9"],"itemData":{"id":1312,"type":"book","title":"La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EC455F" w:rsidRPr="00EC455F">
        <w:rPr>
          <w:lang w:val="es-ES"/>
        </w:rPr>
        <w:fldChar w:fldCharType="separate"/>
      </w:r>
      <w:r w:rsidRPr="009A6DBC">
        <w:rPr>
          <w:lang w:val="es-ES"/>
        </w:rPr>
        <w:t>(Vergara y otros, 2013)</w:t>
      </w:r>
      <w:r w:rsidR="00EC455F" w:rsidRPr="009A6DBC">
        <w:rPr>
          <w:lang w:val="en-US"/>
        </w:rPr>
        <w:fldChar w:fldCharType="end"/>
      </w:r>
      <w:r w:rsidRPr="009A6DBC">
        <w:rPr>
          <w:lang w:val="es-ES"/>
        </w:rPr>
        <w:t>. Esta estimación es conservadora y se limita a ciertos sectores y regiones</w:t>
      </w:r>
      <w:r w:rsidRPr="009A6DBC">
        <w:rPr>
          <w:vertAlign w:val="superscript"/>
          <w:lang w:val="es-ES"/>
        </w:rPr>
        <w:footnoteReference w:id="2"/>
      </w:r>
      <w:r w:rsidRPr="009A6DBC">
        <w:rPr>
          <w:lang w:val="es-ES"/>
        </w:rPr>
        <w:t>, sin embargo, muestran un escenario plausible que señala la necesidad de tomar acciones oportunas de adaptación en la región. Asimismo, muestra que el cambio climático limitará las posibilidades de desarrollo de la región, disminuyendo sus recursos y afectando de forma potencialmente</w:t>
      </w:r>
      <w:r>
        <w:rPr>
          <w:lang w:val="es-ES"/>
        </w:rPr>
        <w:t xml:space="preserve"> irreversible sus ecosistemas. </w:t>
      </w:r>
    </w:p>
    <w:p w:rsidR="009A6DBC" w:rsidRDefault="009A6DBC" w:rsidP="009A6DBC">
      <w:pPr>
        <w:rPr>
          <w:lang w:val="es-ES"/>
        </w:rPr>
      </w:pPr>
    </w:p>
    <w:p w:rsidR="009A6DBC" w:rsidRPr="009A6DBC" w:rsidRDefault="009A6DBC" w:rsidP="009A6DBC">
      <w:pPr>
        <w:rPr>
          <w:lang w:val="es-ES"/>
        </w:rPr>
      </w:pPr>
    </w:p>
    <w:p w:rsidR="00955E52" w:rsidRPr="0004426B" w:rsidRDefault="00955E52" w:rsidP="00955E52">
      <w:pPr>
        <w:pStyle w:val="Caption"/>
        <w:spacing w:after="0"/>
        <w:jc w:val="center"/>
        <w:rPr>
          <w:rFonts w:ascii="Arial" w:hAnsi="Arial" w:cs="Arial"/>
          <w:color w:val="auto"/>
        </w:rPr>
      </w:pPr>
      <w:r w:rsidRPr="0004426B">
        <w:rPr>
          <w:rFonts w:ascii="Arial" w:hAnsi="Arial" w:cs="Arial"/>
          <w:color w:val="auto"/>
        </w:rPr>
        <w:t xml:space="preserve">CUADRO </w:t>
      </w:r>
      <w:r w:rsidR="00EC455F" w:rsidRPr="0004426B">
        <w:rPr>
          <w:rFonts w:ascii="Arial" w:hAnsi="Arial" w:cs="Arial"/>
          <w:color w:val="auto"/>
        </w:rPr>
        <w:fldChar w:fldCharType="begin"/>
      </w:r>
      <w:r w:rsidRPr="0004426B">
        <w:rPr>
          <w:rFonts w:ascii="Arial" w:hAnsi="Arial" w:cs="Arial"/>
          <w:color w:val="auto"/>
        </w:rPr>
        <w:instrText xml:space="preserve"> SEQ CUADRO \* ARABIC </w:instrText>
      </w:r>
      <w:r w:rsidR="00EC455F" w:rsidRPr="0004426B">
        <w:rPr>
          <w:rFonts w:ascii="Arial" w:hAnsi="Arial" w:cs="Arial"/>
          <w:color w:val="auto"/>
        </w:rPr>
        <w:fldChar w:fldCharType="separate"/>
      </w:r>
      <w:r>
        <w:rPr>
          <w:rFonts w:ascii="Arial" w:hAnsi="Arial" w:cs="Arial"/>
          <w:noProof/>
          <w:color w:val="auto"/>
        </w:rPr>
        <w:t>2</w:t>
      </w:r>
      <w:r w:rsidR="00EC455F" w:rsidRPr="0004426B">
        <w:rPr>
          <w:rFonts w:ascii="Arial" w:hAnsi="Arial" w:cs="Arial"/>
          <w:color w:val="auto"/>
        </w:rPr>
        <w:fldChar w:fldCharType="end"/>
      </w:r>
    </w:p>
    <w:p w:rsidR="009A6DBC" w:rsidRPr="009A6DBC" w:rsidRDefault="009A6DBC" w:rsidP="009A6DBC">
      <w:pPr>
        <w:jc w:val="center"/>
        <w:rPr>
          <w:b/>
          <w:lang w:val="es-ES"/>
        </w:rPr>
      </w:pPr>
      <w:r w:rsidRPr="009A6DBC">
        <w:rPr>
          <w:b/>
          <w:lang w:val="es-ES"/>
        </w:rPr>
        <w:t>ESTIMACIÓN DE DAÑOS ANUALES DE ALGUNOS IMPACTOS FÍSICOS A 2050</w:t>
      </w:r>
    </w:p>
    <w:tbl>
      <w:tblPr>
        <w:tblW w:w="5000" w:type="pct"/>
        <w:jc w:val="center"/>
        <w:tblCellMar>
          <w:left w:w="0" w:type="dxa"/>
          <w:right w:w="0" w:type="dxa"/>
        </w:tblCellMar>
        <w:tblLook w:val="04A0"/>
      </w:tblPr>
      <w:tblGrid>
        <w:gridCol w:w="2748"/>
        <w:gridCol w:w="1595"/>
        <w:gridCol w:w="1423"/>
        <w:gridCol w:w="1533"/>
        <w:gridCol w:w="2073"/>
      </w:tblGrid>
      <w:tr w:rsidR="009A6DBC" w:rsidRPr="009A6DBC" w:rsidTr="00681090">
        <w:trPr>
          <w:trHeight w:val="20"/>
          <w:jc w:val="center"/>
        </w:trPr>
        <w:tc>
          <w:tcPr>
            <w:tcW w:w="146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Impacto</w:t>
            </w:r>
          </w:p>
        </w:tc>
        <w:tc>
          <w:tcPr>
            <w:tcW w:w="851"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Área</w:t>
            </w:r>
          </w:p>
        </w:tc>
        <w:tc>
          <w:tcPr>
            <w:tcW w:w="759"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 anuales</w:t>
            </w:r>
          </w:p>
          <w:p w:rsidR="009A6DBC" w:rsidRPr="009A6DBC" w:rsidRDefault="009A6DBC" w:rsidP="009A6DBC">
            <w:pPr>
              <w:rPr>
                <w:lang w:val="es-ES"/>
              </w:rPr>
            </w:pPr>
            <w:r w:rsidRPr="009A6DBC">
              <w:rPr>
                <w:b/>
                <w:bCs/>
                <w:lang w:val="es-ES"/>
              </w:rPr>
              <w:t>proyectados</w:t>
            </w:r>
          </w:p>
        </w:tc>
        <w:tc>
          <w:tcPr>
            <w:tcW w:w="818"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w:t>
            </w:r>
          </w:p>
          <w:p w:rsidR="009A6DBC" w:rsidRPr="009A6DBC" w:rsidRDefault="009A6DBC" w:rsidP="009A6DBC">
            <w:pPr>
              <w:rPr>
                <w:lang w:val="es-ES"/>
              </w:rPr>
            </w:pPr>
            <w:r w:rsidRPr="009A6DBC">
              <w:rPr>
                <w:b/>
                <w:bCs/>
                <w:lang w:val="es-ES"/>
              </w:rPr>
              <w:t>acumulados</w:t>
            </w:r>
          </w:p>
        </w:tc>
        <w:tc>
          <w:tcPr>
            <w:tcW w:w="110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Fuente</w:t>
            </w:r>
          </w:p>
        </w:tc>
      </w:tr>
      <w:tr w:rsidR="009A6DBC" w:rsidRPr="009A6DBC" w:rsidTr="00681090">
        <w:trPr>
          <w:trHeight w:val="20"/>
          <w:jc w:val="center"/>
        </w:trPr>
        <w:tc>
          <w:tcPr>
            <w:tcW w:w="146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b/>
                <w:bCs/>
                <w:lang w:val="es-ES"/>
              </w:rPr>
            </w:pPr>
            <w:r w:rsidRPr="009A6DBC">
              <w:rPr>
                <w:b/>
                <w:bCs/>
                <w:lang w:val="es-ES"/>
              </w:rPr>
              <w:t>Pérdida de ingresos</w:t>
            </w:r>
          </w:p>
          <w:p w:rsidR="009A6DBC" w:rsidRPr="009A6DBC" w:rsidRDefault="009A6DBC" w:rsidP="009A6DBC">
            <w:pPr>
              <w:jc w:val="center"/>
              <w:rPr>
                <w:b/>
                <w:bCs/>
                <w:lang w:val="es-ES"/>
              </w:rPr>
            </w:pPr>
            <w:r w:rsidRPr="009A6DBC">
              <w:rPr>
                <w:b/>
                <w:bCs/>
                <w:lang w:val="es-ES"/>
              </w:rPr>
              <w:t>por exportaciones netas</w:t>
            </w:r>
          </w:p>
          <w:p w:rsidR="009A6DBC" w:rsidRPr="009A6DBC" w:rsidRDefault="009A6DBC" w:rsidP="009A6DBC">
            <w:pPr>
              <w:jc w:val="center"/>
              <w:rPr>
                <w:b/>
                <w:bCs/>
                <w:lang w:val="es-ES"/>
              </w:rPr>
            </w:pPr>
            <w:r w:rsidRPr="009A6DBC">
              <w:rPr>
                <w:b/>
                <w:bCs/>
                <w:lang w:val="es-ES"/>
              </w:rPr>
              <w:t>agrícolas: Trigo, soya,</w:t>
            </w:r>
          </w:p>
          <w:p w:rsidR="009A6DBC" w:rsidRPr="009A6DBC" w:rsidRDefault="009A6DBC" w:rsidP="009A6DBC">
            <w:pPr>
              <w:jc w:val="center"/>
              <w:rPr>
                <w:lang w:val="es-ES"/>
              </w:rPr>
            </w:pPr>
            <w:r w:rsidRPr="009A6DBC">
              <w:rPr>
                <w:b/>
                <w:bCs/>
                <w:lang w:val="es-ES"/>
              </w:rPr>
              <w:t>maíz, arroz</w:t>
            </w:r>
          </w:p>
        </w:tc>
        <w:tc>
          <w:tcPr>
            <w:tcW w:w="851"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América Latina y Caribe</w:t>
            </w:r>
          </w:p>
        </w:tc>
        <w:tc>
          <w:tcPr>
            <w:tcW w:w="759"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26 - 44</w:t>
            </w:r>
          </w:p>
        </w:tc>
        <w:tc>
          <w:tcPr>
            <w:tcW w:w="818"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roofErr w:type="spellStart"/>
            <w:r w:rsidRPr="009A6DBC">
              <w:rPr>
                <w:lang w:val="es-ES"/>
              </w:rPr>
              <w:t>Fernandes</w:t>
            </w:r>
            <w:proofErr w:type="spellEnd"/>
            <w:r w:rsidRPr="009A6DBC">
              <w:rPr>
                <w:lang w:val="es-ES"/>
              </w:rPr>
              <w:t xml:space="preserve"> et al. (2012)</w:t>
            </w:r>
          </w:p>
        </w:tc>
      </w:tr>
      <w:tr w:rsidR="009A6DBC" w:rsidRPr="009A6DBC" w:rsidTr="00681090">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b/>
                <w:bCs/>
                <w:lang w:val="es-ES"/>
              </w:rPr>
              <w:t>Alza del nivel del mar (1m)</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22</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roofErr w:type="spellStart"/>
            <w:r w:rsidRPr="009A6DBC">
              <w:rPr>
                <w:lang w:val="es-ES"/>
              </w:rPr>
              <w:t>Dasgupta</w:t>
            </w:r>
            <w:proofErr w:type="spellEnd"/>
            <w:r w:rsidRPr="009A6DBC">
              <w:rPr>
                <w:lang w:val="es-ES"/>
              </w:rPr>
              <w:t xml:space="preserve"> et al. (2007)</w:t>
            </w:r>
          </w:p>
        </w:tc>
      </w:tr>
      <w:tr w:rsidR="009A6DBC" w:rsidRPr="009A6DBC" w:rsidTr="00681090">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b/>
                <w:bCs/>
                <w:lang w:val="es-ES"/>
              </w:rPr>
              <w:t>Blanqueamiento del coral</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8 - 11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Vergara et al. (2009)</w:t>
            </w:r>
          </w:p>
        </w:tc>
      </w:tr>
      <w:tr w:rsidR="009A6DBC" w:rsidRPr="009A6DBC" w:rsidTr="00681090">
        <w:trPr>
          <w:trHeight w:val="20"/>
          <w:jc w:val="center"/>
        </w:trPr>
        <w:tc>
          <w:tcPr>
            <w:tcW w:w="1466" w:type="pct"/>
            <w:vMerge w:val="restar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b/>
                <w:bCs/>
                <w:lang w:val="es-ES"/>
              </w:rPr>
            </w:pPr>
            <w:r w:rsidRPr="009A6DBC">
              <w:rPr>
                <w:b/>
                <w:bCs/>
                <w:lang w:val="es-ES"/>
              </w:rPr>
              <w:t>Intensificación y aumento de</w:t>
            </w:r>
          </w:p>
          <w:p w:rsidR="009A6DBC" w:rsidRPr="009A6DBC" w:rsidRDefault="009A6DBC" w:rsidP="009A6DBC">
            <w:pPr>
              <w:jc w:val="center"/>
              <w:rPr>
                <w:b/>
                <w:bCs/>
                <w:lang w:val="es-ES"/>
              </w:rPr>
            </w:pPr>
            <w:r w:rsidRPr="009A6DBC">
              <w:rPr>
                <w:b/>
                <w:bCs/>
                <w:lang w:val="es-ES"/>
              </w:rPr>
              <w:t>frecuencia de los eventos</w:t>
            </w:r>
          </w:p>
          <w:p w:rsidR="009A6DBC" w:rsidRPr="009A6DBC" w:rsidRDefault="009A6DBC" w:rsidP="009A6DBC">
            <w:pPr>
              <w:jc w:val="center"/>
              <w:rPr>
                <w:lang w:val="es-ES"/>
              </w:rPr>
            </w:pPr>
            <w:r w:rsidRPr="009A6DBC">
              <w:rPr>
                <w:b/>
                <w:bCs/>
                <w:lang w:val="es-ES"/>
              </w:rPr>
              <w:t>climáticos extremos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CARICOM</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5</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Toba (2009)</w:t>
            </w:r>
          </w:p>
        </w:tc>
      </w:tr>
      <w:tr w:rsidR="009A6DBC" w:rsidRPr="009A6DBC" w:rsidTr="00681090">
        <w:trPr>
          <w:trHeight w:val="20"/>
          <w:jc w:val="center"/>
        </w:trPr>
        <w:tc>
          <w:tcPr>
            <w:tcW w:w="1466" w:type="pct"/>
            <w:vMerge/>
            <w:tcBorders>
              <w:top w:val="nil"/>
              <w:left w:val="nil"/>
              <w:bottom w:val="nil"/>
              <w:right w:val="nil"/>
            </w:tcBorders>
            <w:vAlign w:val="center"/>
            <w:hideMark/>
          </w:tcPr>
          <w:p w:rsidR="009A6DBC" w:rsidRPr="009A6DBC" w:rsidRDefault="009A6DBC" w:rsidP="009A6DBC">
            <w:pPr>
              <w:jc w:val="center"/>
              <w:rPr>
                <w:lang w:val="es-ES"/>
              </w:rPr>
            </w:pP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Golfo de México,</w:t>
            </w:r>
          </w:p>
          <w:p w:rsidR="009A6DBC" w:rsidRPr="009A6DBC" w:rsidRDefault="009A6DBC" w:rsidP="009A6DBC">
            <w:pPr>
              <w:jc w:val="center"/>
              <w:rPr>
                <w:lang w:val="es-ES"/>
              </w:rPr>
            </w:pPr>
            <w:r w:rsidRPr="009A6DBC">
              <w:rPr>
                <w:lang w:val="es-ES"/>
              </w:rPr>
              <w:t>Centroamérica y</w:t>
            </w:r>
          </w:p>
          <w:p w:rsidR="009A6DBC" w:rsidRPr="009A6DBC" w:rsidRDefault="009A6DBC" w:rsidP="009A6DBC">
            <w:pPr>
              <w:jc w:val="center"/>
              <w:rPr>
                <w:lang w:val="es-ES"/>
              </w:rPr>
            </w:pPr>
            <w:r w:rsidRPr="009A6DBC">
              <w:rPr>
                <w:lang w:val="es-ES"/>
              </w:rPr>
              <w:t>el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110-149</w:t>
            </w:r>
          </w:p>
          <w:p w:rsidR="009A6DBC" w:rsidRPr="009A6DBC" w:rsidRDefault="009A6DBC" w:rsidP="009A6DBC">
            <w:pPr>
              <w:jc w:val="center"/>
              <w:rPr>
                <w:lang w:val="es-ES"/>
              </w:rPr>
            </w:pPr>
            <w:r w:rsidRPr="009A6DBC">
              <w:rPr>
                <w:lang w:val="es-ES"/>
              </w:rPr>
              <w:t>para 2021 - 2025</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Curry et al. (2009)</w:t>
            </w:r>
          </w:p>
        </w:tc>
      </w:tr>
      <w:tr w:rsidR="009A6DBC" w:rsidRPr="009A6DBC" w:rsidTr="00681090">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b/>
                <w:bCs/>
                <w:lang w:val="es-ES"/>
              </w:rPr>
            </w:pPr>
            <w:r w:rsidRPr="009A6DBC">
              <w:rPr>
                <w:b/>
                <w:bCs/>
                <w:lang w:val="es-ES"/>
              </w:rPr>
              <w:t>Salud (Aumento en la</w:t>
            </w:r>
          </w:p>
          <w:p w:rsidR="009A6DBC" w:rsidRPr="009A6DBC" w:rsidRDefault="009A6DBC" w:rsidP="009A6DBC">
            <w:pPr>
              <w:jc w:val="center"/>
              <w:rPr>
                <w:b/>
                <w:bCs/>
                <w:lang w:val="es-ES"/>
              </w:rPr>
            </w:pPr>
            <w:r w:rsidRPr="009A6DBC">
              <w:rPr>
                <w:b/>
                <w:bCs/>
                <w:lang w:val="es-ES"/>
              </w:rPr>
              <w:t>incidencia de casos</w:t>
            </w:r>
          </w:p>
          <w:p w:rsidR="009A6DBC" w:rsidRPr="009A6DBC" w:rsidRDefault="009A6DBC" w:rsidP="009A6DBC">
            <w:pPr>
              <w:jc w:val="center"/>
              <w:rPr>
                <w:lang w:val="es-ES"/>
              </w:rPr>
            </w:pPr>
            <w:r w:rsidRPr="009A6DBC">
              <w:rPr>
                <w:b/>
                <w:bCs/>
                <w:lang w:val="es-ES"/>
              </w:rPr>
              <w:t>de diarrea y desnutrición)</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roofErr w:type="spellStart"/>
            <w:r w:rsidRPr="009A6DBC">
              <w:rPr>
                <w:lang w:val="es-ES"/>
              </w:rPr>
              <w:t>Ebi</w:t>
            </w:r>
            <w:proofErr w:type="spellEnd"/>
            <w:r w:rsidRPr="009A6DBC">
              <w:rPr>
                <w:lang w:val="es-ES"/>
              </w:rPr>
              <w:t xml:space="preserve"> (2008)</w:t>
            </w:r>
          </w:p>
        </w:tc>
      </w:tr>
      <w:tr w:rsidR="009A6DBC" w:rsidRPr="009A6DBC" w:rsidTr="00681090">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b/>
                <w:bCs/>
                <w:lang w:val="es-ES"/>
              </w:rPr>
            </w:pPr>
            <w:r w:rsidRPr="009A6DBC">
              <w:rPr>
                <w:b/>
                <w:bCs/>
                <w:lang w:val="es-ES"/>
              </w:rPr>
              <w:t>Muerte de los perímetros</w:t>
            </w:r>
          </w:p>
          <w:p w:rsidR="009A6DBC" w:rsidRPr="009A6DBC" w:rsidRDefault="009A6DBC" w:rsidP="009A6DBC">
            <w:pPr>
              <w:jc w:val="center"/>
              <w:rPr>
                <w:lang w:val="es-ES"/>
              </w:rPr>
            </w:pPr>
            <w:r w:rsidRPr="009A6DBC">
              <w:rPr>
                <w:b/>
                <w:bCs/>
                <w:lang w:val="es-ES"/>
              </w:rPr>
              <w:t>forestales del Amazonas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América Latina</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4 - 8</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Vergara et al. (2013)</w:t>
            </w:r>
          </w:p>
        </w:tc>
      </w:tr>
      <w:tr w:rsidR="009A6DBC" w:rsidRPr="009A6DBC" w:rsidTr="00681090">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b/>
                <w:bCs/>
                <w:lang w:val="es-ES"/>
              </w:rPr>
              <w:t>Retroceso de los glaciares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Perú</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Vergara et al. (2007)</w:t>
            </w:r>
          </w:p>
        </w:tc>
      </w:tr>
      <w:tr w:rsidR="009A6DBC" w:rsidRPr="009A6DBC" w:rsidTr="00681090">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b/>
                <w:bCs/>
                <w:lang w:val="es-ES"/>
              </w:rPr>
            </w:pPr>
            <w:r w:rsidRPr="009A6DBC">
              <w:rPr>
                <w:b/>
                <w:bCs/>
                <w:lang w:val="es-ES"/>
              </w:rPr>
              <w:t>Pérdida de los</w:t>
            </w:r>
          </w:p>
          <w:p w:rsidR="009A6DBC" w:rsidRPr="009A6DBC" w:rsidRDefault="009A6DBC" w:rsidP="009A6DBC">
            <w:pPr>
              <w:jc w:val="center"/>
              <w:rPr>
                <w:lang w:val="es-ES"/>
              </w:rPr>
            </w:pPr>
            <w:r w:rsidRPr="009A6DBC">
              <w:rPr>
                <w:b/>
                <w:bCs/>
                <w:lang w:val="es-ES"/>
              </w:rPr>
              <w:t xml:space="preserve">servicios </w:t>
            </w:r>
            <w:proofErr w:type="spellStart"/>
            <w:r w:rsidRPr="009A6DBC">
              <w:rPr>
                <w:b/>
                <w:bCs/>
                <w:lang w:val="es-ES"/>
              </w:rPr>
              <w:t>ecosistémicos</w:t>
            </w:r>
            <w:proofErr w:type="spellEnd"/>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América Latina</w:t>
            </w:r>
          </w:p>
        </w:tc>
        <w:tc>
          <w:tcPr>
            <w:tcW w:w="759" w:type="pct"/>
            <w:tcBorders>
              <w:top w:val="nil"/>
              <w:left w:val="nil"/>
              <w:bottom w:val="nil"/>
              <w:right w:val="nil"/>
            </w:tcBorders>
            <w:shd w:val="clear" w:color="auto" w:fill="auto"/>
            <w:vAlign w:val="center"/>
          </w:tcPr>
          <w:p w:rsidR="009A6DBC" w:rsidRPr="009A6DBC" w:rsidRDefault="009A6DBC" w:rsidP="009A6DBC">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36</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Vergara et al. (2013)</w:t>
            </w:r>
          </w:p>
        </w:tc>
      </w:tr>
      <w:tr w:rsidR="009A6DBC" w:rsidRPr="009A6DBC" w:rsidTr="00681090">
        <w:trPr>
          <w:trHeight w:val="20"/>
          <w:jc w:val="center"/>
        </w:trPr>
        <w:tc>
          <w:tcPr>
            <w:tcW w:w="146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b/>
                <w:bCs/>
                <w:lang w:val="es-ES"/>
              </w:rPr>
              <w:t>Generación hídrica</w:t>
            </w:r>
          </w:p>
        </w:tc>
        <w:tc>
          <w:tcPr>
            <w:tcW w:w="851"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Brasil</w:t>
            </w:r>
          </w:p>
        </w:tc>
        <w:tc>
          <w:tcPr>
            <w:tcW w:w="759"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18</w:t>
            </w:r>
          </w:p>
        </w:tc>
        <w:tc>
          <w:tcPr>
            <w:tcW w:w="818"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lang w:val="es-ES"/>
              </w:rPr>
              <w:t>Vergara et al. (2013)</w:t>
            </w:r>
          </w:p>
        </w:tc>
      </w:tr>
      <w:tr w:rsidR="009A6DBC" w:rsidRPr="009A6DBC" w:rsidTr="00681090">
        <w:trPr>
          <w:trHeight w:val="20"/>
          <w:jc w:val="center"/>
        </w:trPr>
        <w:tc>
          <w:tcPr>
            <w:tcW w:w="146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b/>
                <w:bCs/>
                <w:lang w:val="es-ES"/>
              </w:rPr>
              <w:t>Total</w:t>
            </w:r>
          </w:p>
        </w:tc>
        <w:tc>
          <w:tcPr>
            <w:tcW w:w="851"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759"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r w:rsidRPr="009A6DBC">
              <w:rPr>
                <w:b/>
                <w:bCs/>
                <w:lang w:val="es-ES"/>
              </w:rPr>
              <w:t>85 - 110</w:t>
            </w:r>
          </w:p>
        </w:tc>
        <w:tc>
          <w:tcPr>
            <w:tcW w:w="818"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c>
          <w:tcPr>
            <w:tcW w:w="110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9A6DBC">
            <w:pPr>
              <w:jc w:val="center"/>
              <w:rPr>
                <w:lang w:val="es-ES"/>
              </w:rPr>
            </w:pPr>
          </w:p>
        </w:tc>
      </w:tr>
      <w:tr w:rsidR="009A6DBC" w:rsidRPr="009A6DBC" w:rsidTr="00681090">
        <w:trPr>
          <w:trHeight w:val="20"/>
          <w:jc w:val="center"/>
        </w:trPr>
        <w:tc>
          <w:tcPr>
            <w:tcW w:w="146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 xml:space="preserve">% del PIB de 2010 </w:t>
            </w:r>
          </w:p>
        </w:tc>
        <w:tc>
          <w:tcPr>
            <w:tcW w:w="851"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p>
        </w:tc>
        <w:tc>
          <w:tcPr>
            <w:tcW w:w="759"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(1.8 - 2.4)</w:t>
            </w:r>
          </w:p>
        </w:tc>
        <w:tc>
          <w:tcPr>
            <w:tcW w:w="818"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p>
        </w:tc>
        <w:tc>
          <w:tcPr>
            <w:tcW w:w="110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p>
        </w:tc>
      </w:tr>
    </w:tbl>
    <w:p w:rsidR="001A1F7A" w:rsidRDefault="009A6DBC" w:rsidP="00CD7CFE">
      <w:pPr>
        <w:rPr>
          <w:lang w:val="en-US"/>
        </w:rPr>
        <w:sectPr w:rsidR="001A1F7A" w:rsidSect="0045379A">
          <w:type w:val="oddPage"/>
          <w:pgSz w:w="12240" w:h="15840"/>
          <w:pgMar w:top="1440" w:right="1440" w:bottom="1440" w:left="1440" w:header="720" w:footer="720" w:gutter="0"/>
          <w:cols w:space="720"/>
          <w:docGrid w:linePitch="360"/>
        </w:sectPr>
      </w:pPr>
      <w:proofErr w:type="spellStart"/>
      <w:r w:rsidRPr="009A6DBC">
        <w:rPr>
          <w:b/>
          <w:lang w:val="en-US" w:bidi="en-US"/>
        </w:rPr>
        <w:lastRenderedPageBreak/>
        <w:t>Fuente</w:t>
      </w:r>
      <w:proofErr w:type="spellEnd"/>
      <w:r w:rsidRPr="009A6DBC">
        <w:rPr>
          <w:b/>
          <w:lang w:val="en-US" w:bidi="en-US"/>
        </w:rPr>
        <w:t>:</w:t>
      </w:r>
      <w:r w:rsidRPr="009A6DBC">
        <w:rPr>
          <w:lang w:val="en-US" w:bidi="en-US"/>
        </w:rPr>
        <w:t xml:space="preserve"> </w:t>
      </w:r>
      <w:proofErr w:type="spellStart"/>
      <w:r w:rsidRPr="009A6DBC">
        <w:rPr>
          <w:lang w:val="en-US"/>
        </w:rPr>
        <w:t>Vergara</w:t>
      </w:r>
      <w:proofErr w:type="spellEnd"/>
      <w:r w:rsidRPr="009A6DBC">
        <w:rPr>
          <w:lang w:val="en-US"/>
        </w:rPr>
        <w:t xml:space="preserve">, Walter y </w:t>
      </w:r>
      <w:proofErr w:type="spellStart"/>
      <w:r w:rsidRPr="009A6DBC">
        <w:rPr>
          <w:lang w:val="en-US"/>
        </w:rPr>
        <w:t>otros</w:t>
      </w:r>
      <w:proofErr w:type="spellEnd"/>
      <w:r w:rsidRPr="009A6DBC">
        <w:rPr>
          <w:lang w:val="en-US"/>
        </w:rPr>
        <w:t xml:space="preserve"> (2013), </w:t>
      </w:r>
      <w:proofErr w:type="gramStart"/>
      <w:r w:rsidRPr="009A6DBC">
        <w:rPr>
          <w:i/>
          <w:iCs/>
          <w:lang w:val="en-US"/>
        </w:rPr>
        <w:t>The</w:t>
      </w:r>
      <w:proofErr w:type="gramEnd"/>
      <w:r w:rsidRPr="009A6DBC">
        <w:rPr>
          <w:i/>
          <w:iCs/>
          <w:lang w:val="en-US"/>
        </w:rPr>
        <w:t xml:space="preserve"> climate and development challenge for Latin America and the Caribbean: options for climate-resilient, low-carbon development</w:t>
      </w:r>
      <w:r w:rsidRPr="009A6DBC">
        <w:rPr>
          <w:lang w:val="en-US"/>
        </w:rPr>
        <w:t>, Inter-American Development Bank.</w:t>
      </w:r>
    </w:p>
    <w:p w:rsidR="00652C8E" w:rsidRPr="001A1F7A" w:rsidRDefault="00214E56" w:rsidP="00214E56">
      <w:pPr>
        <w:pStyle w:val="STituloJerarquia1"/>
      </w:pPr>
      <w:r>
        <w:rPr>
          <w:lang w:val="es-ES"/>
        </w:rPr>
        <w:lastRenderedPageBreak/>
        <w:t>III.</w:t>
      </w:r>
      <w:r>
        <w:rPr>
          <w:lang w:val="es-ES"/>
        </w:rPr>
        <w:tab/>
      </w:r>
      <w:r w:rsidR="00656BF5" w:rsidRPr="001A1F7A">
        <w:t>Crecimiento y pobreza</w:t>
      </w:r>
    </w:p>
    <w:p w:rsidR="00E264BA" w:rsidRDefault="00E264BA" w:rsidP="00E264BA">
      <w:pPr>
        <w:pStyle w:val="STituloJerarquia2SINnumeral"/>
        <w:numPr>
          <w:ilvl w:val="0"/>
          <w:numId w:val="11"/>
        </w:numPr>
      </w:pPr>
      <w:r>
        <w:t>Panorama regional</w:t>
      </w:r>
    </w:p>
    <w:p w:rsidR="00E264BA" w:rsidRDefault="00E264BA" w:rsidP="005E2F79">
      <w:pPr>
        <w:ind w:firstLine="567"/>
        <w:rPr>
          <w:lang w:val="es-ES"/>
        </w:rPr>
      </w:pPr>
    </w:p>
    <w:p w:rsidR="00E264BA" w:rsidRDefault="00E264BA" w:rsidP="005E2F79">
      <w:pPr>
        <w:ind w:firstLine="567"/>
        <w:rPr>
          <w:lang w:val="es-ES"/>
        </w:rPr>
      </w:pPr>
    </w:p>
    <w:p w:rsidR="004C0CC0" w:rsidRDefault="0043659D" w:rsidP="005E2F79">
      <w:pPr>
        <w:ind w:firstLine="567"/>
        <w:rPr>
          <w:lang w:val="es-ES"/>
        </w:rPr>
      </w:pPr>
      <w:r>
        <w:rPr>
          <w:lang w:val="es-ES"/>
        </w:rPr>
        <w:t xml:space="preserve">América Latina y el Caribe </w:t>
      </w:r>
      <w:proofErr w:type="gramStart"/>
      <w:r>
        <w:rPr>
          <w:lang w:val="es-ES"/>
        </w:rPr>
        <w:t>ha</w:t>
      </w:r>
      <w:proofErr w:type="gramEnd"/>
      <w:r>
        <w:rPr>
          <w:lang w:val="es-ES"/>
        </w:rPr>
        <w:t xml:space="preserve"> experimentado un </w:t>
      </w:r>
      <w:r w:rsidR="00656BF5">
        <w:rPr>
          <w:lang w:val="es-ES"/>
        </w:rPr>
        <w:t>crecimiento relativamente lento</w:t>
      </w:r>
      <w:r>
        <w:rPr>
          <w:lang w:val="es-ES"/>
        </w:rPr>
        <w:t>, considerando su PIB per cápita</w:t>
      </w:r>
      <w:r w:rsidR="00656BF5">
        <w:rPr>
          <w:lang w:val="es-ES"/>
        </w:rPr>
        <w:t xml:space="preserve">. </w:t>
      </w:r>
      <w:r>
        <w:rPr>
          <w:lang w:val="es-ES"/>
        </w:rPr>
        <w:t xml:space="preserve">Para el periodo 1980 – 2011, el PIB de la región creció a una tasa de 2,6% anual, mientras que la población se expandió a una tasa de 1,7%, por lo que en términos per cápita la región solamente creció al 0,9% anual. Esto contrasta con lo alcanzado por otras regiones, principalmente en Asia, donde el crecimiento del producto por habitante </w:t>
      </w:r>
      <w:r w:rsidR="00D30736">
        <w:rPr>
          <w:lang w:val="es-ES"/>
        </w:rPr>
        <w:t xml:space="preserve">creció. </w:t>
      </w:r>
    </w:p>
    <w:p w:rsidR="0043659D" w:rsidRDefault="0043659D" w:rsidP="00214E56">
      <w:pPr>
        <w:rPr>
          <w:lang w:val="es-ES"/>
        </w:rPr>
      </w:pPr>
    </w:p>
    <w:p w:rsidR="000B3111" w:rsidRDefault="000B3111" w:rsidP="000B3111">
      <w:pPr>
        <w:pStyle w:val="Caption"/>
        <w:spacing w:after="0"/>
        <w:jc w:val="center"/>
        <w:rPr>
          <w:color w:val="auto"/>
        </w:rPr>
      </w:pPr>
      <w:r w:rsidRPr="00E47A79">
        <w:rPr>
          <w:color w:val="auto"/>
        </w:rPr>
        <w:t xml:space="preserve">GRÁFICO </w:t>
      </w:r>
      <w:r w:rsidR="00EC455F" w:rsidRPr="00E47A79">
        <w:rPr>
          <w:color w:val="auto"/>
        </w:rPr>
        <w:fldChar w:fldCharType="begin"/>
      </w:r>
      <w:r w:rsidRPr="00E47A79">
        <w:rPr>
          <w:color w:val="auto"/>
        </w:rPr>
        <w:instrText xml:space="preserve"> SEQ GRÁFICO \* ARABIC </w:instrText>
      </w:r>
      <w:r w:rsidR="00EC455F" w:rsidRPr="00E47A79">
        <w:rPr>
          <w:color w:val="auto"/>
        </w:rPr>
        <w:fldChar w:fldCharType="separate"/>
      </w:r>
      <w:r w:rsidRPr="00E47A79">
        <w:rPr>
          <w:noProof/>
          <w:color w:val="auto"/>
        </w:rPr>
        <w:t>1</w:t>
      </w:r>
      <w:r w:rsidR="00EC455F" w:rsidRPr="00E47A79">
        <w:rPr>
          <w:color w:val="auto"/>
        </w:rPr>
        <w:fldChar w:fldCharType="end"/>
      </w:r>
    </w:p>
    <w:p w:rsidR="00FF5D05" w:rsidRPr="00FF5D05" w:rsidRDefault="00FF5D05" w:rsidP="00FF5D05">
      <w:pPr>
        <w:jc w:val="center"/>
        <w:rPr>
          <w:b/>
          <w:lang w:val="es-ES"/>
        </w:rPr>
      </w:pPr>
      <w:r w:rsidRPr="00FF5D05">
        <w:rPr>
          <w:b/>
          <w:lang w:val="es-ES"/>
        </w:rPr>
        <w:t>América Latina: evolución de la pobreza y de la indigencia, 1980-2013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43659D" w:rsidRPr="00D30736" w:rsidTr="00424DA4">
        <w:tc>
          <w:tcPr>
            <w:tcW w:w="4788" w:type="dxa"/>
          </w:tcPr>
          <w:p w:rsidR="0043659D" w:rsidRDefault="0043659D" w:rsidP="00214E56">
            <w:pPr>
              <w:rPr>
                <w:lang w:val="es-ES"/>
              </w:rPr>
            </w:pPr>
          </w:p>
        </w:tc>
        <w:tc>
          <w:tcPr>
            <w:tcW w:w="4788" w:type="dxa"/>
          </w:tcPr>
          <w:p w:rsidR="0043659D" w:rsidRDefault="0043659D" w:rsidP="00214E56">
            <w:pPr>
              <w:rPr>
                <w:lang w:val="es-ES"/>
              </w:rPr>
            </w:pPr>
          </w:p>
        </w:tc>
      </w:tr>
      <w:tr w:rsidR="0043659D" w:rsidTr="00424DA4">
        <w:tc>
          <w:tcPr>
            <w:tcW w:w="4788" w:type="dxa"/>
          </w:tcPr>
          <w:p w:rsidR="0043659D" w:rsidRDefault="00293BC4" w:rsidP="00214E56">
            <w:pPr>
              <w:rPr>
                <w:lang w:val="es-ES"/>
              </w:rPr>
            </w:pPr>
            <w:r w:rsidRPr="00293BC4">
              <w:rPr>
                <w:noProof/>
                <w:lang w:val="en-US"/>
              </w:rPr>
              <w:lastRenderedPageBreak/>
              <w:drawing>
                <wp:inline distT="0" distB="0" distL="0" distR="0">
                  <wp:extent cx="2962656" cy="2596896"/>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788" w:type="dxa"/>
          </w:tcPr>
          <w:p w:rsidR="0043659D" w:rsidRDefault="00293BC4" w:rsidP="00214E56">
            <w:pPr>
              <w:rPr>
                <w:lang w:val="es-ES"/>
              </w:rPr>
            </w:pPr>
            <w:r w:rsidRPr="00293BC4">
              <w:rPr>
                <w:noProof/>
                <w:lang w:val="en-US"/>
              </w:rPr>
              <w:drawing>
                <wp:inline distT="0" distB="0" distL="0" distR="0">
                  <wp:extent cx="2977287" cy="25968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FF5D05" w:rsidRPr="00FF5D05" w:rsidRDefault="00293BC4" w:rsidP="00FF5D05">
      <w:pPr>
        <w:rPr>
          <w:sz w:val="20"/>
          <w:szCs w:val="24"/>
          <w:lang w:val="es-ES"/>
        </w:rPr>
      </w:pPr>
      <w:r>
        <w:rPr>
          <w:lang w:val="es-ES"/>
        </w:rPr>
        <w:t xml:space="preserve">Fuente: Elaboración propia con datos </w:t>
      </w:r>
      <w:r w:rsidR="00FF5D05" w:rsidRPr="00FF5D05">
        <w:rPr>
          <w:sz w:val="20"/>
          <w:szCs w:val="24"/>
          <w:lang w:val="es-ES"/>
        </w:rPr>
        <w:t xml:space="preserve">CEPAL, Comisión Económica para América Latina y el Caribe (2013), </w:t>
      </w:r>
      <w:r w:rsidR="00FF5D05" w:rsidRPr="00FF5D05">
        <w:rPr>
          <w:i/>
          <w:iCs/>
          <w:sz w:val="20"/>
          <w:szCs w:val="24"/>
          <w:lang w:val="es-ES"/>
        </w:rPr>
        <w:t>Panorama social de América Latina, 2012</w:t>
      </w:r>
      <w:r w:rsidR="00FF5D05" w:rsidRPr="00FF5D05">
        <w:rPr>
          <w:sz w:val="20"/>
          <w:szCs w:val="24"/>
          <w:lang w:val="es-ES"/>
        </w:rPr>
        <w:t>, Panorama Social de América Latina, Santiago, CEPAL.</w:t>
      </w:r>
      <w:r w:rsidR="00FF5D05">
        <w:rPr>
          <w:sz w:val="20"/>
          <w:szCs w:val="24"/>
          <w:lang w:val="es-ES"/>
        </w:rPr>
        <w:t xml:space="preserve"> </w:t>
      </w:r>
      <w:proofErr w:type="gramStart"/>
      <w:r w:rsidR="00FF5D05">
        <w:rPr>
          <w:sz w:val="20"/>
          <w:szCs w:val="24"/>
          <w:lang w:val="es-ES"/>
        </w:rPr>
        <w:t>y</w:t>
      </w:r>
      <w:proofErr w:type="gramEnd"/>
      <w:r w:rsidR="00FF5D05">
        <w:rPr>
          <w:sz w:val="20"/>
          <w:szCs w:val="24"/>
          <w:lang w:val="es-ES"/>
        </w:rPr>
        <w:t xml:space="preserve"> CEPAL </w:t>
      </w:r>
      <w:r w:rsidR="00FF5D05" w:rsidRPr="00FF5D05">
        <w:rPr>
          <w:sz w:val="20"/>
          <w:szCs w:val="24"/>
          <w:lang w:val="es-ES"/>
        </w:rPr>
        <w:t xml:space="preserve"> (2013), </w:t>
      </w:r>
      <w:r w:rsidR="00FF5D05" w:rsidRPr="00FF5D05">
        <w:rPr>
          <w:i/>
          <w:iCs/>
          <w:sz w:val="20"/>
          <w:szCs w:val="24"/>
          <w:lang w:val="es-ES"/>
        </w:rPr>
        <w:t>Panorama social de América Latina, 2013. Documento Informativo</w:t>
      </w:r>
      <w:r w:rsidR="00FF5D05" w:rsidRPr="00FF5D05">
        <w:rPr>
          <w:sz w:val="20"/>
          <w:szCs w:val="24"/>
          <w:lang w:val="es-ES"/>
        </w:rPr>
        <w:t>, Panorama Social de América Latina, Santiago, CEPAL.</w:t>
      </w:r>
    </w:p>
    <w:p w:rsidR="004C0CC0" w:rsidRDefault="004C0CC0" w:rsidP="00FA2270">
      <w:pPr>
        <w:rPr>
          <w:sz w:val="18"/>
          <w:lang w:val="es-ES"/>
        </w:rPr>
      </w:pPr>
    </w:p>
    <w:p w:rsidR="00181D30" w:rsidRDefault="00181D30" w:rsidP="00181D30">
      <w:pPr>
        <w:rPr>
          <w:lang w:val="es-ES"/>
        </w:rPr>
      </w:pPr>
    </w:p>
    <w:p w:rsidR="00181D30" w:rsidRDefault="00181D30" w:rsidP="00181D30">
      <w:pPr>
        <w:rPr>
          <w:lang w:val="es-ES"/>
        </w:rPr>
      </w:pPr>
      <w:r>
        <w:rPr>
          <w:lang w:val="es-ES"/>
        </w:rPr>
        <w:t>Problemas con la medición de la pobreza*****</w:t>
      </w:r>
    </w:p>
    <w:p w:rsidR="009A6DBC" w:rsidRDefault="009A6DBC" w:rsidP="00181D30">
      <w:pPr>
        <w:rPr>
          <w:lang w:val="es-ES"/>
        </w:rPr>
      </w:pPr>
    </w:p>
    <w:p w:rsidR="001A1F7A" w:rsidRDefault="009A6DBC" w:rsidP="001A1F7A">
      <w:pPr>
        <w:rPr>
          <w:lang w:val="es-ES"/>
        </w:rPr>
      </w:pPr>
      <w:r>
        <w:rPr>
          <w:lang w:val="es-ES"/>
        </w:rPr>
        <w:t>Un enfoque es establecer el impacto del cambio climático en el crecimiento económico y sus implicaciones sobre los índices de pobreza.</w:t>
      </w:r>
    </w:p>
    <w:p w:rsidR="009E5C5C" w:rsidRDefault="009E5C5C" w:rsidP="001A1F7A">
      <w:pPr>
        <w:rPr>
          <w:lang w:val="es-ES"/>
        </w:rPr>
      </w:pPr>
    </w:p>
    <w:p w:rsidR="009E5C5C" w:rsidRPr="009E5C5C" w:rsidRDefault="009E5C5C" w:rsidP="009E5C5C">
      <w:r w:rsidRPr="009E5C5C">
        <w:t xml:space="preserve">En la actualidad América Latina se enfrenta a diversos desafíos económicos entre los cuales se encuentra de manera apremiante el logro de un cambio estructural que le permita diversificar su base productiva y reducir su vulnerabilidad frente al comercio exterior, dada la concentración de sus exportaciones en bienes primarios y </w:t>
      </w:r>
      <w:r w:rsidRPr="009E5C5C">
        <w:rPr>
          <w:i/>
        </w:rPr>
        <w:t>commodities</w:t>
      </w:r>
      <w:r w:rsidRPr="009E5C5C">
        <w:t>. Por su parte, el mayor desafío social de la región se encuentra focalizado en la reducción de la  pobreza y la indigencia y en conseguir una mejor distribución del ingreso, dado que América Latina sostiene actualmente los índices más elevados de desigualdad mundial superando los noveles de Asia, Europa del Este e incluso de países africanos</w:t>
      </w:r>
      <w:r w:rsidRPr="009E5C5C">
        <w:rPr>
          <w:vertAlign w:val="superscript"/>
        </w:rPr>
        <w:footnoteReference w:id="3"/>
      </w:r>
      <w:r w:rsidRPr="009E5C5C">
        <w:t xml:space="preserve">. Frente a esta situación, resulta importante prestar cuidadosa atención al ambiente económico y social actual de la región, de manera que su análisis detallado nos permita construir juicios y proponer soluciones a los desafíos presentes en la sociedad latinoamericana. El presenta análisis se hace poniendo especial énfasis en el crecimiento económico de los países latinoamericanos analizado a través del crecimiento de su producto interno bruto; la situación actual de la pobreza media y extrema  medida a través del índice de recuento, la brecha de pobreza y la brecha de pobreza al cuadrado, y finalmente la distribución del ingreso estudiada a través del índice de Gini. </w:t>
      </w:r>
    </w:p>
    <w:p w:rsidR="009E5C5C" w:rsidRPr="009E5C5C" w:rsidRDefault="009E5C5C" w:rsidP="009E5C5C"/>
    <w:p w:rsidR="009E5C5C" w:rsidRPr="009E5C5C" w:rsidRDefault="009E5C5C" w:rsidP="009E5C5C">
      <w:r w:rsidRPr="009E5C5C">
        <w:t xml:space="preserve">Existe una relación inversa innegable entre el crecimiento económico y los niveles de pobreza de una sociedad y, si bien es cierto que en la explicación del curso de la pobreza el crecimiento no es la única variable influyente, es bien sabido que aporta un gran porcentaje de la explicación del comportamiento de la variable social, por otro lado se encuentra la distribución del ingreso, que así mismo tiene un porcentaje importante de la explicación. </w:t>
      </w:r>
    </w:p>
    <w:p w:rsidR="009E5C5C" w:rsidRPr="009E5C5C" w:rsidRDefault="009E5C5C" w:rsidP="009E5C5C"/>
    <w:p w:rsidR="009E5C5C" w:rsidRPr="009E5C5C" w:rsidRDefault="009E5C5C" w:rsidP="009E5C5C">
      <w:r w:rsidRPr="009E5C5C">
        <w:t xml:space="preserve">En la actualidad la contribución de América Latina a la economía global es de 8-9%, mismo nivel registrado a principios de los años 90’s, el contexto económico ha estado marcado por la desaceleración de la economía global como resultado de la crisis en la zona Euro, los problemas en la economía china y las bajas tasas de crecimiento de Estados Unidos, con lo cual la región obtuvo en 2012 un crecimiento de 3%, que si bien es </w:t>
      </w:r>
      <w:r w:rsidRPr="009E5C5C">
        <w:lastRenderedPageBreak/>
        <w:t>mayor al promedio mundial (ubicado en 2,2%), es inferior a la obtenida en dos dos años anteriores. El crecimiento promedio del producto interno por habitante fue de 1,9%, resultado que es, de igual manera, inferior al obtenido en 2010 y 2011 y que fue causado principalmente por la desaceleración económica de Argentina y Brasil, ya que sin tomar en cuenta estos países el crecimiento per cápita habría sido de 2,9%.</w:t>
      </w:r>
      <w:r w:rsidRPr="009E5C5C">
        <w:rPr>
          <w:vertAlign w:val="superscript"/>
        </w:rPr>
        <w:footnoteReference w:id="4"/>
      </w:r>
    </w:p>
    <w:p w:rsidR="009E5C5C" w:rsidRPr="009E5C5C" w:rsidRDefault="009E5C5C" w:rsidP="009E5C5C"/>
    <w:p w:rsidR="009E5C5C" w:rsidRPr="009E5C5C" w:rsidRDefault="009E5C5C" w:rsidP="009E5C5C">
      <w:r w:rsidRPr="009E5C5C">
        <w:t xml:space="preserve">Los países que presentaron un mejor comportamiento macroeconómico (medido por el PIB per cápita) fueron: Chile, Panamá, Perú y Venezuela, seguidos por Bolivia, Costa Rica, Ecuador, Nicaragua y Uruguay, mientras que el único país de la región que presentó un crecimiento negativo del PIB por habitante fue Paraguay  con una tasa igual a -2,8% de 2011  a 2012. </w:t>
      </w:r>
      <w:r w:rsidRPr="009E5C5C">
        <w:rPr>
          <w:vertAlign w:val="superscript"/>
        </w:rPr>
        <w:footnoteReference w:id="5"/>
      </w:r>
    </w:p>
    <w:p w:rsidR="009E5C5C" w:rsidRPr="009E5C5C" w:rsidRDefault="009E5C5C" w:rsidP="009E5C5C"/>
    <w:p w:rsidR="009E5C5C" w:rsidRPr="009E5C5C" w:rsidRDefault="009E5C5C" w:rsidP="009E5C5C">
      <w:r w:rsidRPr="009E5C5C">
        <w:t xml:space="preserve">A pesar de presentar un comportamiento aceptable en comparación al contexto internacional, actualmente el panorama general de América Latina no se presenta de manera favorable, dados los numerosos  riesgos de comercio externo que hoy por hoy afronta la región propios de su estructura productiva, las diversas restricciones al volumen del comercio  global, las estructuras internacionales de precios y la incertidumbre financiera regional. </w:t>
      </w:r>
    </w:p>
    <w:p w:rsidR="009E5C5C" w:rsidRPr="009E5C5C" w:rsidRDefault="009E5C5C" w:rsidP="009E5C5C"/>
    <w:p w:rsidR="009E5C5C" w:rsidRPr="009E5C5C" w:rsidRDefault="009E5C5C" w:rsidP="009E5C5C">
      <w:r w:rsidRPr="009E5C5C">
        <w:t xml:space="preserve">La naturaleza de la producción latinoamericana para la comercialización externa determina la vulnerabilidad de la región frente al comercio internacional, haciendo evidentes los restos estructurales necesarios para que las crisis externas se puedan afrontar con mayor estabilidad. Actualmente el 60% de las exportaciones son materias primas (un 20% más que el nivel que representaban las mismas a principio de la década pasada) cuyo valor se incrementó principalmente por el aumento de los precios internacionales y no por un incremento en los volúmenes de comercio (como sucedió en los 90’s). La concentración de la producción regional en bienes primarios incentiva el aumento de las importaciones de bienes industriales y tecnológicos, que al no tener una oferta interna, obligan a saciar la demanda por medio las importaciones de dichos productos, lo cual afecta la poca producción manufacturera existente  e incrementa la brecha comercial del sector transable y no transable de la economía. </w:t>
      </w:r>
    </w:p>
    <w:p w:rsidR="009E5C5C" w:rsidRPr="009E5C5C" w:rsidRDefault="009E5C5C" w:rsidP="009E5C5C"/>
    <w:p w:rsidR="009E5C5C" w:rsidRPr="009E5C5C" w:rsidRDefault="009E5C5C" w:rsidP="009E5C5C">
      <w:r w:rsidRPr="009E5C5C">
        <w:t xml:space="preserve">Por la menor demanda mundial de los bienes producidos en la región, dado el menor ritmo de crecimiento internacional, las exportaciones de bienes y servicios bajaron en 2012 y, si bien es cierto que la demanda interna puede servir como ente compensador ante esta dificultad, América Latina enfrenta ahora el problema de la convergencia de muchos de sus países a su PIB potencial, a lo que debe sumarse que el precio externo de las principales materias primas exportadas por la región han disminuido desde 2012, mientras que el precio de las importaciones permaneció estable, lo que contribuyó al deterioro del balance externo latinoamericano,  afectando principalmente las economías centro y suramericanas, que actualmente cuentan con un déficit del orden del 10% de su PIB.  Sin embargo, cabe resaltar que los principales países exportadores de hidrocarburos han logrado mantener un superávit en su cuenta corriente. </w:t>
      </w:r>
    </w:p>
    <w:p w:rsidR="009E5C5C" w:rsidRPr="009E5C5C" w:rsidRDefault="009E5C5C" w:rsidP="009E5C5C"/>
    <w:p w:rsidR="009E5C5C" w:rsidRPr="009E5C5C" w:rsidRDefault="009E5C5C" w:rsidP="009E5C5C">
      <w:r w:rsidRPr="009E5C5C">
        <w:t xml:space="preserve">Un factor de riesgo que puede sumarse a los ya mencionados en el desarrollo económico de la región en la actualidad es el endurecimiento de la política monetaria estadounidense que conlleva a un encarecimiento del crédito externo además de reducir flujos de capitales a la región, con lo que la incertidumbre se incrementa y así mismo la volatilidad en los mercados de capitales. </w:t>
      </w:r>
    </w:p>
    <w:p w:rsidR="009E5C5C" w:rsidRPr="009E5C5C" w:rsidRDefault="009E5C5C" w:rsidP="009E5C5C">
      <w:r w:rsidRPr="009E5C5C">
        <w:t xml:space="preserve"> </w:t>
      </w:r>
    </w:p>
    <w:p w:rsidR="009E5C5C" w:rsidRPr="009E5C5C" w:rsidRDefault="009E5C5C" w:rsidP="009E5C5C">
      <w:r w:rsidRPr="009E5C5C">
        <w:t xml:space="preserve">Pese a lo anterior, existen aspectos positivos en el desempeño económico de la región, como es el majeo de la inflación, la evolución de los indicadores del mercado laboral y con ello el incremento en el poder adquisitivo de los salarios. En la mayoría de los países latinoamericanos, la inflación a 2012 presentó niveles menores a los obtenidos en 2011, siendo la tasa promedio 5.3% con 12 países por debajo de dicha cifra, por su parte los precios de los alimentos tuvieron el mismo comportamiento que la inflación general, pero con una diminución menos marcada y superando a la inflación general en 15 países. </w:t>
      </w:r>
      <w:r w:rsidRPr="009E5C5C">
        <w:rPr>
          <w:vertAlign w:val="superscript"/>
        </w:rPr>
        <w:footnoteReference w:id="6"/>
      </w:r>
      <w:r w:rsidRPr="009E5C5C">
        <w:t xml:space="preserve"> Por su parte el mercado laboral </w:t>
      </w:r>
      <w:r w:rsidRPr="009E5C5C">
        <w:lastRenderedPageBreak/>
        <w:t>latinoamericanos presenta las mejores cifras de desempleo de la última década  tras reducir dicha tasa al 6,4% en promedio. El comportamiento del desempleo naturalmente no fue igual en todos los países y así,  Brasil, Chile, Honduras, Panamá́ y el Perú se destacaron por tener una disminución de la tasa mientras que Cuba, Guatemala, el Paraguay y la Republica Dominicana presentaron un alza de 0,5 o más puntos porcentuales.</w:t>
      </w:r>
    </w:p>
    <w:p w:rsidR="009E5C5C" w:rsidRPr="009E5C5C" w:rsidRDefault="009E5C5C" w:rsidP="009E5C5C">
      <w:r w:rsidRPr="009E5C5C">
        <w:t xml:space="preserve"> </w:t>
      </w:r>
    </w:p>
    <w:p w:rsidR="009E5C5C" w:rsidRPr="009E5C5C" w:rsidRDefault="009E5C5C" w:rsidP="009E5C5C">
      <w:r w:rsidRPr="009E5C5C">
        <w:t>Un aspecto importante de la sociedad Latinoamérica es el surgimiento de una nueva “clase media” que surge después de la recuperación de la crisis financiera de 2008, se espera que para 2015 la población situada en esta clase sea el 78% lo cual puede considerarse como aspecto vital para el desarrollo económico por cuanto debe verse esa demanda naciente como potencial precursor de reformas estructurales que permitan diversificar la base productiva de la región, teniendo impactos positivos en el mercado laboral tanto en cantidad como el calidad del empleo y guíen, bajo las políticas complementarías correctas de  las reformas, a aumentos en la productividad regional, la cual se ha convertido en uno de los principales limitantes del crecimiento local. Así mismo, el fortalecimiento del comercio intrarregional ayudaría a ganar competitividad en los mercados internacionales y a fortalecer los procesos de diversificación productiva dado que en este tipo de comercio tiene mayor presencia bienes con alto valor  agregado y aprovechando la capacidad de especialización propia del comercio internacional.</w:t>
      </w:r>
    </w:p>
    <w:p w:rsidR="009E5C5C" w:rsidRPr="009E5C5C" w:rsidRDefault="009E5C5C" w:rsidP="009E5C5C"/>
    <w:p w:rsidR="009E5C5C" w:rsidRPr="009E5C5C" w:rsidRDefault="009E5C5C" w:rsidP="009E5C5C">
      <w:r w:rsidRPr="009E5C5C">
        <w:t>A lo anterior debe sumarse la necesidad y retomada preocupación sobre la formalización de una política industrial regional, con la intención de  apoyar el cambio estructural necesario para la diversificación de nuestra base exportadora, con miras a aprovechar los recursos provenientes del comercio intensivo de materias primas en inversión en conocimiento que permita implementar y aprovechar nuevas tecnologías en la producción. De esta manera, según lo señala el estudio “</w:t>
      </w:r>
      <w:r w:rsidRPr="009E5C5C">
        <w:rPr>
          <w:i/>
        </w:rPr>
        <w:t>Perspectivas económicas de América latina y el Caribe 2014</w:t>
      </w:r>
      <w:r w:rsidRPr="009E5C5C">
        <w:t xml:space="preserve">”, realizado por CEPAL se puede consolidar la formación de una clase media emergente y se aumentará la calidad del empleo, sin incluir que la reforma estructural daría paso a un crecimiento económico más inclusivo, al transferir mano de obra de sectores con baja productividad y alta informalidad, a sectores de mayor productividad capaces de generar encadenamientos productivos. </w:t>
      </w:r>
    </w:p>
    <w:p w:rsidR="009E5C5C" w:rsidRPr="009E5C5C" w:rsidRDefault="009E5C5C" w:rsidP="009E5C5C"/>
    <w:p w:rsidR="009E5C5C" w:rsidRPr="009E5C5C" w:rsidRDefault="009E5C5C" w:rsidP="009E5C5C">
      <w:r w:rsidRPr="009E5C5C">
        <w:t xml:space="preserve">Con base en todo lo anteriormente dicho, es de vital importancia para el desarrollo de nuestra economía, analizar el panorama económico de América latina  de manera integral con vías de proponer soluciones factibles que permitan el desarrollo del cambio estructural necesario que permita aprovechar las dinámicas comerciales internacionales, de la misma forma es importante proponer políticas complementarias para estas políticas de manera que se pueda dar una intensificación del capital humano con miras a mejorar los procesos productivos y aumentar el valor agregado de la producción local. De  igual manera, deben encontrarse soluciones a los problemas de infraestructura y  logística que promuevan el crecimiento y mejoren la competitividad regional. </w:t>
      </w:r>
    </w:p>
    <w:p w:rsidR="009E5C5C" w:rsidRPr="009E5C5C" w:rsidRDefault="009E5C5C" w:rsidP="009E5C5C"/>
    <w:p w:rsidR="009E5C5C" w:rsidRPr="009E5C5C" w:rsidRDefault="009E5C5C" w:rsidP="009E5C5C"/>
    <w:p w:rsidR="009E5C5C" w:rsidRPr="009E5C5C" w:rsidRDefault="009E5C5C" w:rsidP="009E5C5C">
      <w:r w:rsidRPr="009E5C5C">
        <w:t xml:space="preserve">Por si parte la pobreza en la región  ha presentado un comportamiento favorable, presentado una reducción sostenida a lo largo de la última década, con un caída acumulada de 15,7% desde 2002, mientras que la indigencia se ha reducido en 8%, debido principalmente a que el precio de los alimentos ha caído en menor magnitud que el índice general de precios, como se aclaró anteriormente; así, actualmente la pobreza media y extrema se encuentran en 28,2% y 11,3% de la población respectivamente, cifra en la que debe tenerse en cuenta la  </w:t>
      </w:r>
    </w:p>
    <w:p w:rsidR="009E5C5C" w:rsidRPr="009E5C5C" w:rsidRDefault="009E5C5C" w:rsidP="009E5C5C"/>
    <w:p w:rsidR="009E5C5C" w:rsidRPr="009E5C5C" w:rsidRDefault="009E5C5C" w:rsidP="009E5C5C">
      <w:r w:rsidRPr="009E5C5C">
        <w:t xml:space="preserve">Dada la relación existente entre crecimiento y pobreza, y conforme a que no se esperan cambios significativos en el crecimiento del producto interno per cápita en la región para 2013, ni variaciones significativas del nivel de empleo o  inflación, cabe esperar que los niveles de pobreza e indigencia conserven la tendencia y una magnitud parecida a la presentada en 2012, año para el cual se cuenta con información de 11 países sobre ambas variables, reflejando un comportamiento variado pero marcado por la reducción en los índices, con excepción de México, que presentó un aumento de pequeña cantidad de 2011 a 2012. </w:t>
      </w:r>
    </w:p>
    <w:p w:rsidR="009E5C5C" w:rsidRPr="009E5C5C" w:rsidRDefault="009E5C5C" w:rsidP="009E5C5C">
      <w:r w:rsidRPr="009E5C5C">
        <w:t xml:space="preserve">Los índices de pobreza monetaria Brecha de pobreza y brecha de pobreza al cuadrado, (que respectivamente dan cuenta de la distancia entre el ingreso promedio de las familias pobres y la línea de pobreza como porcentaje de la misma, y dicha distancia poniendo especial énfasis en la distribución del ingreso entre las </w:t>
      </w:r>
      <w:r w:rsidRPr="009E5C5C">
        <w:lastRenderedPageBreak/>
        <w:t>personas pobres), han tenido un comportamiento variante con tendencia a la reducción y que se presenta similar en distintos grupos de países como son: Colombia, Ecuador, Perú y República Dominicana, donde las variaciones son prácticamente idénticas; en Argentina, Costa Rica, Uruguay y Venezuela los índices disminuyeron en menor proporción que el índice de recuento, de lo que se deduce que la distancia promedio entre la línea de pobreza y los ingresos promedio de los pobres aumentó, situación que fue contraria en Brasil, México y El Salvador de 2011 a 2012.</w:t>
      </w:r>
    </w:p>
    <w:p w:rsidR="009E5C5C" w:rsidRPr="009E5C5C" w:rsidRDefault="009E5C5C" w:rsidP="009E5C5C"/>
    <w:p w:rsidR="009E5C5C" w:rsidRPr="009E5C5C" w:rsidRDefault="009E5C5C" w:rsidP="009E5C5C">
      <w:r w:rsidRPr="009E5C5C">
        <w:t>En el periodo de 2008 a 2011 en la región el índice de  brecha de pobreza y brecha de pobreza al cuadrado se ha reducido más que el índice de recuento, especialmente en los países con mayor reducción de la pobreza,  lo cual ha revelado la mejora en la situación de las personas que se encuentran bajo la línea de pobreza y no solo los que se encuentran cerca del umbral.</w:t>
      </w:r>
    </w:p>
    <w:p w:rsidR="009E5C5C" w:rsidRPr="009E5C5C" w:rsidRDefault="009E5C5C" w:rsidP="009E5C5C">
      <w:r w:rsidRPr="009E5C5C">
        <w:t xml:space="preserve"> </w:t>
      </w:r>
    </w:p>
    <w:p w:rsidR="009E5C5C" w:rsidRPr="009E5C5C" w:rsidRDefault="009E5C5C" w:rsidP="009E5C5C">
      <w:r w:rsidRPr="009E5C5C">
        <w:t>En los cambios que ha sufrido la región en los temas de pobreza e indigencia, han tenido un papel primordial la situación de los ingresos, el crecimiento económico (efecto crecimiento) y la distribución del ingreso (efecto distribución), de suerte que resulta útil analizar los factores determinantes de los cambios que han ocurrido en la región de 2011 a 2012.</w:t>
      </w:r>
      <w:r w:rsidRPr="009E5C5C">
        <w:rPr>
          <w:vertAlign w:val="superscript"/>
        </w:rPr>
        <w:footnoteReference w:id="7"/>
      </w:r>
    </w:p>
    <w:p w:rsidR="009E5C5C" w:rsidRPr="009E5C5C" w:rsidRDefault="009E5C5C" w:rsidP="009E5C5C"/>
    <w:p w:rsidR="009E5C5C" w:rsidRPr="009E5C5C" w:rsidRDefault="009E5C5C" w:rsidP="009E5C5C">
      <w:r w:rsidRPr="009E5C5C">
        <w:t>En el 2012 prácticamente todos los países tuvieron un aumento de los ingresos principalmente por el aumento de los ingresos de los ya ocupados, ya que el porcentaje de personas ocupadas no varió de forma significativa, este hecho es importante ya que si bien la tasa de desempleo en la región se encuentra en los niveles más bajos de la última década, este dato muestra que la población empleada no ha logrado superar los niveles actuales, hecho que, con buenas directrices, contribuiría en gran medida a la reducción de la pobreza.</w:t>
      </w:r>
    </w:p>
    <w:p w:rsidR="009E5C5C" w:rsidRPr="009E5C5C" w:rsidRDefault="009E5C5C" w:rsidP="009E5C5C"/>
    <w:p w:rsidR="009E5C5C" w:rsidRPr="009E5C5C" w:rsidRDefault="009E5C5C" w:rsidP="009E5C5C">
      <w:r w:rsidRPr="009E5C5C">
        <w:t>Según “</w:t>
      </w:r>
      <w:r w:rsidRPr="009E5C5C">
        <w:rPr>
          <w:i/>
        </w:rPr>
        <w:t>PANORAMA SOCIAL 2013”</w:t>
      </w:r>
      <w:r w:rsidRPr="009E5C5C">
        <w:t xml:space="preserve"> estudio lanzado en diciembre del mismo año, para los países de los cuales se tiene información de cifras actualizadas  a 2012, el efecto crecimiento explicó casi en su totalidad los cambios producidos en los niveles de pobreza en aquellos países donde la misma se redujo en al menos un punto porcentual de 2011 a 2012, mientras que en los países donde se presentaron menores niveles de reducción de la variable social predominó el efecto distribución.  Sin embargo, un estudio mas longitudinal con rango de 2008 a 2012 concluye que la diferencia en el aporte de ambos efectos no es tan marcada por cuanto, si bien es cierto que en la mayoría de los países el efecto crecimiento predominó en la explicación, para  dos países  con reducciones significativas de la pobreza, el efecto distribución explicó mas del 50% de los cambios de pobreza y contribuyó al 25% en otros seis </w:t>
      </w:r>
      <w:r w:rsidRPr="009E5C5C">
        <w:rPr>
          <w:vertAlign w:val="superscript"/>
        </w:rPr>
        <w:footnoteReference w:id="8"/>
      </w:r>
    </w:p>
    <w:p w:rsidR="009E5C5C" w:rsidRPr="009E5C5C" w:rsidRDefault="009E5C5C" w:rsidP="009E5C5C"/>
    <w:p w:rsidR="009E5C5C" w:rsidRPr="009E5C5C" w:rsidRDefault="009E5C5C" w:rsidP="009E5C5C">
      <w:r w:rsidRPr="009E5C5C">
        <w:t>GRÁFICO 1. América Latina (13 países): Cambios en la pobreza y contribución de los efectos crecimiento y distribución 2008-2012</w:t>
      </w:r>
    </w:p>
    <w:p w:rsidR="009E5C5C" w:rsidRPr="009E5C5C" w:rsidRDefault="009E5C5C" w:rsidP="009E5C5C">
      <w:r w:rsidRPr="009E5C5C">
        <w:rPr>
          <w:noProof/>
          <w:lang w:val="en-US"/>
        </w:rPr>
        <w:lastRenderedPageBreak/>
        <w:drawing>
          <wp:inline distT="0" distB="0" distL="0" distR="0">
            <wp:extent cx="5612130" cy="2667000"/>
            <wp:effectExtent l="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30.10.png"/>
                    <pic:cNvPicPr/>
                  </pic:nvPicPr>
                  <pic:blipFill rotWithShape="1">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821" b="42862"/>
                    <a:stretch/>
                  </pic:blipFill>
                  <pic:spPr bwMode="auto">
                    <a:xfrm>
                      <a:off x="0" y="0"/>
                      <a:ext cx="5612130" cy="2667000"/>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r w:rsidRPr="009E5C5C">
        <w:t>GRÁFICO 2. América Latina (13 países): Cambios en la pobreza y contribución de los efectos crecimiento y distribución 2011-2012</w:t>
      </w:r>
    </w:p>
    <w:p w:rsidR="009E5C5C" w:rsidRPr="009E5C5C" w:rsidRDefault="009E5C5C" w:rsidP="009E5C5C"/>
    <w:p w:rsidR="009E5C5C" w:rsidRPr="009E5C5C" w:rsidRDefault="009E5C5C" w:rsidP="009E5C5C">
      <w:r w:rsidRPr="009E5C5C">
        <w:rPr>
          <w:noProof/>
          <w:lang w:val="en-US"/>
        </w:rPr>
        <w:drawing>
          <wp:inline distT="0" distB="0" distL="0" distR="0">
            <wp:extent cx="5612130" cy="2795905"/>
            <wp:effectExtent l="0" t="0" r="127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30 a la(s) 12.53.54.png"/>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2795905"/>
                    </a:xfrm>
                    <a:prstGeom prst="rect">
                      <a:avLst/>
                    </a:prstGeom>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p w:rsidR="009E5C5C" w:rsidRPr="009E5C5C" w:rsidRDefault="009E5C5C" w:rsidP="009E5C5C">
      <w:r w:rsidRPr="009E5C5C">
        <w:t xml:space="preserve">En cuanto a la distribución del ingreso, en esta se ha una reducción sostenida en el índice de Gini desde hace ya un decenio y en muchos países de la región la reducción en el último cuatrienio ha sido aun mayor que en la última década. A pesar de esto, América latina cuenta con un rasgo característica de su situación social del cual no puede enorgullecerse: presenta uno los mayores niveles de desigualdad  del mundo, lo que se refleja en que el 20% de los hogares con menores ingresos, capta tan solo un 5 % de los ingresos totales en promedio, dato que tiene un intervalo que varía entre menos del 4% (Honduras, Paraguay, y República Dominicana) y el 10% (Uruguay). En promedio  la participación del quintal más rico sobre el producto de la región es del 47%, con un rango que oscila entre el 35% (Uruguay) y el 55% en Brasil.  Los niveles actuales muestran como, paulatinamente, se han realizado mejoras en la distribución del ingreso a lo largo de la década. </w:t>
      </w:r>
    </w:p>
    <w:p w:rsidR="009E5C5C" w:rsidRPr="009E5C5C" w:rsidRDefault="009E5C5C" w:rsidP="009E5C5C"/>
    <w:p w:rsidR="009E5C5C" w:rsidRPr="009E5C5C" w:rsidRDefault="009E5C5C" w:rsidP="009E5C5C"/>
    <w:p w:rsidR="009E5C5C" w:rsidRPr="009E5C5C" w:rsidRDefault="009E5C5C" w:rsidP="009E5C5C">
      <w:r w:rsidRPr="009E5C5C">
        <w:rPr>
          <w:noProof/>
          <w:lang w:val="en-US"/>
        </w:rPr>
        <w:drawing>
          <wp:inline distT="0" distB="0" distL="0" distR="0">
            <wp:extent cx="5612130" cy="2925445"/>
            <wp:effectExtent l="0" t="0" r="127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41.45.png"/>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2925445"/>
                    </a:xfrm>
                    <a:prstGeom prst="rect">
                      <a:avLst/>
                    </a:prstGeom>
                  </pic:spPr>
                </pic:pic>
              </a:graphicData>
            </a:graphic>
          </wp:inline>
        </w:drawing>
      </w:r>
    </w:p>
    <w:p w:rsidR="009E5C5C" w:rsidRPr="009E5C5C" w:rsidRDefault="009E5C5C" w:rsidP="009E5C5C"/>
    <w:p w:rsidR="009E5C5C" w:rsidRPr="009E5C5C" w:rsidRDefault="009E5C5C" w:rsidP="009E5C5C">
      <w:r w:rsidRPr="009E5C5C">
        <w:t>De los 13 países con información sobre índice de desigualdad a 2012, 12 presentaron una reducción  que en promedio fue de 1% por año estando por encima de dicho promedio Argentina, Brasil, Perú, Uruguay y Venezuela, y ubicándose en menos 0.5% en Colombia, Chile, Ecuador y Panamá.</w:t>
      </w:r>
    </w:p>
    <w:p w:rsidR="009E5C5C" w:rsidRPr="009E5C5C" w:rsidRDefault="009E5C5C" w:rsidP="009E5C5C"/>
    <w:p w:rsidR="009E5C5C" w:rsidRPr="009E5C5C" w:rsidRDefault="009E5C5C" w:rsidP="009E5C5C">
      <w:r w:rsidRPr="009E5C5C">
        <w:t xml:space="preserve">La tendencia de reducir la desigualdad reflejada en la disminución de los índices propios de dicha medición, se ha hecho más fuerte en los últimos cuatro años entre los países  de este caso resaltan Bolivia y Uruguay con reducciones del orden de 4% en el índice de Gini, por otra parte la desigualdad aumentó en Brasil, Venezuela ecuador y México </w:t>
      </w:r>
    </w:p>
    <w:p w:rsidR="009E5C5C" w:rsidRPr="009E5C5C" w:rsidRDefault="009E5C5C" w:rsidP="009E5C5C"/>
    <w:p w:rsidR="009E5C5C" w:rsidRDefault="009E5C5C" w:rsidP="009E5C5C">
      <w:r w:rsidRPr="009E5C5C">
        <w:t>Dada la relación entre el crecimiento, pobreza  y desigualdad, es importante impulsar medidas que permitan que se tengan mayores tasas de crecimiento y con esto se pueda luchar contra la pobreza, así mismo es importante que se promuevan políticas redistributivas, ya que bien enfocadas contribuyen doblemente a la reducción de la pobreza, mediante un aumento en el crecimiento y por el impacto directo que tienen sobre la reducción en sí misma. De forma que resulta conveniente analizar las elasticidades propias de dichas relaciones, estudio del cual deben desprenderse apropiadas recomendaciones de política que favorezcan y faciliten la mejora de la situación social latinoamericana c</w:t>
      </w:r>
      <w:bookmarkStart w:id="1" w:name="_GoBack"/>
      <w:bookmarkEnd w:id="1"/>
      <w:r w:rsidRPr="009E5C5C">
        <w:t>on un enfoque ambiental, centrado en los impactos del cambio climático sobre los niveles de pobreza media y extrema, este es el objetivo del presente artículo .</w:t>
      </w:r>
    </w:p>
    <w:p w:rsidR="009E5C5C" w:rsidRDefault="009E5C5C" w:rsidP="009E5C5C"/>
    <w:p w:rsidR="009E5C5C" w:rsidRDefault="009E5C5C" w:rsidP="009E5C5C">
      <w:pPr>
        <w:rPr>
          <w:lang w:val="es-ES"/>
        </w:rPr>
        <w:sectPr w:rsidR="009E5C5C" w:rsidSect="001A1F7A">
          <w:pgSz w:w="12240" w:h="15840"/>
          <w:pgMar w:top="1440" w:right="1440" w:bottom="1440" w:left="1440" w:header="720" w:footer="720" w:gutter="0"/>
          <w:cols w:space="720"/>
          <w:docGrid w:linePitch="360"/>
        </w:sectPr>
      </w:pPr>
    </w:p>
    <w:p w:rsidR="001A1F7A" w:rsidRPr="001A1F7A" w:rsidRDefault="001A1F7A" w:rsidP="001A1F7A">
      <w:pPr>
        <w:pStyle w:val="STituloJerarquia1"/>
      </w:pPr>
      <w:r w:rsidRPr="001A1F7A">
        <w:lastRenderedPageBreak/>
        <w:t>I</w:t>
      </w:r>
      <w:r>
        <w:t>V</w:t>
      </w:r>
      <w:r w:rsidRPr="001A1F7A">
        <w:t>.</w:t>
      </w:r>
      <w:r w:rsidRPr="001A1F7A">
        <w:tab/>
      </w:r>
      <w:r w:rsidR="005F79C4">
        <w:t>Cambio climático y pobreza</w:t>
      </w:r>
      <w:r w:rsidR="001A135B">
        <w:t>: Aproximación empírica</w:t>
      </w:r>
    </w:p>
    <w:p w:rsidR="002B2493" w:rsidRDefault="002B2493" w:rsidP="002B2493">
      <w:pPr>
        <w:pStyle w:val="STituloJerarquia2SINnumeral"/>
        <w:numPr>
          <w:ilvl w:val="0"/>
          <w:numId w:val="12"/>
        </w:numPr>
      </w:pPr>
      <w:r>
        <w:t>Introducción</w:t>
      </w: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E264BA" w:rsidRDefault="002B2493" w:rsidP="00E264BA">
      <w:pPr>
        <w:pStyle w:val="STituloJerarquia2SINnumeral"/>
        <w:numPr>
          <w:ilvl w:val="0"/>
          <w:numId w:val="12"/>
        </w:numPr>
      </w:pPr>
      <w:r>
        <w:t>Metodología</w:t>
      </w:r>
      <w:r w:rsidR="001A135B">
        <w:t xml:space="preserve"> y evidencia empírica</w:t>
      </w:r>
    </w:p>
    <w:p w:rsidR="002B2493" w:rsidRDefault="002B2493" w:rsidP="005F79C4">
      <w:pPr>
        <w:ind w:firstLine="567"/>
      </w:pPr>
    </w:p>
    <w:p w:rsidR="009C47C8" w:rsidRDefault="005F79C4" w:rsidP="005F79C4">
      <w:pPr>
        <w:ind w:firstLine="567"/>
      </w:pPr>
      <w:r>
        <w:t>L</w:t>
      </w:r>
      <w:r w:rsidR="001012EF">
        <w:t>a cuantificación de los</w:t>
      </w:r>
      <w:r>
        <w:t xml:space="preserve"> impactos del cambio climático sobre la pobreza</w:t>
      </w:r>
      <w:r w:rsidR="001012EF">
        <w:t xml:space="preserve"> se </w:t>
      </w:r>
      <w:r w:rsidR="00D40D3E">
        <w:t>realiza</w:t>
      </w:r>
      <w:r w:rsidR="004357B9">
        <w:t xml:space="preserve"> en </w:t>
      </w:r>
      <w:r w:rsidR="00BA3E99">
        <w:t>tres</w:t>
      </w:r>
      <w:r w:rsidR="004357B9">
        <w:t xml:space="preserve"> etapas. </w:t>
      </w:r>
      <w:r w:rsidR="009C47C8">
        <w:t xml:space="preserve">La primera etapa consiste en cuantificar el efecto del crecimiento económico sobre la pobreza; en la segunda etapa se calcula los efectos del cambio climático sobre el crecimiento económico y, finalmente, se estima el impacto del cambio climático sobre los indicadores de pobreza, a través de su efecto sobre el crecimiento económico. </w:t>
      </w:r>
    </w:p>
    <w:p w:rsidR="005D7890" w:rsidRDefault="005D7890" w:rsidP="005F79C4">
      <w:pPr>
        <w:ind w:firstLine="567"/>
      </w:pPr>
    </w:p>
    <w:p w:rsidR="005D7890" w:rsidRDefault="005D7890" w:rsidP="005F79C4">
      <w:pPr>
        <w:ind w:firstLine="567"/>
      </w:pPr>
    </w:p>
    <w:p w:rsidR="009C47C8" w:rsidRDefault="009C47C8" w:rsidP="005F79C4">
      <w:pPr>
        <w:ind w:firstLine="567"/>
      </w:pPr>
    </w:p>
    <w:p w:rsidR="00E264BA" w:rsidRDefault="00E264BA" w:rsidP="00605794"/>
    <w:p w:rsidR="00605794" w:rsidRDefault="005D7890" w:rsidP="005D7890">
      <w:pPr>
        <w:pStyle w:val="Heading6"/>
        <w:numPr>
          <w:ilvl w:val="0"/>
          <w:numId w:val="15"/>
        </w:numPr>
        <w:rPr>
          <w:sz w:val="24"/>
        </w:rPr>
      </w:pPr>
      <w:r w:rsidRPr="005D7890">
        <w:rPr>
          <w:sz w:val="24"/>
        </w:rPr>
        <w:t>Estimación de</w:t>
      </w:r>
      <w:r w:rsidR="004357F6">
        <w:rPr>
          <w:sz w:val="24"/>
        </w:rPr>
        <w:t xml:space="preserve"> la relación entre</w:t>
      </w:r>
      <w:r w:rsidRPr="005D7890">
        <w:rPr>
          <w:sz w:val="24"/>
        </w:rPr>
        <w:t xml:space="preserve"> crecimiento y pobreza</w:t>
      </w:r>
    </w:p>
    <w:p w:rsidR="005D7890" w:rsidRDefault="005D7890" w:rsidP="005D7890">
      <w:pPr>
        <w:rPr>
          <w:lang w:val="es-CL"/>
        </w:rPr>
      </w:pPr>
    </w:p>
    <w:p w:rsidR="005D7890" w:rsidRDefault="005D7890" w:rsidP="005D7890">
      <w:pPr>
        <w:rPr>
          <w:lang w:val="es-CL"/>
        </w:rPr>
      </w:pPr>
    </w:p>
    <w:p w:rsidR="00786F11" w:rsidRDefault="00836464" w:rsidP="00836464">
      <w:pPr>
        <w:tabs>
          <w:tab w:val="left" w:pos="0"/>
        </w:tabs>
        <w:rPr>
          <w:lang w:val="es-CL"/>
        </w:rPr>
      </w:pPr>
      <w:r>
        <w:rPr>
          <w:lang w:val="es-CL"/>
        </w:rPr>
        <w:lastRenderedPageBreak/>
        <w:tab/>
      </w:r>
      <w:r w:rsidR="005D7890">
        <w:rPr>
          <w:lang w:val="es-CL"/>
        </w:rPr>
        <w:t xml:space="preserve">La relación entre el crecimiento </w:t>
      </w:r>
      <w:r w:rsidR="00786F11">
        <w:rPr>
          <w:lang w:val="es-CL"/>
        </w:rPr>
        <w:t>económico y la reducción de la pobreza se realiza a través de la estimación de la elasticidad-crecimiento de la pobreza</w:t>
      </w:r>
      <w:r w:rsidR="00067E8C">
        <w:rPr>
          <w:lang w:val="es-CL"/>
        </w:rPr>
        <w:t xml:space="preserve"> (</w:t>
      </w:r>
      <m:oMath>
        <m:r>
          <w:rPr>
            <w:rFonts w:ascii="Cambria Math" w:hAnsi="Cambria Math"/>
            <w:lang w:val="es-CL"/>
          </w:rPr>
          <m:t>η</m:t>
        </m:r>
      </m:oMath>
      <w:r w:rsidR="00067E8C">
        <w:rPr>
          <w:lang w:val="es-CL"/>
        </w:rPr>
        <w:t>)</w:t>
      </w:r>
      <w:r w:rsidR="00786F11">
        <w:rPr>
          <w:lang w:val="es-CL"/>
        </w:rPr>
        <w:t xml:space="preserve"> </w:t>
      </w:r>
      <w:r w:rsidR="00EC455F">
        <w:rPr>
          <w:lang w:val="es-CL"/>
        </w:rPr>
        <w:fldChar w:fldCharType="begin"/>
      </w:r>
      <w:r w:rsidR="008963F0">
        <w:rPr>
          <w:lang w:val="es-CL"/>
        </w:rPr>
        <w:instrText xml:space="preserve"> ADDIN ZOTERO_ITEM CSL_CITATION {"citationID":"dceviv5X","properties":{"formattedCitation":"{\\rtf (Bourguignon, 2003; Gasparini, Cicowiez y Sosa Escudero, 2013; Gasparini, Guti\\uc0\\u233{}rrez y Tornarolli, 2007)}","plainCitation":"(Bourguignon, 2003; Gasparini, Cicowiez y Sosa Escudero, 2013; Gasparini, Gutiérrez y Tornarolli, 2007)"},"citationItems":[{"id":4159,"uris":["http://zotero.org/groups/197651/items/F977UHPR"],"uri":["http://zotero.org/groups/197651/items/F977UHPR"],"itemData":{"id":4159,"type":"chapter","title":"The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Escudero","given":"Walter"}],"issued":{"date-parts":[["2013"]]}}},{"id":269,"uris":["http://zotero.org/groups/84346/items/U6XGZZCM"],"uri":["http://zotero.org/groups/84346/items/U6XGZZCM"],"itemData":{"id":269,"type":"article-journal","title":"Growth and income poverty in Latin America and the Caribbean: evidence from household surveys","container-title":"Review of Income and Wealth","page":"209–245","volume":"53","issue":"2","source":"Google Scholar","shortTitle":"Growth and income poverty in Latin America and the Caribbean","author":[{"family":"Gasparini","given":"L."},{"family":"Gutiérrez","given":"F."},{"family":"Tornarolli","given":"L."}],"issued":{"date-parts":[["2007"]]},"accessed":{"date-parts":[["2012",9,26]]}}}],"schema":"https://github.com/citation-style-language/schema/raw/master/csl-citation.json"} </w:instrText>
      </w:r>
      <w:r w:rsidR="00EC455F">
        <w:rPr>
          <w:lang w:val="es-CL"/>
        </w:rPr>
        <w:fldChar w:fldCharType="separate"/>
      </w:r>
      <w:r w:rsidR="008963F0" w:rsidRPr="008963F0">
        <w:rPr>
          <w:szCs w:val="24"/>
        </w:rPr>
        <w:t>(Bourguignon, 2003; Gasparini, Cicowiez y Sosa Escudero, 2013; Gasparini, Gutiérrez y Tornarolli, 2007)</w:t>
      </w:r>
      <w:r w:rsidR="00EC455F">
        <w:rPr>
          <w:lang w:val="es-CL"/>
        </w:rPr>
        <w:fldChar w:fldCharType="end"/>
      </w:r>
      <w:r w:rsidR="00786F11">
        <w:rPr>
          <w:lang w:val="es-CL"/>
        </w:rPr>
        <w:t xml:space="preserve">, la cual se define como el cambio porcentual en el indicador de pobreza por cada punto porcentual de cambio en el ingreso o consumo per cápita </w:t>
      </w:r>
      <w:r w:rsidR="00EC455F">
        <w:rPr>
          <w:lang w:val="es-CL"/>
        </w:rPr>
        <w:fldChar w:fldCharType="begin"/>
      </w:r>
      <w:r w:rsidR="00786F11">
        <w:rPr>
          <w:lang w:val="es-CL"/>
        </w:rPr>
        <w:instrText xml:space="preserve"> ADDIN ZOTERO_ITEM CSL_CITATION {"citationID":"5xcToiXP","properties":{"formattedCitation":"(Gasparini, Cicowiez y Sosa Escudero, 2013)","plainCitation":"(Gasparini, Cicowiez y Sosa Escudero, 2013)"},"citationItems":[{"id":4787,"uris":["http://zotero.org/users/98373/items/A9I3CU4A"],"uri":["http://zotero.org/users/98373/items/A9I3CU4A"],"itemData":{"id":4787,"type":"book","title":"Pobreza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Escudero","given":"Walter"}],"issued":{"date-parts":[["2013"]]}}}],"schema":"https://github.com/citation-style-language/schema/raw/master/csl-citation.json"} </w:instrText>
      </w:r>
      <w:r w:rsidR="00EC455F">
        <w:rPr>
          <w:lang w:val="es-CL"/>
        </w:rPr>
        <w:fldChar w:fldCharType="separate"/>
      </w:r>
      <w:r w:rsidR="00786F11" w:rsidRPr="00786F11">
        <w:t>(Gasparini, Cicowiez y Sosa Escudero, 2013)</w:t>
      </w:r>
      <w:r w:rsidR="00EC455F">
        <w:rPr>
          <w:lang w:val="es-CL"/>
        </w:rPr>
        <w:fldChar w:fldCharType="end"/>
      </w:r>
      <w:r w:rsidR="00786F11">
        <w:rPr>
          <w:lang w:val="es-CL"/>
        </w:rPr>
        <w:t>:</w:t>
      </w:r>
    </w:p>
    <w:p w:rsidR="00786F11" w:rsidRDefault="00786F11" w:rsidP="005D7890">
      <w:pPr>
        <w:ind w:left="360"/>
        <w:rPr>
          <w:lang w:val="es-C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02"/>
        <w:gridCol w:w="674"/>
      </w:tblGrid>
      <w:tr w:rsidR="00786F11" w:rsidTr="00E62498">
        <w:tc>
          <w:tcPr>
            <w:tcW w:w="4648" w:type="pct"/>
            <w:vAlign w:val="center"/>
          </w:tcPr>
          <w:p w:rsidR="00786F11" w:rsidRDefault="00786F11" w:rsidP="00E62498">
            <w:pPr>
              <w:jc w:val="center"/>
              <w:rPr>
                <w:lang w:val="es-CL"/>
              </w:rPr>
            </w:pPr>
            <m:oMathPara>
              <m:oMath>
                <m:r>
                  <w:rPr>
                    <w:rFonts w:ascii="Cambria Math" w:hAnsi="Cambria Math"/>
                    <w:lang w:val="es-CL"/>
                  </w:rPr>
                  <m:t>η=</m:t>
                </m:r>
                <m:f>
                  <m:fPr>
                    <m:ctrlPr>
                      <w:rPr>
                        <w:rFonts w:ascii="Cambria Math" w:hAnsi="Cambria Math"/>
                        <w:i/>
                        <w:lang w:val="es-CL"/>
                      </w:rPr>
                    </m:ctrlPr>
                  </m:fPr>
                  <m:num>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P</m:t>
                        </m:r>
                      </m:num>
                      <m:den>
                        <m:r>
                          <w:rPr>
                            <w:rFonts w:ascii="Cambria Math" w:hAnsi="Cambria Math"/>
                            <w:lang w:val="es-CL"/>
                          </w:rPr>
                          <m:t>P</m:t>
                        </m:r>
                      </m:den>
                    </m:f>
                  </m:num>
                  <m:den>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Y</m:t>
                        </m:r>
                      </m:num>
                      <m:den>
                        <m:r>
                          <w:rPr>
                            <w:rFonts w:ascii="Cambria Math" w:hAnsi="Cambria Math"/>
                            <w:lang w:val="es-CL"/>
                          </w:rPr>
                          <m:t>Y</m:t>
                        </m:r>
                      </m:den>
                    </m:f>
                  </m:den>
                </m:f>
              </m:oMath>
            </m:oMathPara>
          </w:p>
        </w:tc>
        <w:tc>
          <w:tcPr>
            <w:tcW w:w="352" w:type="pct"/>
            <w:vAlign w:val="center"/>
          </w:tcPr>
          <w:p w:rsidR="00786F11" w:rsidRPr="00E62498" w:rsidRDefault="00E62498" w:rsidP="00E62498">
            <w:pPr>
              <w:pStyle w:val="Caption"/>
              <w:jc w:val="center"/>
              <w:rPr>
                <w:lang w:val="es-CL"/>
              </w:rPr>
            </w:pPr>
            <w:r w:rsidRPr="00E62498">
              <w:rPr>
                <w:color w:val="auto"/>
                <w:sz w:val="21"/>
                <w:szCs w:val="20"/>
                <w:lang w:val="es-MX"/>
              </w:rPr>
              <w:t>(</w:t>
            </w:r>
            <w:r w:rsidR="00EC455F" w:rsidRPr="00E62498">
              <w:rPr>
                <w:color w:val="auto"/>
                <w:sz w:val="21"/>
                <w:szCs w:val="20"/>
                <w:lang w:val="es-MX"/>
              </w:rPr>
              <w:fldChar w:fldCharType="begin"/>
            </w:r>
            <w:r w:rsidRPr="00E62498">
              <w:rPr>
                <w:color w:val="auto"/>
                <w:sz w:val="21"/>
                <w:szCs w:val="20"/>
                <w:lang w:val="es-MX"/>
              </w:rPr>
              <w:instrText xml:space="preserve"> SEQ Ecuación \* ARABIC </w:instrText>
            </w:r>
            <w:r w:rsidR="00EC455F" w:rsidRPr="00E62498">
              <w:rPr>
                <w:color w:val="auto"/>
                <w:sz w:val="21"/>
                <w:szCs w:val="20"/>
                <w:lang w:val="es-MX"/>
              </w:rPr>
              <w:fldChar w:fldCharType="separate"/>
            </w:r>
            <w:r w:rsidRPr="00E62498">
              <w:rPr>
                <w:color w:val="auto"/>
                <w:sz w:val="21"/>
                <w:szCs w:val="20"/>
                <w:lang w:val="es-MX"/>
              </w:rPr>
              <w:t>1</w:t>
            </w:r>
            <w:r w:rsidR="00EC455F" w:rsidRPr="00E62498">
              <w:rPr>
                <w:color w:val="auto"/>
                <w:sz w:val="21"/>
                <w:szCs w:val="20"/>
                <w:lang w:val="es-MX"/>
              </w:rPr>
              <w:fldChar w:fldCharType="end"/>
            </w:r>
            <w:r w:rsidR="003151AD" w:rsidRPr="00E62498">
              <w:rPr>
                <w:color w:val="auto"/>
                <w:sz w:val="21"/>
                <w:szCs w:val="20"/>
                <w:lang w:val="es-MX"/>
              </w:rPr>
              <w:t>)</w:t>
            </w:r>
          </w:p>
        </w:tc>
      </w:tr>
    </w:tbl>
    <w:p w:rsidR="005D7890" w:rsidRPr="005D7890" w:rsidRDefault="00786F11" w:rsidP="005D7890">
      <w:pPr>
        <w:ind w:left="360"/>
        <w:rPr>
          <w:lang w:val="es-CL"/>
        </w:rPr>
      </w:pPr>
      <w:r>
        <w:rPr>
          <w:lang w:val="es-CL"/>
        </w:rPr>
        <w:t xml:space="preserve"> </w:t>
      </w:r>
    </w:p>
    <w:p w:rsidR="00E264BA" w:rsidRDefault="00836464" w:rsidP="00E264BA">
      <w:r>
        <w:t xml:space="preserve">Donde </w:t>
      </w:r>
      <m:oMath>
        <m:r>
          <w:rPr>
            <w:rFonts w:ascii="Cambria Math" w:hAnsi="Cambria Math"/>
          </w:rPr>
          <m:t>P</m:t>
        </m:r>
      </m:oMath>
      <w:r>
        <w:t xml:space="preserve"> representa el indicador de pobreza </w:t>
      </w:r>
      <w:r w:rsidR="005F7396">
        <w:t xml:space="preserve">y </w:t>
      </w:r>
      <m:oMath>
        <m:r>
          <w:rPr>
            <w:rFonts w:ascii="Cambria Math" w:hAnsi="Cambria Math"/>
          </w:rPr>
          <m:t>Y</m:t>
        </m:r>
      </m:oMath>
      <w:r>
        <w:t xml:space="preserve"> representa el ingreso</w:t>
      </w:r>
      <w:r w:rsidR="005F7396">
        <w:t xml:space="preserve"> o consumo</w:t>
      </w:r>
      <w:r>
        <w:t xml:space="preserve"> per cápita. </w:t>
      </w:r>
      <m:oMath>
        <m:r>
          <m:rPr>
            <m:sty m:val="p"/>
          </m:rPr>
          <w:rPr>
            <w:rFonts w:ascii="Cambria Math" w:hAnsi="Cambria Math"/>
          </w:rPr>
          <m:t>Δ</m:t>
        </m:r>
      </m:oMath>
      <w:r>
        <w:t xml:space="preserve"> </w:t>
      </w:r>
      <w:proofErr w:type="gramStart"/>
      <w:r>
        <w:t>indica</w:t>
      </w:r>
      <w:proofErr w:type="gramEnd"/>
      <w:r>
        <w:t xml:space="preserve"> el </w:t>
      </w:r>
      <w:r w:rsidR="005F7396">
        <w:t xml:space="preserve">operador diferencias (i. 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005F7396">
        <w:t xml:space="preserve">). </w:t>
      </w:r>
    </w:p>
    <w:p w:rsidR="00E264BA" w:rsidRDefault="00E264BA" w:rsidP="00E264BA">
      <w:r>
        <w:t xml:space="preserve"> </w:t>
      </w:r>
    </w:p>
    <w:p w:rsidR="003151AD" w:rsidRDefault="008963F0" w:rsidP="00E264BA">
      <w:r>
        <w:t xml:space="preserve">La </w:t>
      </w:r>
      <w:r w:rsidR="003151AD">
        <w:t xml:space="preserve">elasticidad </w:t>
      </w:r>
      <m:oMath>
        <m:r>
          <w:rPr>
            <w:rFonts w:ascii="Cambria Math" w:hAnsi="Cambria Math"/>
          </w:rPr>
          <m:t>η</m:t>
        </m:r>
      </m:oMath>
      <w:r w:rsidR="003151AD">
        <w:t xml:space="preserve"> para los países de América Latina </w:t>
      </w:r>
      <w:r>
        <w:t xml:space="preserve">se obtiene a partir de un modelo estándar, que incluye además del cambio en el ingreso o consumo, los cambios en la distribución del ingreso, aproximado por el índice de Gini </w:t>
      </w:r>
      <w:r w:rsidR="00EC455F">
        <w:fldChar w:fldCharType="begin"/>
      </w:r>
      <w:r>
        <w:instrText xml:space="preserve"> ADDIN ZOTERO_ITEM CSL_CITATION {"citationID":"5pjZrRye","properties":{"formattedCitation":"(Bourguignon, 2003)","plainCitation":"(Bourguignon, 2003)"},"citationItems":[{"id":4159,"uris":["http://zotero.org/groups/197651/items/F977UHPR"],"uri":["http://zotero.org/groups/197651/items/F977UHPR"],"itemData":{"id":4159,"type":"chapter","title":"The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J"}],"author":[{"family":"Bourguignon","given":"François"}],"issued":{"date-parts":[["2003"]]}}}],"schema":"https://github.com/citation-style-language/schema/raw/master/csl-citation.json"} </w:instrText>
      </w:r>
      <w:r w:rsidR="00EC455F">
        <w:fldChar w:fldCharType="separate"/>
      </w:r>
      <w:r w:rsidRPr="008963F0">
        <w:t>(Bourguignon, 2003)</w:t>
      </w:r>
      <w:r w:rsidR="00EC455F">
        <w:fldChar w:fldCharType="end"/>
      </w:r>
      <w:r w:rsidR="003151AD">
        <w:t xml:space="preserve">: </w:t>
      </w:r>
    </w:p>
    <w:p w:rsidR="003151AD" w:rsidRDefault="003151AD" w:rsidP="00E264BA"/>
    <w:tbl>
      <w:tblPr>
        <w:tblW w:w="5000" w:type="pct"/>
        <w:tblLook w:val="04A0"/>
      </w:tblPr>
      <w:tblGrid>
        <w:gridCol w:w="8925"/>
        <w:gridCol w:w="651"/>
      </w:tblGrid>
      <w:tr w:rsidR="003151AD" w:rsidRPr="003151AD" w:rsidTr="003B7A4E">
        <w:trPr>
          <w:trHeight w:val="567"/>
        </w:trPr>
        <w:tc>
          <w:tcPr>
            <w:tcW w:w="4660" w:type="pct"/>
            <w:vAlign w:val="center"/>
          </w:tcPr>
          <w:p w:rsidR="003151AD" w:rsidRPr="003151AD" w:rsidRDefault="00EC455F" w:rsidP="003F623A">
            <w:pPr>
              <w:jc w:val="center"/>
              <w:rPr>
                <w:b/>
              </w:rPr>
            </w:pPr>
            <m:oMathPara>
              <m:oMath>
                <m:sSub>
                  <m:sSubPr>
                    <m:ctrlPr>
                      <w:rPr>
                        <w:rFonts w:ascii="Cambria Math" w:hAnsi="Cambria Math"/>
                        <w:b/>
                        <w:i/>
                      </w:rPr>
                    </m:ctrlPr>
                  </m:sSubPr>
                  <m:e>
                    <m:r>
                      <m:rPr>
                        <m:sty m:val="p"/>
                      </m:rPr>
                      <w:rPr>
                        <w:rFonts w:ascii="Cambria Math" w:hAnsi="Cambria Math"/>
                      </w:rPr>
                      <m:t>Δ</m:t>
                    </m:r>
                    <m:r>
                      <w:rPr>
                        <w:rFonts w:ascii="Cambria Math" w:hAnsi="Cambria Math"/>
                      </w:rPr>
                      <m:t>p</m:t>
                    </m:r>
                    <m:ctrlPr>
                      <w:rPr>
                        <w:rFonts w:ascii="Cambria Math" w:hAnsi="Cambria Math"/>
                        <w:i/>
                      </w:rPr>
                    </m:ctrlPr>
                  </m:e>
                  <m:sub>
                    <m:r>
                      <w:rPr>
                        <w:rFonts w:ascii="Cambria Math" w:hAnsi="Cambria Math"/>
                      </w:rPr>
                      <m:t>it</m:t>
                    </m:r>
                    <m:ctrlPr>
                      <w:rPr>
                        <w:rFonts w:ascii="Cambria Math" w:hAnsi="Cambria Math"/>
                        <w:i/>
                      </w:rPr>
                    </m:ctrlPr>
                  </m:sub>
                </m:sSub>
                <m:r>
                  <w:rPr>
                    <w:rFonts w:ascii="Cambria Math" w:hAnsi="Cambria Math"/>
                  </w:rPr>
                  <m:t>=η</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+γ</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gini</m:t>
                    </m:r>
                  </m:e>
                  <m:sub>
                    <m:r>
                      <w:rPr>
                        <w:rFonts w:ascii="Cambria Math" w:hAnsi="Cambria Math"/>
                        <w:lang w:val="en-US"/>
                      </w:rPr>
                      <m:t>it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it</m:t>
                    </m:r>
                  </m:sub>
                </m:sSub>
                <m:r>
                  <w:rPr>
                    <w:rFonts w:ascii="Cambria Math" w:hAnsi="Cambria Math"/>
                  </w:rPr>
                  <m:t xml:space="preserve">          i=1,…,N     t=1,…,T</m:t>
                </m:r>
              </m:oMath>
            </m:oMathPara>
          </w:p>
        </w:tc>
        <w:tc>
          <w:tcPr>
            <w:tcW w:w="340" w:type="pct"/>
            <w:vAlign w:val="center"/>
          </w:tcPr>
          <w:p w:rsidR="003151AD" w:rsidRPr="003151AD" w:rsidRDefault="00E62498" w:rsidP="003151AD">
            <w:pPr>
              <w:jc w:val="center"/>
              <w:rPr>
                <w:bCs/>
                <w:lang w:val="es-MX"/>
              </w:rPr>
            </w:pPr>
            <w:bookmarkStart w:id="2" w:name="_Ref377033862"/>
            <w:r w:rsidRPr="00E62498">
              <w:rPr>
                <w:b/>
                <w:bCs/>
                <w:lang w:val="es-MX"/>
              </w:rPr>
              <w:t>(</w:t>
            </w:r>
            <w:r w:rsidR="00EC455F" w:rsidRPr="00EC455F">
              <w:rPr>
                <w:b/>
                <w:bCs/>
                <w:lang w:val="es-MX"/>
              </w:rPr>
              <w:fldChar w:fldCharType="begin"/>
            </w:r>
            <w:r w:rsidRPr="00E62498">
              <w:rPr>
                <w:b/>
                <w:bCs/>
                <w:lang w:val="es-MX"/>
              </w:rPr>
              <w:instrText xml:space="preserve"> SEQ Ecuación \* ARABIC </w:instrText>
            </w:r>
            <w:r w:rsidR="00EC455F" w:rsidRPr="00EC455F">
              <w:rPr>
                <w:b/>
                <w:bCs/>
                <w:lang w:val="es-MX"/>
              </w:rPr>
              <w:fldChar w:fldCharType="separate"/>
            </w:r>
            <w:r>
              <w:rPr>
                <w:b/>
                <w:bCs/>
                <w:noProof/>
                <w:lang w:val="es-MX"/>
              </w:rPr>
              <w:t>2</w:t>
            </w:r>
            <w:r w:rsidR="00EC455F" w:rsidRPr="00E62498">
              <w:rPr>
                <w:bCs/>
                <w:lang w:val="es-MX"/>
              </w:rPr>
              <w:fldChar w:fldCharType="end"/>
            </w:r>
            <w:r w:rsidRPr="00E62498">
              <w:rPr>
                <w:b/>
                <w:bCs/>
                <w:lang w:val="es-MX"/>
              </w:rPr>
              <w:t>)</w:t>
            </w:r>
            <w:bookmarkEnd w:id="2"/>
          </w:p>
        </w:tc>
      </w:tr>
    </w:tbl>
    <w:p w:rsidR="003151AD" w:rsidRDefault="003151AD" w:rsidP="00E264BA"/>
    <w:p w:rsidR="00836464" w:rsidRDefault="008963F0" w:rsidP="00E264BA">
      <w:r>
        <w:t xml:space="preserve">Donde las letras minúsculas representan el </w:t>
      </w:r>
      <w:r w:rsidR="004357F6">
        <w:t>logaritmo</w:t>
      </w:r>
      <w:r>
        <w:t xml:space="preserve"> natural de las variables</w:t>
      </w:r>
      <w:r w:rsidR="003F623A">
        <w:t xml:space="preserve">, por lo cual  </w:t>
      </w:r>
      <m:oMath>
        <m:sSub>
          <m:sSubPr>
            <m:ctrlPr>
              <w:rPr>
                <w:rFonts w:ascii="Cambria Math" w:hAnsi="Cambria Math"/>
                <w:i/>
                <w:lang w:val="en-US"/>
              </w:rPr>
            </m:ctrlPr>
          </m:sSubPr>
          <m:e>
            <m:r>
              <m:rPr>
                <m:sty m:val="p"/>
              </m:rPr>
              <w:rPr>
                <w:rFonts w:ascii="Cambria Math" w:hAnsi="Cambria Math"/>
                <w:lang w:val="en-US"/>
              </w:rPr>
              <m:t>Δ</m:t>
            </m:r>
            <m:r>
              <w:rPr>
                <w:rFonts w:ascii="Cambria Math" w:hAnsi="Cambria Math"/>
                <w:lang w:val="en-US"/>
              </w:rPr>
              <m:t>p</m:t>
            </m:r>
          </m:e>
          <m:sub>
            <m:r>
              <w:rPr>
                <w:rFonts w:ascii="Cambria Math" w:hAnsi="Cambria Math"/>
                <w:lang w:val="en-US"/>
              </w:rPr>
              <m:t>it</m:t>
            </m:r>
          </m:sub>
        </m:sSub>
      </m:oMath>
      <w:r w:rsidR="003F623A" w:rsidRPr="003F623A">
        <w:rPr>
          <w:lang w:val="es-ES"/>
        </w:rPr>
        <w:t xml:space="preserve"> representa la tasa de crecimiento anual del indicador de pobreza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sSub>
          <m:sSubPr>
            <m:ctrlPr>
              <w:rPr>
                <w:rFonts w:ascii="Cambria Math" w:hAnsi="Cambria Math"/>
                <w:i/>
                <w:lang w:val="es-ES"/>
              </w:rPr>
            </m:ctrlPr>
          </m:sSubPr>
          <m:e>
            <m:r>
              <m:rPr>
                <m:sty m:val="p"/>
              </m:rPr>
              <w:rPr>
                <w:rFonts w:ascii="Cambria Math" w:hAnsi="Cambria Math"/>
                <w:lang w:val="es-ES"/>
              </w:rPr>
              <m:t>Δ</m:t>
            </m:r>
            <m:r>
              <w:rPr>
                <w:rFonts w:ascii="Cambria Math" w:hAnsi="Cambria Math"/>
                <w:lang w:val="es-ES"/>
              </w:rPr>
              <m:t>y</m:t>
            </m:r>
          </m:e>
          <m:sub>
            <m:r>
              <w:rPr>
                <w:rFonts w:ascii="Cambria Math" w:hAnsi="Cambria Math"/>
                <w:lang w:val="es-ES"/>
              </w:rPr>
              <m:t>it</m:t>
            </m:r>
          </m:sub>
        </m:sSub>
      </m:oMath>
      <w:r w:rsidR="003F623A" w:rsidRPr="003F623A">
        <w:rPr>
          <w:lang w:val="es-ES"/>
        </w:rPr>
        <w:t xml:space="preserve"> simboliza la tasa de crecimiento del PIB per cápita, o del ingreso o consumo promedio por persona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r>
          <m:rPr>
            <m:sty m:val="p"/>
          </m:rPr>
          <w:rPr>
            <w:rFonts w:ascii="Cambria Math" w:hAnsi="Cambria Math"/>
            <w:lang w:val="es-ES"/>
          </w:rPr>
          <m:t>Δ</m:t>
        </m:r>
        <m:sSub>
          <m:sSubPr>
            <m:ctrlPr>
              <w:rPr>
                <w:rFonts w:ascii="Cambria Math" w:hAnsi="Cambria Math"/>
                <w:i/>
                <w:lang w:val="es-ES"/>
              </w:rPr>
            </m:ctrlPr>
          </m:sSubPr>
          <m:e>
            <m:r>
              <w:rPr>
                <w:rFonts w:ascii="Cambria Math" w:hAnsi="Cambria Math"/>
                <w:lang w:val="es-ES"/>
              </w:rPr>
              <m:t>gini</m:t>
            </m:r>
          </m:e>
          <m:sub>
            <m:r>
              <w:rPr>
                <w:rFonts w:ascii="Cambria Math" w:hAnsi="Cambria Math"/>
                <w:vertAlign w:val="subscript"/>
                <w:lang w:val="es-ES"/>
              </w:rPr>
              <m:t>it</m:t>
            </m:r>
            <m:ctrlPr>
              <w:rPr>
                <w:rFonts w:ascii="Cambria Math" w:hAnsi="Cambria Math"/>
                <w:i/>
                <w:vertAlign w:val="subscript"/>
                <w:lang w:val="es-ES"/>
              </w:rPr>
            </m:ctrlPr>
          </m:sub>
        </m:sSub>
        <m:r>
          <w:rPr>
            <w:rFonts w:ascii="Cambria Math" w:hAnsi="Cambria Math"/>
            <w:lang w:val="es-ES"/>
          </w:rPr>
          <m:t xml:space="preserve"> </m:t>
        </m:r>
      </m:oMath>
      <w:r w:rsidR="003F623A" w:rsidRPr="003F623A">
        <w:rPr>
          <w:lang w:val="es-ES"/>
        </w:rPr>
        <w:t xml:space="preserve">es </w:t>
      </w:r>
      <w:r w:rsidR="003F623A">
        <w:rPr>
          <w:lang w:val="es-ES"/>
        </w:rPr>
        <w:t>la tasa de cambio anual promedio d</w:t>
      </w:r>
      <w:r w:rsidR="003F623A" w:rsidRPr="003F623A">
        <w:rPr>
          <w:lang w:val="es-ES"/>
        </w:rPr>
        <w:t>el índice de Gini por país</w:t>
      </w:r>
      <w:r w:rsidR="003F623A">
        <w:rPr>
          <w:lang w:val="es-ES"/>
        </w:rPr>
        <w:t>.</w:t>
      </w:r>
      <w:r w:rsidR="003F623A" w:rsidRPr="003F623A">
        <w:rPr>
          <w:lang w:val="es-ES"/>
        </w:rPr>
        <w:t xml:space="preserve"> Finalmente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it</m:t>
            </m:r>
          </m:sub>
        </m:sSub>
      </m:oMath>
      <w:r w:rsidR="003F623A" w:rsidRPr="003F623A">
        <w:rPr>
          <w:lang w:val="es-ES"/>
        </w:rPr>
        <w:t xml:space="preserve"> es el término </w:t>
      </w:r>
      <w:r w:rsidR="004357F6">
        <w:t xml:space="preserve">estocástico. </w:t>
      </w:r>
    </w:p>
    <w:p w:rsidR="00A21698" w:rsidRDefault="00A21698" w:rsidP="00E264BA"/>
    <w:p w:rsidR="00337E8B" w:rsidRDefault="00E62498" w:rsidP="00337E8B">
      <w:pPr>
        <w:ind w:firstLine="567"/>
      </w:pPr>
      <w:r>
        <w:t xml:space="preserve">La estimación de la ecuación </w:t>
      </w:r>
      <w:fldSimple w:instr=" REF _Ref377033862 \h  \* MERGEFORMAT ">
        <w:r w:rsidRPr="00E62498">
          <w:t>(2)</w:t>
        </w:r>
      </w:fldSimple>
      <w:r>
        <w:t xml:space="preserve"> se realizó utilizando </w:t>
      </w:r>
      <w:r w:rsidR="00337E8B">
        <w:t xml:space="preserve">tres </w:t>
      </w:r>
      <w:r>
        <w:t>indicadores de pobreza</w:t>
      </w:r>
      <w:r w:rsidR="00337E8B">
        <w:t xml:space="preserve">: el </w:t>
      </w:r>
      <w:r w:rsidR="00337E8B" w:rsidRPr="00E62498">
        <w:rPr>
          <w:lang w:val="es-ES"/>
        </w:rPr>
        <w:t>índice de recuento</w:t>
      </w:r>
      <w:r w:rsidR="00337E8B">
        <w:rPr>
          <w:lang w:val="es-ES"/>
        </w:rPr>
        <w:t xml:space="preserve"> (H</w:t>
      </w:r>
      <w:r w:rsidR="00232CED">
        <w:rPr>
          <w:lang w:val="es-ES"/>
        </w:rPr>
        <w:t>C</w:t>
      </w:r>
      <w:r w:rsidR="00337E8B">
        <w:rPr>
          <w:lang w:val="es-ES"/>
        </w:rPr>
        <w:t>)</w:t>
      </w:r>
      <w:r w:rsidR="00337E8B" w:rsidRPr="00E62498">
        <w:rPr>
          <w:lang w:val="es-ES"/>
        </w:rPr>
        <w:t>,</w:t>
      </w:r>
      <w:r w:rsidR="00337E8B">
        <w:rPr>
          <w:lang w:val="es-ES"/>
        </w:rPr>
        <w:t xml:space="preserve"> el indicador de </w:t>
      </w:r>
      <w:r w:rsidR="00337E8B" w:rsidRPr="00E62498">
        <w:rPr>
          <w:lang w:val="es-ES"/>
        </w:rPr>
        <w:t>brecha de pobreza</w:t>
      </w:r>
      <w:r w:rsidR="00337E8B">
        <w:rPr>
          <w:lang w:val="es-ES"/>
        </w:rPr>
        <w:t xml:space="preserve"> (PG) y el indicador de</w:t>
      </w:r>
      <w:r w:rsidR="00337E8B" w:rsidRPr="00E62498">
        <w:rPr>
          <w:lang w:val="es-ES"/>
        </w:rPr>
        <w:t xml:space="preserve"> brecha de pobreza al cuadrado</w:t>
      </w:r>
      <w:r w:rsidR="00337E8B">
        <w:rPr>
          <w:lang w:val="es-ES"/>
        </w:rPr>
        <w:t xml:space="preserve"> (</w:t>
      </w:r>
      <w:r w:rsidR="00232CED">
        <w:rPr>
          <w:lang w:val="es-ES"/>
        </w:rPr>
        <w:t>PGS</w:t>
      </w:r>
      <w:r w:rsidR="00337E8B">
        <w:rPr>
          <w:lang w:val="es-ES"/>
        </w:rPr>
        <w:t>)</w:t>
      </w:r>
      <w:r w:rsidR="00337E8B">
        <w:t xml:space="preserve"> los cuales corresponden a la familia de índices propuestos por Foster, </w:t>
      </w:r>
      <w:proofErr w:type="spellStart"/>
      <w:r w:rsidR="00337E8B">
        <w:t>Greer</w:t>
      </w:r>
      <w:proofErr w:type="spellEnd"/>
      <w:r w:rsidR="00337E8B">
        <w:t xml:space="preserve"> y </w:t>
      </w:r>
      <w:proofErr w:type="spellStart"/>
      <w:r w:rsidR="00337E8B">
        <w:t>Thorbecke</w:t>
      </w:r>
      <w:proofErr w:type="spellEnd"/>
      <w:r w:rsidR="00337E8B">
        <w:t xml:space="preserve">, </w:t>
      </w:r>
      <w:r w:rsidR="00EC455F">
        <w:fldChar w:fldCharType="begin"/>
      </w:r>
      <w:r w:rsidR="00337E8B">
        <w:instrText xml:space="preserve"> ADDIN ZOTERO_ITEM CSL_CITATION {"citationID":"N8rCjCh7","properties":{"formattedCitation":"(1984)","plainCitation":"(1984)"},"citationItems":[{"id":218,"uris":["http://zotero.org/groups/84346/items/NUTXUUFV"],"uri":["http://zotero.org/groups/84346/items/NUTXUUFV"],"itemData":{"id":218,"type":"article-journal","title":"A Class of Decomposable Poverty Measures","container-title":"Econometrica","page":"761-766","volume":"52","issue":"3","source":"JSTOR","DOI":"10.2307/1913475","ISSN":"0012-9682","note":"ArticleType: research-article / Full publication date: May, 1984 / Copyright © 1984 The Econometric Society","journalAbbreviation":"Econometrica","author":[{"family":"Foster","given":"James"},{"family":"Greer","given":"Joel"},{"family":"Thorbecke","given":"Erik"}],"issued":{"date-parts":[["1984",5,1]]},"accessed":{"date-parts":[["2012",10,8]]}},"suppress-author":true}],"schema":"https://github.com/citation-style-language/schema/raw/master/csl-citation.json"} </w:instrText>
      </w:r>
      <w:r w:rsidR="00EC455F">
        <w:fldChar w:fldCharType="separate"/>
      </w:r>
      <w:r w:rsidR="00337E8B" w:rsidRPr="00337E8B">
        <w:t>(1984)</w:t>
      </w:r>
      <w:r w:rsidR="00EC455F">
        <w:fldChar w:fldCharType="end"/>
      </w:r>
      <w:r w:rsidR="00337E8B">
        <w:t xml:space="preserve">, con α=0,1 y 2 respectivamente </w:t>
      </w:r>
      <w:r w:rsidR="00EC455F">
        <w:fldChar w:fldCharType="begin"/>
      </w:r>
      <w:r w:rsidR="00232CED">
        <w:instrText xml:space="preserve"> ADDIN ZOTERO_ITEM CSL_CITATION {"citationID":"L1hYK3b1","properties":{"formattedCitation":"{\\rtf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EC455F">
        <w:fldChar w:fldCharType="separate"/>
      </w:r>
      <w:r w:rsidR="00232CED" w:rsidRPr="00232CED">
        <w:rPr>
          <w:szCs w:val="24"/>
        </w:rPr>
        <w:t>(CEPAL, 2013, pág 60)</w:t>
      </w:r>
      <w:r w:rsidR="00EC455F">
        <w:fldChar w:fldCharType="end"/>
      </w:r>
      <w:r w:rsidR="00337E8B">
        <w:t xml:space="preserve">. El índice HC indica el porcentaje de personas con ingresos inferiores a la línea de pobreza de referencia, por lo cual es una medida de la incidencia de la pobreza; </w:t>
      </w:r>
      <w:r w:rsidR="00232CED">
        <w:t xml:space="preserve">el indicador </w:t>
      </w:r>
      <w:r w:rsidR="00337E8B">
        <w:t xml:space="preserve">PG es una medida de la “profundidad” de la pobreza ya que mide la distancia promedio de las personas por debajo de la línea de pobreza con respecto a dicha línea, ponderado por la incidencia de pobreza y, </w:t>
      </w:r>
      <w:r w:rsidR="00232CED">
        <w:t xml:space="preserve">el indicador </w:t>
      </w:r>
      <w:r w:rsidR="00337E8B">
        <w:t>PGS</w:t>
      </w:r>
      <w:r w:rsidR="00232CED">
        <w:t xml:space="preserve"> </w:t>
      </w:r>
      <w:r w:rsidR="00337E8B">
        <w:t>es una medida de la “severidad” de la pobreza</w:t>
      </w:r>
      <w:r w:rsidR="00232CED">
        <w:t xml:space="preserve"> ya que</w:t>
      </w:r>
      <w:r w:rsidR="00337E8B">
        <w:t xml:space="preserve"> promedia el cuadrado de las brechas de pobreza relativas a la línea de pobreza, asimismo, enfatiza la distribución del ingreso entre las personas por debajo de la línea de pobreza  </w:t>
      </w:r>
      <w:r w:rsidR="00EC455F">
        <w:fldChar w:fldCharType="begin"/>
      </w:r>
      <w:r w:rsidR="009A5B99">
        <w:instrText xml:space="preserve"> ADDIN ZOTERO_ITEM CSL_CITATION {"citationID":"HZkWOhMO","properties":{"formattedCitation":"(Feres y Mancero, 2001; CEPAL, 2013)","plainCitation":"(Feres y Mancero, 2001; CEPAL, 2013)"},"citationItems":[{"id":4810,"uris":["http://zotero.org/users/98373/items/TB3FRGNE"],"uri":["http://zotero.org/users/98373/items/TB3FRGNE"],"itemData":{"id":4810,"type":"report","title":"Enfoques para la medición de la pobreza. Breve revisión de la literatura","collection-title":"Estudios estadísticos y prospectivos","publisher":"CEPAL","publisher-place":"Santiago de Chile","event-place":"Santiago de Chile","call-number":"S.01.II.G.10","note":"LC/L.1479-P","number":"4","author":[{"family":"Feres","given":"Juan Carlos"},{"family":"Mancero","given":"Xavier"}],"issued":{"date-parts":[["2001"]]}}},{"id":4672,"uris":["http://zotero.org/users/98373/items/9RWQ93RC"],"uri":["http://zotero.org/users/98373/items/9RWQ93RC"],"itemData":{"id":4672,"type":"book","title":"Panorama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Caribe"}],"issued":{"date-parts":[["2013"]]}}}],"schema":"https://github.com/citation-style-language/schema/raw/master/csl-citation.json"} </w:instrText>
      </w:r>
      <w:r w:rsidR="00EC455F">
        <w:fldChar w:fldCharType="separate"/>
      </w:r>
      <w:r w:rsidR="009A5B99" w:rsidRPr="009A5B99">
        <w:t>(Feres y Mancero, 2001; CEPAL, 2013)</w:t>
      </w:r>
      <w:r w:rsidR="00EC455F">
        <w:fldChar w:fldCharType="end"/>
      </w:r>
      <w:r w:rsidR="00337E8B">
        <w:t>. Los tres indicadores están calculados considerando dos líneas de pobreza: la línea de indigencia</w:t>
      </w:r>
      <w:r w:rsidR="005D493E">
        <w:t xml:space="preserve"> (o pobreza extrema)</w:t>
      </w:r>
      <w:r w:rsidR="00337E8B">
        <w:t xml:space="preserve"> y la línea de pobreza</w:t>
      </w:r>
      <w:r w:rsidR="005D493E">
        <w:t xml:space="preserve"> (o pobreza moderada)</w:t>
      </w:r>
      <w:r w:rsidR="00337E8B">
        <w:t>, expresadas en la moneda de cada país, las cuales son determinadas a partir del valor de una canasta de bienes y servicios mediante el método de costo de las necesidades básicas</w:t>
      </w:r>
      <w:r w:rsidR="004108A4" w:rsidRPr="00087C35">
        <w:rPr>
          <w:rStyle w:val="FootnoteReference"/>
        </w:rPr>
        <w:footnoteReference w:id="9"/>
      </w:r>
      <w:r w:rsidR="00337E8B">
        <w:t xml:space="preserve"> </w:t>
      </w:r>
      <w:r w:rsidR="00EC455F">
        <w:fldChar w:fldCharType="begin"/>
      </w:r>
      <w:r w:rsidR="009A5B99">
        <w:instrText xml:space="preserve"> ADDIN ZOTERO_ITEM CSL_CITATION {"citationID":"g1Z7j2hD","properties":{"formattedCitation":"{\\rtf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EC455F">
        <w:fldChar w:fldCharType="separate"/>
      </w:r>
      <w:r w:rsidR="009A5B99" w:rsidRPr="009A5B99">
        <w:rPr>
          <w:szCs w:val="24"/>
        </w:rPr>
        <w:t>(CEPAL, 2013, pág 60)</w:t>
      </w:r>
      <w:r w:rsidR="00EC455F">
        <w:fldChar w:fldCharType="end"/>
      </w:r>
      <w:r w:rsidR="00EF757C">
        <w:t xml:space="preserve">, por lo que las canastas básicas utilizadas para el cálculo de las líneas de pobreza son específicas por cada país y respetan la estructura de consumo prevalecientes en cada uno de ellos </w:t>
      </w:r>
      <w:r w:rsidR="00EC455F">
        <w:fldChar w:fldCharType="begin"/>
      </w:r>
      <w:r w:rsidR="00EF757C">
        <w:instrText xml:space="preserve"> ADDIN ZOTERO_ITEM CSL_CITATION {"citationID":"OSMhQl6w","properties":{"formattedCitation":"(Naciones Unidas, 2010)","plainCitation":"(Naciones Unidas, 2010)"},"citationItems":[{"id":4811,"uris":["http://zotero.org/users/98373/items/84KMF6HU"],"uri":["http://zotero.org/users/98373/items/84KMF6HU"],"itemData":{"id":4811,"type":"book","title":"Objetivos de Desarrollo del Milenio: El progreso de América Latina y el Caribe hacia los Objetivos de Desarrollo del Milenio, desafíos para lograrlos con igualdad","publisher":"Naciones Unidas","publisher-place":"Santiago de Chile","event-place":"Santiago de Chile","note":"LC/G.2460","author":[{"family":"Naciones Unidas","given":""}],"issued":{"date-parts":[["2010"]]}}}],"schema":"https://github.com/citation-style-language/schema/raw/master/csl-citation.json"} </w:instrText>
      </w:r>
      <w:r w:rsidR="00EC455F">
        <w:fldChar w:fldCharType="separate"/>
      </w:r>
      <w:r w:rsidR="00EF757C" w:rsidRPr="00EF757C">
        <w:t>(Naciones Unidas, 2010)</w:t>
      </w:r>
      <w:r w:rsidR="00EC455F">
        <w:fldChar w:fldCharType="end"/>
      </w:r>
      <w:r w:rsidR="00337E8B">
        <w:t xml:space="preserve">. </w:t>
      </w:r>
    </w:p>
    <w:p w:rsidR="005D493E" w:rsidRDefault="005D493E" w:rsidP="005D493E">
      <w:pPr>
        <w:ind w:firstLine="567"/>
      </w:pPr>
    </w:p>
    <w:p w:rsidR="005D493E" w:rsidRDefault="005D493E" w:rsidP="005D493E">
      <w:pPr>
        <w:ind w:firstLine="567"/>
      </w:pPr>
      <w:r>
        <w:t>La información sobre los datos de pobreza, el PIB per cápita y el índice de Gini se obtuvieron de la base de datos estadísticos de la CEPAL,</w:t>
      </w:r>
      <w:r w:rsidR="00E62498" w:rsidRPr="00E62498">
        <w:rPr>
          <w:lang w:val="es-ES"/>
        </w:rPr>
        <w:t xml:space="preserve"> CEPALSTAT</w:t>
      </w:r>
      <w:r>
        <w:rPr>
          <w:rStyle w:val="FootnoteReference"/>
          <w:lang w:val="es-ES"/>
        </w:rPr>
        <w:footnoteReference w:id="10"/>
      </w:r>
      <w:r>
        <w:rPr>
          <w:lang w:val="es-ES"/>
        </w:rPr>
        <w:t xml:space="preserve">. </w:t>
      </w:r>
      <w:r w:rsidR="00681090" w:rsidRPr="00681090">
        <w:t>La base de datos</w:t>
      </w:r>
      <w:r w:rsidR="008A6EE9">
        <w:t xml:space="preserve"> final</w:t>
      </w:r>
      <w:r w:rsidR="00681090" w:rsidRPr="00681090">
        <w:t xml:space="preserve"> contiene </w:t>
      </w:r>
      <w:r w:rsidR="008A6EE9">
        <w:t>165</w:t>
      </w:r>
      <w:r w:rsidR="00681090" w:rsidRPr="00681090">
        <w:t xml:space="preserve"> observaciones para 17 </w:t>
      </w:r>
      <w:r w:rsidR="00681090" w:rsidRPr="00681090">
        <w:lastRenderedPageBreak/>
        <w:t>países</w:t>
      </w:r>
      <w:r w:rsidR="00681090" w:rsidRPr="00681090">
        <w:rPr>
          <w:vertAlign w:val="superscript"/>
        </w:rPr>
        <w:footnoteReference w:id="11"/>
      </w:r>
      <w:r w:rsidR="00681090" w:rsidRPr="00681090">
        <w:t xml:space="preserve"> para el periodo de 19</w:t>
      </w:r>
      <w:r w:rsidR="00681090">
        <w:t>90</w:t>
      </w:r>
      <w:r w:rsidR="00681090" w:rsidRPr="00681090">
        <w:t xml:space="preserve"> – 201</w:t>
      </w:r>
      <w:r w:rsidR="00681090">
        <w:t>2</w:t>
      </w:r>
      <w:r w:rsidR="00681090" w:rsidRPr="00681090">
        <w:t xml:space="preserve">. Se seleccionaron solamente aquellos países </w:t>
      </w:r>
      <w:r w:rsidR="00681090">
        <w:t>cuyos</w:t>
      </w:r>
      <w:r w:rsidR="00681090" w:rsidRPr="00681090">
        <w:t xml:space="preserve"> </w:t>
      </w:r>
      <w:r w:rsidR="008A6EE9">
        <w:t>indicadores</w:t>
      </w:r>
      <w:r w:rsidR="00681090" w:rsidRPr="00681090">
        <w:t xml:space="preserve"> de pobreza </w:t>
      </w:r>
      <w:r w:rsidR="00681090">
        <w:t>son</w:t>
      </w:r>
      <w:r w:rsidR="00681090" w:rsidRPr="00681090">
        <w:t xml:space="preserve"> nacional</w:t>
      </w:r>
      <w:r w:rsidR="00681090">
        <w:t>es</w:t>
      </w:r>
      <w:r w:rsidR="00681090" w:rsidRPr="00681090">
        <w:t xml:space="preserve">. Las estimaciones se realizaron utilizando </w:t>
      </w:r>
      <w:r w:rsidR="008A6EE9" w:rsidRPr="00E62498">
        <w:rPr>
          <w:lang w:val="es-ES"/>
        </w:rPr>
        <w:t>intervalos</w:t>
      </w:r>
      <w:r w:rsidR="008A6EE9">
        <w:rPr>
          <w:lang w:val="es-ES"/>
        </w:rPr>
        <w:t xml:space="preserve"> o episodios</w:t>
      </w:r>
      <w:r w:rsidR="008A6EE9" w:rsidRPr="00E62498">
        <w:rPr>
          <w:lang w:val="es-ES"/>
        </w:rPr>
        <w:t xml:space="preserve"> de crecimiento dispares</w:t>
      </w:r>
      <w:r w:rsidR="008A6EE9">
        <w:rPr>
          <w:lang w:val="es-ES"/>
        </w:rPr>
        <w:t xml:space="preserve"> (“</w:t>
      </w:r>
      <w:proofErr w:type="spellStart"/>
      <w:r w:rsidR="008A6EE9">
        <w:rPr>
          <w:lang w:val="es-ES"/>
        </w:rPr>
        <w:t>spells</w:t>
      </w:r>
      <w:proofErr w:type="spellEnd"/>
      <w:r w:rsidR="008A6EE9">
        <w:rPr>
          <w:lang w:val="es-ES"/>
        </w:rPr>
        <w:t xml:space="preserve">”) a través del cálculo de la tasa de crecimiento anual promedio de las variables. </w:t>
      </w:r>
      <w:r w:rsidR="00681090" w:rsidRPr="00681090">
        <w:t xml:space="preserve">El resumen de las características de la muestra se presenta en el </w:t>
      </w:r>
      <w:r w:rsidR="008A6EE9">
        <w:t>Cuadro XX.</w:t>
      </w:r>
    </w:p>
    <w:p w:rsidR="005A2C55" w:rsidRDefault="005A2C55" w:rsidP="005D493E">
      <w:pPr>
        <w:ind w:firstLine="567"/>
      </w:pPr>
    </w:p>
    <w:p w:rsidR="001A135B" w:rsidRDefault="005A2C55" w:rsidP="001A135B">
      <w:pPr>
        <w:ind w:firstLine="567"/>
      </w:pPr>
      <w:r>
        <w:t>L</w:t>
      </w:r>
      <w:r w:rsidR="00955E52">
        <w:t>os resultados de la estimación de l</w:t>
      </w:r>
      <w:r>
        <w:t xml:space="preserve">a ecuación </w:t>
      </w:r>
      <w:fldSimple w:instr=" REF _Ref377033862 \h  \* MERGEFORMAT ">
        <w:r w:rsidRPr="00E62498">
          <w:t>(2)</w:t>
        </w:r>
      </w:fldSimple>
      <w:r w:rsidR="00955E52">
        <w:t xml:space="preserve"> se presentan en el </w:t>
      </w:r>
      <w:fldSimple w:instr=" REF _Ref377043208 \h  \* MERGEFORMAT ">
        <w:r w:rsidR="00955E52" w:rsidRPr="00955E52">
          <w:t>Cuadro 3</w:t>
        </w:r>
      </w:fldSimple>
      <w:r w:rsidR="001A135B">
        <w:t xml:space="preserve">. La evidencia muestra que el crecimiento económico y la distribución del ingreso son factores </w:t>
      </w:r>
      <w:r w:rsidR="008306DE">
        <w:t>relevantes</w:t>
      </w:r>
      <w:r w:rsidR="001A135B">
        <w:t xml:space="preserve"> que inciden sobre l</w:t>
      </w:r>
      <w:r w:rsidR="008306DE">
        <w:t>os indicadores de</w:t>
      </w:r>
      <w:r w:rsidR="001A135B">
        <w:t xml:space="preserve"> pobreza. </w:t>
      </w:r>
      <w:r w:rsidR="008306DE">
        <w:t>De este modo</w:t>
      </w:r>
      <w:r w:rsidR="001A135B">
        <w:t xml:space="preserve">, la </w:t>
      </w:r>
      <w:r w:rsidR="008306DE">
        <w:rPr>
          <w:lang w:val="es-CL"/>
        </w:rPr>
        <w:t xml:space="preserve">elasticidad-crecimiento de la pobreza </w:t>
      </w:r>
      <w:r w:rsidR="008306DE">
        <w:t>para</w:t>
      </w:r>
      <w:r w:rsidR="001A135B">
        <w:t xml:space="preserve"> América Latina</w:t>
      </w:r>
      <w:r w:rsidR="008306DE">
        <w:t>, y para el periodo considerado,</w:t>
      </w:r>
      <w:r w:rsidR="001A135B">
        <w:t xml:space="preserve"> </w:t>
      </w:r>
      <w:r w:rsidR="008306DE">
        <w:t xml:space="preserve">es negativa y </w:t>
      </w:r>
      <w:r w:rsidR="001A135B">
        <w:t>se encuentra</w:t>
      </w:r>
      <w:r w:rsidR="008306DE">
        <w:t xml:space="preserve"> alrededor de la unidad</w:t>
      </w:r>
      <w:r w:rsidR="001A135B">
        <w:t xml:space="preserve"> en el rango de </w:t>
      </w:r>
      <w:r w:rsidR="008306DE">
        <w:t>-0.93</w:t>
      </w:r>
      <w:r w:rsidR="001A135B">
        <w:t xml:space="preserve"> y -1.</w:t>
      </w:r>
      <w:r w:rsidR="008306DE">
        <w:t>31</w:t>
      </w:r>
      <w:r w:rsidR="001A135B">
        <w:t xml:space="preserve"> dependiendo del indicador de pobreza</w:t>
      </w:r>
      <w:r w:rsidR="008306DE">
        <w:t>, siendo mayores en magnitud para los indicadores de “severidad”</w:t>
      </w:r>
      <w:r w:rsidR="001A135B">
        <w:t xml:space="preserve">. </w:t>
      </w:r>
      <w:r w:rsidR="00753B17">
        <w:t>Asimismo</w:t>
      </w:r>
      <w:r w:rsidR="001A135B">
        <w:t xml:space="preserve">, </w:t>
      </w:r>
      <w:r w:rsidR="00753B17">
        <w:t xml:space="preserve">un aumento en el índice de Gini muestra un efecto positivo </w:t>
      </w:r>
      <w:r w:rsidR="001A135B">
        <w:t>y estadísticamente significativ</w:t>
      </w:r>
      <w:r w:rsidR="00753B17">
        <w:t>o</w:t>
      </w:r>
      <w:r w:rsidR="001A135B">
        <w:t xml:space="preserve"> </w:t>
      </w:r>
      <w:r w:rsidR="00753B17">
        <w:t>sobre los indicadores de pobreza</w:t>
      </w:r>
      <w:r w:rsidR="00566EFB">
        <w:t>,</w:t>
      </w:r>
      <w:r w:rsidR="001A135B">
        <w:t xml:space="preserve"> </w:t>
      </w:r>
      <w:r w:rsidR="00566EFB">
        <w:t>e</w:t>
      </w:r>
      <w:r w:rsidR="001A135B">
        <w:t xml:space="preserve">llo sugiere que </w:t>
      </w:r>
      <w:r w:rsidR="00753B17">
        <w:t xml:space="preserve">aumentos de </w:t>
      </w:r>
      <w:r w:rsidR="001A135B">
        <w:t xml:space="preserve">la desigualdad </w:t>
      </w:r>
      <w:r w:rsidR="00753B17">
        <w:t xml:space="preserve">del ingreso </w:t>
      </w:r>
      <w:r w:rsidR="001A135B">
        <w:t>inciden de manera negativa sobre los indicadores de pobreza.</w:t>
      </w:r>
      <w:r w:rsidR="00753B17">
        <w:t xml:space="preserve"> Es importante destacar que los efectos sobre la distribución del </w:t>
      </w:r>
      <w:r w:rsidR="00566EFB">
        <w:t>ingreso</w:t>
      </w:r>
      <w:r w:rsidR="00753B17">
        <w:t xml:space="preserve"> cobran mayor relevancia al considerar los indicadores PG y PGS</w:t>
      </w:r>
      <w:r w:rsidR="001A135B">
        <w:t xml:space="preserve">. </w:t>
      </w:r>
    </w:p>
    <w:p w:rsidR="00566EFB" w:rsidRDefault="00566EFB" w:rsidP="001A135B">
      <w:pPr>
        <w:ind w:firstLine="567"/>
        <w:rPr>
          <w:lang w:val="es-CL"/>
        </w:rPr>
      </w:pPr>
    </w:p>
    <w:p w:rsidR="005D493E" w:rsidRDefault="005D493E" w:rsidP="005D493E">
      <w:pPr>
        <w:ind w:firstLine="567"/>
        <w:rPr>
          <w:lang w:val="es-ES"/>
        </w:rPr>
      </w:pPr>
    </w:p>
    <w:p w:rsidR="00E62498" w:rsidRDefault="00E62498" w:rsidP="00E62498">
      <w:pPr>
        <w:rPr>
          <w:lang w:val="es-ES"/>
        </w:rPr>
      </w:pPr>
    </w:p>
    <w:p w:rsidR="00955E52" w:rsidRPr="00955E52" w:rsidRDefault="00955E52" w:rsidP="00955E52">
      <w:pPr>
        <w:pStyle w:val="Caption"/>
        <w:spacing w:after="0"/>
        <w:jc w:val="center"/>
        <w:rPr>
          <w:rFonts w:ascii="Arial" w:hAnsi="Arial" w:cs="Arial"/>
          <w:color w:val="auto"/>
        </w:rPr>
      </w:pPr>
      <w:bookmarkStart w:id="3" w:name="_Ref377043208"/>
      <w:r w:rsidRPr="0004426B">
        <w:rPr>
          <w:rFonts w:ascii="Arial" w:hAnsi="Arial" w:cs="Arial"/>
          <w:color w:val="auto"/>
        </w:rPr>
        <w:t xml:space="preserve">CUADRO </w:t>
      </w:r>
      <w:r w:rsidR="00EC455F" w:rsidRPr="0004426B">
        <w:rPr>
          <w:rFonts w:ascii="Arial" w:hAnsi="Arial" w:cs="Arial"/>
          <w:color w:val="auto"/>
        </w:rPr>
        <w:fldChar w:fldCharType="begin"/>
      </w:r>
      <w:r w:rsidRPr="0004426B">
        <w:rPr>
          <w:rFonts w:ascii="Arial" w:hAnsi="Arial" w:cs="Arial"/>
          <w:color w:val="auto"/>
        </w:rPr>
        <w:instrText xml:space="preserve"> SEQ CUADRO \* ARABIC </w:instrText>
      </w:r>
      <w:r w:rsidR="00EC455F" w:rsidRPr="0004426B">
        <w:rPr>
          <w:rFonts w:ascii="Arial" w:hAnsi="Arial" w:cs="Arial"/>
          <w:color w:val="auto"/>
        </w:rPr>
        <w:fldChar w:fldCharType="separate"/>
      </w:r>
      <w:r>
        <w:rPr>
          <w:rFonts w:ascii="Arial" w:hAnsi="Arial" w:cs="Arial"/>
          <w:noProof/>
          <w:color w:val="auto"/>
        </w:rPr>
        <w:t>3</w:t>
      </w:r>
      <w:r w:rsidR="00EC455F" w:rsidRPr="0004426B">
        <w:rPr>
          <w:rFonts w:ascii="Arial" w:hAnsi="Arial" w:cs="Arial"/>
          <w:color w:val="auto"/>
        </w:rPr>
        <w:fldChar w:fldCharType="end"/>
      </w:r>
      <w:bookmarkEnd w:id="3"/>
      <w:r w:rsidRPr="00E0542D">
        <w:rPr>
          <w:rFonts w:eastAsia="Calibri"/>
        </w:rPr>
        <w:t xml:space="preserve"> </w:t>
      </w:r>
    </w:p>
    <w:p w:rsidR="00955E52" w:rsidRPr="00E0542D" w:rsidRDefault="00955E52" w:rsidP="00955E52">
      <w:pPr>
        <w:pStyle w:val="CUADROS"/>
        <w:ind w:left="360"/>
        <w:outlineLvl w:val="0"/>
        <w:rPr>
          <w:rFonts w:eastAsia="Calibri"/>
        </w:rPr>
      </w:pPr>
      <w:bookmarkStart w:id="4" w:name="_Toc349460611"/>
      <w:bookmarkStart w:id="5" w:name="_Toc354562814"/>
      <w:r w:rsidRPr="00E0542D">
        <w:rPr>
          <w:rFonts w:eastAsia="Calibri"/>
        </w:rPr>
        <w:t>Regresiones de pobreza y crecimiento económico</w:t>
      </w:r>
      <w:bookmarkEnd w:id="4"/>
      <w:bookmarkEnd w:id="5"/>
    </w:p>
    <w:tbl>
      <w:tblPr>
        <w:tblStyle w:val="LightShading2"/>
        <w:tblW w:w="0" w:type="auto"/>
        <w:jc w:val="center"/>
        <w:tblLook w:val="06A0"/>
      </w:tblPr>
      <w:tblGrid>
        <w:gridCol w:w="1432"/>
        <w:gridCol w:w="222"/>
        <w:gridCol w:w="967"/>
        <w:gridCol w:w="903"/>
        <w:gridCol w:w="903"/>
        <w:gridCol w:w="222"/>
        <w:gridCol w:w="967"/>
        <w:gridCol w:w="967"/>
        <w:gridCol w:w="967"/>
      </w:tblGrid>
      <w:tr w:rsidR="00955E52" w:rsidRPr="00BA5EAF" w:rsidTr="00D34A02">
        <w:trPr>
          <w:cnfStyle w:val="100000000000"/>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b w:val="0"/>
                <w:bCs w:val="0"/>
                <w:i/>
                <w:sz w:val="20"/>
              </w:rPr>
            </w:pP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100000000000"/>
              <w:rPr>
                <w:rFonts w:eastAsia="Calibri"/>
                <w:sz w:val="20"/>
              </w:rPr>
            </w:pPr>
          </w:p>
        </w:tc>
        <w:tc>
          <w:tcPr>
            <w:tcW w:w="0" w:type="auto"/>
            <w:gridSpan w:val="3"/>
            <w:tcBorders>
              <w:bottom w:val="double" w:sz="4" w:space="0" w:color="auto"/>
            </w:tcBorders>
            <w:vAlign w:val="center"/>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r w:rsidRPr="007C4B95">
              <w:rPr>
                <w:rFonts w:ascii="Times New Roman" w:eastAsia="Calibri" w:hAnsi="Times New Roman"/>
                <w:sz w:val="20"/>
              </w:rPr>
              <w:t>Línea de indigencia</w:t>
            </w:r>
          </w:p>
        </w:tc>
        <w:tc>
          <w:tcPr>
            <w:tcW w:w="0" w:type="auto"/>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p>
        </w:tc>
        <w:tc>
          <w:tcPr>
            <w:tcW w:w="0" w:type="auto"/>
            <w:gridSpan w:val="3"/>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b w:val="0"/>
                <w:bCs w:val="0"/>
                <w:sz w:val="20"/>
              </w:rPr>
            </w:pPr>
            <w:r w:rsidRPr="007C4B95">
              <w:rPr>
                <w:rFonts w:ascii="Times New Roman" w:eastAsia="Calibri" w:hAnsi="Times New Roman"/>
                <w:sz w:val="20"/>
              </w:rPr>
              <w:t>Línea de pobreza</w:t>
            </w:r>
          </w:p>
        </w:tc>
      </w:tr>
      <w:tr w:rsidR="00955E52" w:rsidRPr="00BA5EAF" w:rsidTr="00D34A02">
        <w:trPr>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i/>
                <w:sz w:val="20"/>
              </w:rPr>
            </w:pPr>
            <w:r w:rsidRPr="00BA5EAF">
              <w:rPr>
                <w:rFonts w:eastAsia="Calibri"/>
                <w:i/>
                <w:sz w:val="20"/>
              </w:rPr>
              <w:t>Especificación</w:t>
            </w: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000000000000"/>
              <w:rPr>
                <w:rFonts w:eastAsia="Calibri"/>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r>
      <w:tr w:rsidR="00405926" w:rsidRPr="00BA5EAF" w:rsidTr="00405926">
        <w:trPr>
          <w:trHeight w:val="14"/>
          <w:jc w:val="center"/>
        </w:trPr>
        <w:tc>
          <w:tcPr>
            <w:cnfStyle w:val="001000000000"/>
            <w:tcW w:w="0" w:type="auto"/>
            <w:vMerge w:val="restart"/>
            <w:tcBorders>
              <w:top w:val="double" w:sz="4" w:space="0" w:color="auto"/>
            </w:tcBorders>
            <w:vAlign w:val="center"/>
          </w:tcPr>
          <w:p w:rsidR="00405926" w:rsidRPr="00BA5EAF" w:rsidRDefault="00405926" w:rsidP="00D34A02">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y</m:t>
                    </m:r>
                  </m:e>
                  <m:sub>
                    <m:r>
                      <m:rPr>
                        <m:sty m:val="bi"/>
                      </m:rPr>
                      <w:rPr>
                        <w:rFonts w:ascii="Cambria Math" w:eastAsia="Calibri" w:hAnsi="Cambria Math"/>
                        <w:sz w:val="20"/>
                      </w:rPr>
                      <m:t>it</m:t>
                    </m:r>
                  </m:sub>
                </m:sSub>
              </m:oMath>
            </m:oMathPara>
          </w:p>
        </w:tc>
        <w:tc>
          <w:tcPr>
            <w:tcW w:w="0" w:type="auto"/>
            <w:tcBorders>
              <w:top w:val="double" w:sz="4" w:space="0" w:color="auto"/>
            </w:tcBorders>
          </w:tcPr>
          <w:p w:rsidR="00405926" w:rsidRPr="00BA5EAF" w:rsidRDefault="00405926" w:rsidP="00D34A02">
            <w:pPr>
              <w:jc w:val="center"/>
              <w:cnfStyle w:val="000000000000"/>
              <w:rPr>
                <w:rFonts w:eastAsia="Calibri"/>
                <w:sz w:val="20"/>
              </w:rPr>
            </w:pPr>
          </w:p>
        </w:tc>
        <w:tc>
          <w:tcPr>
            <w:tcW w:w="0" w:type="auto"/>
            <w:tcBorders>
              <w:top w:val="double" w:sz="4" w:space="0" w:color="auto"/>
            </w:tcBorders>
            <w:vAlign w:val="center"/>
          </w:tcPr>
          <w:p w:rsidR="00405926" w:rsidRPr="00F84B5A" w:rsidRDefault="00405926" w:rsidP="00405926">
            <w:pPr>
              <w:jc w:val="center"/>
              <w:cnfStyle w:val="000000000000"/>
            </w:pPr>
            <w:r w:rsidRPr="00F84B5A">
              <w:t>-1.14***</w:t>
            </w:r>
          </w:p>
        </w:tc>
        <w:tc>
          <w:tcPr>
            <w:tcW w:w="0" w:type="auto"/>
            <w:tcBorders>
              <w:top w:val="double" w:sz="4" w:space="0" w:color="auto"/>
            </w:tcBorders>
            <w:vAlign w:val="center"/>
          </w:tcPr>
          <w:p w:rsidR="00405926" w:rsidRPr="00F84B5A" w:rsidRDefault="00405926" w:rsidP="00405926">
            <w:pPr>
              <w:jc w:val="center"/>
              <w:cnfStyle w:val="000000000000"/>
            </w:pPr>
            <w:r w:rsidRPr="00F84B5A">
              <w:t>-1.03*</w:t>
            </w:r>
          </w:p>
        </w:tc>
        <w:tc>
          <w:tcPr>
            <w:tcW w:w="0" w:type="auto"/>
            <w:tcBorders>
              <w:top w:val="double" w:sz="4" w:space="0" w:color="auto"/>
            </w:tcBorders>
            <w:vAlign w:val="center"/>
          </w:tcPr>
          <w:p w:rsidR="00405926" w:rsidRPr="00F84B5A" w:rsidRDefault="00405926" w:rsidP="00405926">
            <w:pPr>
              <w:jc w:val="center"/>
              <w:cnfStyle w:val="000000000000"/>
            </w:pPr>
            <w:r w:rsidRPr="00F84B5A">
              <w:t>-1.28**</w:t>
            </w:r>
          </w:p>
        </w:tc>
        <w:tc>
          <w:tcPr>
            <w:tcW w:w="0" w:type="auto"/>
            <w:tcBorders>
              <w:top w:val="double" w:sz="4" w:space="0" w:color="auto"/>
            </w:tcBorders>
            <w:vAlign w:val="center"/>
          </w:tcPr>
          <w:p w:rsidR="00405926" w:rsidRPr="00F84B5A" w:rsidRDefault="00405926" w:rsidP="00405926">
            <w:pPr>
              <w:jc w:val="center"/>
              <w:cnfStyle w:val="000000000000"/>
            </w:pPr>
          </w:p>
        </w:tc>
        <w:tc>
          <w:tcPr>
            <w:tcW w:w="0" w:type="auto"/>
            <w:tcBorders>
              <w:top w:val="double" w:sz="4" w:space="0" w:color="auto"/>
            </w:tcBorders>
            <w:vAlign w:val="center"/>
          </w:tcPr>
          <w:p w:rsidR="00405926" w:rsidRPr="00F84B5A" w:rsidRDefault="00405926" w:rsidP="00405926">
            <w:pPr>
              <w:jc w:val="center"/>
              <w:cnfStyle w:val="000000000000"/>
            </w:pPr>
            <w:r w:rsidRPr="00F84B5A">
              <w:t>-0.94***</w:t>
            </w:r>
          </w:p>
        </w:tc>
        <w:tc>
          <w:tcPr>
            <w:tcW w:w="0" w:type="auto"/>
            <w:tcBorders>
              <w:top w:val="double" w:sz="4" w:space="0" w:color="auto"/>
            </w:tcBorders>
            <w:vAlign w:val="center"/>
          </w:tcPr>
          <w:p w:rsidR="00405926" w:rsidRPr="00F84B5A" w:rsidRDefault="00405926" w:rsidP="00405926">
            <w:pPr>
              <w:jc w:val="center"/>
              <w:cnfStyle w:val="000000000000"/>
            </w:pPr>
            <w:r w:rsidRPr="00F84B5A">
              <w:t>-1.10***</w:t>
            </w:r>
          </w:p>
        </w:tc>
        <w:tc>
          <w:tcPr>
            <w:tcW w:w="0" w:type="auto"/>
            <w:tcBorders>
              <w:top w:val="double" w:sz="4" w:space="0" w:color="auto"/>
            </w:tcBorders>
            <w:vAlign w:val="center"/>
          </w:tcPr>
          <w:p w:rsidR="00405926" w:rsidRPr="00F84B5A" w:rsidRDefault="00405926" w:rsidP="00405926">
            <w:pPr>
              <w:jc w:val="center"/>
              <w:cnfStyle w:val="000000000000"/>
            </w:pPr>
            <w:r w:rsidRPr="00F84B5A">
              <w:t>-1.31***</w:t>
            </w:r>
          </w:p>
        </w:tc>
      </w:tr>
      <w:tr w:rsidR="00405926" w:rsidRPr="00BA5EAF" w:rsidTr="00405926">
        <w:trPr>
          <w:jc w:val="center"/>
        </w:trPr>
        <w:tc>
          <w:tcPr>
            <w:cnfStyle w:val="001000000000"/>
            <w:tcW w:w="0" w:type="auto"/>
            <w:vMerge/>
            <w:tcBorders>
              <w:bottom w:val="nil"/>
            </w:tcBorders>
          </w:tcPr>
          <w:p w:rsidR="00405926" w:rsidRPr="00BA5EAF" w:rsidRDefault="00405926" w:rsidP="00D34A02">
            <w:pPr>
              <w:autoSpaceDE w:val="0"/>
              <w:autoSpaceDN w:val="0"/>
              <w:adjustRightInd w:val="0"/>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bottom w:val="nil"/>
            </w:tcBorders>
            <w:vAlign w:val="center"/>
          </w:tcPr>
          <w:p w:rsidR="00405926" w:rsidRPr="00F84B5A" w:rsidRDefault="00405926" w:rsidP="00405926">
            <w:pPr>
              <w:jc w:val="center"/>
              <w:cnfStyle w:val="000000000000"/>
            </w:pPr>
            <w:r w:rsidRPr="00F84B5A">
              <w:t>(0.42)</w:t>
            </w:r>
          </w:p>
        </w:tc>
        <w:tc>
          <w:tcPr>
            <w:tcW w:w="0" w:type="auto"/>
            <w:tcBorders>
              <w:bottom w:val="nil"/>
            </w:tcBorders>
            <w:vAlign w:val="center"/>
          </w:tcPr>
          <w:p w:rsidR="00405926" w:rsidRPr="00F84B5A" w:rsidRDefault="00405926" w:rsidP="00405926">
            <w:pPr>
              <w:jc w:val="center"/>
              <w:cnfStyle w:val="000000000000"/>
            </w:pPr>
            <w:r w:rsidRPr="00F84B5A">
              <w:t>(0.60)</w:t>
            </w:r>
          </w:p>
        </w:tc>
        <w:tc>
          <w:tcPr>
            <w:tcW w:w="0" w:type="auto"/>
            <w:tcBorders>
              <w:bottom w:val="nil"/>
            </w:tcBorders>
            <w:vAlign w:val="center"/>
          </w:tcPr>
          <w:p w:rsidR="00405926" w:rsidRPr="00F84B5A" w:rsidRDefault="00405926" w:rsidP="00405926">
            <w:pPr>
              <w:jc w:val="center"/>
              <w:cnfStyle w:val="000000000000"/>
            </w:pPr>
            <w:r w:rsidRPr="00F84B5A">
              <w:t>(0.59)</w:t>
            </w:r>
          </w:p>
        </w:tc>
        <w:tc>
          <w:tcPr>
            <w:tcW w:w="0" w:type="auto"/>
            <w:tcBorders>
              <w:bottom w:val="nil"/>
            </w:tcBorders>
            <w:vAlign w:val="center"/>
          </w:tcPr>
          <w:p w:rsidR="00405926" w:rsidRPr="00F84B5A" w:rsidRDefault="00405926" w:rsidP="00405926">
            <w:pPr>
              <w:jc w:val="center"/>
              <w:cnfStyle w:val="000000000000"/>
            </w:pPr>
          </w:p>
        </w:tc>
        <w:tc>
          <w:tcPr>
            <w:tcW w:w="0" w:type="auto"/>
            <w:tcBorders>
              <w:bottom w:val="nil"/>
            </w:tcBorders>
            <w:vAlign w:val="center"/>
          </w:tcPr>
          <w:p w:rsidR="00405926" w:rsidRPr="00F84B5A" w:rsidRDefault="00405926" w:rsidP="00405926">
            <w:pPr>
              <w:jc w:val="center"/>
              <w:cnfStyle w:val="000000000000"/>
            </w:pPr>
            <w:r w:rsidRPr="00F84B5A">
              <w:t>(0.20)</w:t>
            </w:r>
          </w:p>
        </w:tc>
        <w:tc>
          <w:tcPr>
            <w:tcW w:w="0" w:type="auto"/>
            <w:tcBorders>
              <w:bottom w:val="nil"/>
            </w:tcBorders>
            <w:vAlign w:val="center"/>
          </w:tcPr>
          <w:p w:rsidR="00405926" w:rsidRPr="00F84B5A" w:rsidRDefault="00405926" w:rsidP="00405926">
            <w:pPr>
              <w:jc w:val="center"/>
              <w:cnfStyle w:val="000000000000"/>
            </w:pPr>
            <w:r w:rsidRPr="00F84B5A">
              <w:t>(0.30)</w:t>
            </w:r>
          </w:p>
        </w:tc>
        <w:tc>
          <w:tcPr>
            <w:tcW w:w="0" w:type="auto"/>
            <w:tcBorders>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vMerge w:val="restart"/>
            <w:tcBorders>
              <w:top w:val="nil"/>
            </w:tcBorders>
            <w:vAlign w:val="center"/>
          </w:tcPr>
          <w:p w:rsidR="00405926" w:rsidRPr="00BA5EAF" w:rsidRDefault="00405926" w:rsidP="001A135B">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gini</m:t>
                    </m:r>
                  </m:e>
                  <m:sub>
                    <m:r>
                      <m:rPr>
                        <m:sty m:val="bi"/>
                      </m:rPr>
                      <w:rPr>
                        <w:rFonts w:ascii="Cambria Math" w:eastAsia="Calibri" w:hAnsi="Cambria Math"/>
                        <w:sz w:val="20"/>
                      </w:rPr>
                      <m:t>it</m:t>
                    </m:r>
                  </m:sub>
                </m:sSub>
              </m:oMath>
            </m:oMathPara>
          </w:p>
        </w:tc>
        <w:tc>
          <w:tcPr>
            <w:tcW w:w="0" w:type="auto"/>
            <w:tcBorders>
              <w:top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1.06***</w:t>
            </w:r>
          </w:p>
        </w:tc>
        <w:tc>
          <w:tcPr>
            <w:tcW w:w="0" w:type="auto"/>
            <w:tcBorders>
              <w:top w:val="nil"/>
              <w:bottom w:val="nil"/>
            </w:tcBorders>
            <w:vAlign w:val="center"/>
          </w:tcPr>
          <w:p w:rsidR="00405926" w:rsidRPr="00F84B5A" w:rsidRDefault="00405926" w:rsidP="00405926">
            <w:pPr>
              <w:jc w:val="center"/>
              <w:cnfStyle w:val="000000000000"/>
            </w:pPr>
            <w:r w:rsidRPr="00F84B5A">
              <w:t>1.60***</w:t>
            </w:r>
          </w:p>
        </w:tc>
        <w:tc>
          <w:tcPr>
            <w:tcW w:w="0" w:type="auto"/>
            <w:tcBorders>
              <w:top w:val="nil"/>
              <w:bottom w:val="nil"/>
            </w:tcBorders>
            <w:vAlign w:val="center"/>
          </w:tcPr>
          <w:p w:rsidR="00405926" w:rsidRPr="00F84B5A" w:rsidRDefault="00405926" w:rsidP="00405926">
            <w:pPr>
              <w:jc w:val="center"/>
              <w:cnfStyle w:val="000000000000"/>
            </w:pPr>
            <w:r w:rsidRPr="00F84B5A">
              <w:t>2.02***</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0.53***</w:t>
            </w:r>
          </w:p>
        </w:tc>
        <w:tc>
          <w:tcPr>
            <w:tcW w:w="0" w:type="auto"/>
            <w:tcBorders>
              <w:top w:val="nil"/>
              <w:bottom w:val="nil"/>
            </w:tcBorders>
            <w:vAlign w:val="center"/>
          </w:tcPr>
          <w:p w:rsidR="00405926" w:rsidRPr="00F84B5A" w:rsidRDefault="00405926" w:rsidP="00405926">
            <w:pPr>
              <w:jc w:val="center"/>
              <w:cnfStyle w:val="000000000000"/>
            </w:pPr>
            <w:r w:rsidRPr="00F84B5A">
              <w:t>1.05***</w:t>
            </w:r>
          </w:p>
        </w:tc>
        <w:tc>
          <w:tcPr>
            <w:tcW w:w="0" w:type="auto"/>
            <w:tcBorders>
              <w:top w:val="nil"/>
              <w:bottom w:val="nil"/>
            </w:tcBorders>
            <w:vAlign w:val="center"/>
          </w:tcPr>
          <w:p w:rsidR="00405926" w:rsidRPr="00F84B5A" w:rsidRDefault="00405926" w:rsidP="00405926">
            <w:pPr>
              <w:jc w:val="center"/>
              <w:cnfStyle w:val="000000000000"/>
            </w:pPr>
            <w:r w:rsidRPr="00F84B5A">
              <w:t>1.53***</w:t>
            </w:r>
          </w:p>
        </w:tc>
      </w:tr>
      <w:tr w:rsidR="00405926" w:rsidRPr="00BA5EAF" w:rsidTr="00405926">
        <w:trPr>
          <w:trHeight w:val="74"/>
          <w:jc w:val="center"/>
        </w:trPr>
        <w:tc>
          <w:tcPr>
            <w:cnfStyle w:val="001000000000"/>
            <w:tcW w:w="0" w:type="auto"/>
            <w:vMerge/>
            <w:tcBorders>
              <w:bottom w:val="nil"/>
            </w:tcBorders>
          </w:tcPr>
          <w:p w:rsidR="00405926" w:rsidRPr="00BA5EAF" w:rsidRDefault="00405926" w:rsidP="00D34A02">
            <w:pPr>
              <w:autoSpaceDE w:val="0"/>
              <w:autoSpaceDN w:val="0"/>
              <w:adjustRightInd w:val="0"/>
              <w:jc w:val="center"/>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(0.27)</w:t>
            </w:r>
          </w:p>
        </w:tc>
        <w:tc>
          <w:tcPr>
            <w:tcW w:w="0" w:type="auto"/>
            <w:tcBorders>
              <w:top w:val="nil"/>
              <w:bottom w:val="nil"/>
            </w:tcBorders>
            <w:vAlign w:val="center"/>
          </w:tcPr>
          <w:p w:rsidR="00405926" w:rsidRPr="00F84B5A" w:rsidRDefault="00405926" w:rsidP="00405926">
            <w:pPr>
              <w:jc w:val="center"/>
              <w:cnfStyle w:val="000000000000"/>
            </w:pPr>
            <w:r w:rsidRPr="00F84B5A">
              <w:t>(0.40)</w:t>
            </w:r>
          </w:p>
        </w:tc>
        <w:tc>
          <w:tcPr>
            <w:tcW w:w="0" w:type="auto"/>
            <w:tcBorders>
              <w:top w:val="nil"/>
              <w:bottom w:val="nil"/>
            </w:tcBorders>
            <w:vAlign w:val="center"/>
          </w:tcPr>
          <w:p w:rsidR="00405926" w:rsidRPr="00F84B5A" w:rsidRDefault="00405926" w:rsidP="00405926">
            <w:pPr>
              <w:jc w:val="center"/>
              <w:cnfStyle w:val="000000000000"/>
            </w:pPr>
            <w:r w:rsidRPr="00F84B5A">
              <w:t>(0.44)</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(0.18)</w:t>
            </w:r>
          </w:p>
        </w:tc>
        <w:tc>
          <w:tcPr>
            <w:tcW w:w="0" w:type="auto"/>
            <w:tcBorders>
              <w:top w:val="nil"/>
              <w:bottom w:val="nil"/>
            </w:tcBorders>
            <w:vAlign w:val="center"/>
          </w:tcPr>
          <w:p w:rsidR="00405926" w:rsidRPr="00F84B5A" w:rsidRDefault="00405926" w:rsidP="00405926">
            <w:pPr>
              <w:jc w:val="center"/>
              <w:cnfStyle w:val="000000000000"/>
            </w:pPr>
            <w:r w:rsidRPr="00F84B5A">
              <w:t>(0.21)</w:t>
            </w:r>
          </w:p>
        </w:tc>
        <w:tc>
          <w:tcPr>
            <w:tcW w:w="0" w:type="auto"/>
            <w:tcBorders>
              <w:top w:val="nil"/>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tcBorders>
              <w:top w:val="double" w:sz="4" w:space="0" w:color="auto"/>
              <w:bottom w:val="nil"/>
            </w:tcBorders>
            <w:vAlign w:val="center"/>
          </w:tcPr>
          <w:p w:rsidR="00405926" w:rsidRPr="00BA5EAF" w:rsidRDefault="00EC455F" w:rsidP="00D34A02">
            <w:pPr>
              <w:autoSpaceDE w:val="0"/>
              <w:autoSpaceDN w:val="0"/>
              <w:adjustRightInd w:val="0"/>
              <w:jc w:val="center"/>
              <w:rPr>
                <w:rFonts w:eastAsia="Calibri"/>
                <w:sz w:val="20"/>
              </w:rPr>
            </w:pPr>
            <m:oMathPara>
              <m:oMath>
                <m:sSup>
                  <m:sSupPr>
                    <m:ctrlPr>
                      <w:rPr>
                        <w:rFonts w:ascii="Cambria Math" w:eastAsia="Calibri" w:hAnsi="Cambria Math"/>
                        <w:b w:val="0"/>
                        <w:bCs w:val="0"/>
                        <w:i/>
                        <w:sz w:val="20"/>
                      </w:rPr>
                    </m:ctrlPr>
                  </m:sSupPr>
                  <m:e>
                    <m:r>
                      <m:rPr>
                        <m:sty m:val="bi"/>
                      </m:rPr>
                      <w:rPr>
                        <w:rFonts w:ascii="Cambria Math" w:eastAsia="Calibri" w:hAnsi="Cambria Math"/>
                        <w:sz w:val="20"/>
                      </w:rPr>
                      <m:t>R</m:t>
                    </m:r>
                    <m:ctrlPr>
                      <w:rPr>
                        <w:rFonts w:ascii="Cambria Math" w:eastAsia="Calibri" w:hAnsi="Cambria Math"/>
                        <w:i/>
                        <w:sz w:val="20"/>
                      </w:rPr>
                    </m:ctrlPr>
                  </m:e>
                  <m:sup>
                    <m:r>
                      <m:rPr>
                        <m:sty m:val="bi"/>
                      </m:rPr>
                      <w:rPr>
                        <w:rFonts w:ascii="Cambria Math" w:eastAsia="Calibri" w:hAnsi="Cambria Math"/>
                        <w:sz w:val="20"/>
                      </w:rPr>
                      <m:t>2</m:t>
                    </m:r>
                    <m:ctrlPr>
                      <w:rPr>
                        <w:rFonts w:ascii="Cambria Math" w:eastAsia="Calibri" w:hAnsi="Cambria Math"/>
                        <w:i/>
                        <w:sz w:val="20"/>
                      </w:rPr>
                    </m:ctrlPr>
                  </m:sup>
                </m:sSup>
              </m:oMath>
            </m:oMathPara>
          </w:p>
        </w:tc>
        <w:tc>
          <w:tcPr>
            <w:tcW w:w="0" w:type="auto"/>
            <w:tcBorders>
              <w:top w:val="double" w:sz="4" w:space="0" w:color="auto"/>
              <w:bottom w:val="nil"/>
            </w:tcBorders>
          </w:tcPr>
          <w:p w:rsidR="00405926" w:rsidRPr="00BA5EAF" w:rsidRDefault="00405926" w:rsidP="00D34A02">
            <w:pPr>
              <w:jc w:val="center"/>
              <w:cnfStyle w:val="000000000000"/>
              <w:rPr>
                <w:rFonts w:eastAsia="Calibri"/>
                <w:sz w:val="20"/>
              </w:rPr>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0.21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0.16</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0.19</w:t>
            </w:r>
          </w:p>
        </w:tc>
        <w:tc>
          <w:tcPr>
            <w:tcW w:w="0" w:type="auto"/>
            <w:tcBorders>
              <w:top w:val="double" w:sz="4" w:space="0" w:color="auto"/>
              <w:bottom w:val="nil"/>
            </w:tcBorders>
            <w:vAlign w:val="center"/>
          </w:tcPr>
          <w:p w:rsidR="00405926" w:rsidRPr="00F84B5A" w:rsidRDefault="00405926" w:rsidP="00405926">
            <w:pPr>
              <w:jc w:val="center"/>
              <w:cnfStyle w:val="000000000000"/>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0.35</w:t>
            </w:r>
          </w:p>
        </w:tc>
        <w:tc>
          <w:tcPr>
            <w:tcW w:w="0" w:type="auto"/>
            <w:tcBorders>
              <w:top w:val="double" w:sz="4" w:space="0" w:color="auto"/>
              <w:bottom w:val="nil"/>
            </w:tcBorders>
            <w:vAlign w:val="center"/>
          </w:tcPr>
          <w:p w:rsidR="00405926" w:rsidRDefault="00405926" w:rsidP="00405926">
            <w:pPr>
              <w:jc w:val="center"/>
              <w:cnfStyle w:val="000000000000"/>
            </w:pPr>
            <w:r w:rsidRPr="00F84B5A">
              <w:t>0.42</w:t>
            </w:r>
          </w:p>
        </w:tc>
      </w:tr>
      <w:tr w:rsidR="00955E52" w:rsidRPr="00BA5EAF" w:rsidTr="00405926">
        <w:trPr>
          <w:jc w:val="center"/>
        </w:trPr>
        <w:tc>
          <w:tcPr>
            <w:cnfStyle w:val="001000000000"/>
            <w:tcW w:w="0" w:type="auto"/>
            <w:tcBorders>
              <w:top w:val="nil"/>
              <w:bottom w:val="nil"/>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Países</w:t>
            </w:r>
          </w:p>
        </w:tc>
        <w:tc>
          <w:tcPr>
            <w:tcW w:w="0" w:type="auto"/>
            <w:tcBorders>
              <w:top w:val="nil"/>
              <w:bottom w:val="nil"/>
            </w:tcBorders>
          </w:tcPr>
          <w:p w:rsidR="00955E52" w:rsidRPr="00BA5EAF" w:rsidRDefault="00955E52" w:rsidP="00D34A02">
            <w:pPr>
              <w:jc w:val="center"/>
              <w:cnfStyle w:val="000000000000"/>
              <w:rPr>
                <w:rFonts w:eastAsia="Calibri"/>
                <w:sz w:val="20"/>
              </w:rPr>
            </w:pPr>
          </w:p>
        </w:tc>
        <w:tc>
          <w:tcPr>
            <w:tcW w:w="0" w:type="auto"/>
            <w:tcBorders>
              <w:top w:val="nil"/>
              <w:bottom w:val="nil"/>
            </w:tcBorders>
            <w:vAlign w:val="center"/>
          </w:tcPr>
          <w:p w:rsidR="00955E52" w:rsidRPr="00B45587" w:rsidRDefault="00955E52" w:rsidP="00405926">
            <w:pPr>
              <w:jc w:val="center"/>
              <w:cnfStyle w:val="000000000000"/>
            </w:pPr>
            <w:r>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Pr="00B45587" w:rsidRDefault="00955E52" w:rsidP="00405926">
            <w:pPr>
              <w:jc w:val="center"/>
              <w:cnfStyle w:val="000000000000"/>
            </w:pP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r>
      <w:tr w:rsidR="00955E52" w:rsidRPr="00BA5EAF" w:rsidTr="00405926">
        <w:trPr>
          <w:jc w:val="center"/>
        </w:trPr>
        <w:tc>
          <w:tcPr>
            <w:cnfStyle w:val="001000000000"/>
            <w:tcW w:w="0" w:type="auto"/>
            <w:tcBorders>
              <w:top w:val="nil"/>
              <w:bottom w:val="single" w:sz="4" w:space="0" w:color="auto"/>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Observaciones</w:t>
            </w:r>
          </w:p>
        </w:tc>
        <w:tc>
          <w:tcPr>
            <w:tcW w:w="0" w:type="auto"/>
            <w:tcBorders>
              <w:top w:val="nil"/>
              <w:bottom w:val="single" w:sz="4" w:space="0" w:color="auto"/>
            </w:tcBorders>
          </w:tcPr>
          <w:p w:rsidR="00955E52" w:rsidRPr="00BA5EAF" w:rsidRDefault="00955E52" w:rsidP="00D34A02">
            <w:pPr>
              <w:jc w:val="center"/>
              <w:cnfStyle w:val="000000000000"/>
              <w:rPr>
                <w:rFonts w:eastAsia="Calibri"/>
                <w:sz w:val="20"/>
              </w:rPr>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153</w:t>
            </w:r>
          </w:p>
        </w:tc>
        <w:tc>
          <w:tcPr>
            <w:tcW w:w="0" w:type="auto"/>
            <w:tcBorders>
              <w:top w:val="nil"/>
              <w:bottom w:val="single" w:sz="4" w:space="0" w:color="auto"/>
            </w:tcBorders>
            <w:vAlign w:val="center"/>
          </w:tcPr>
          <w:p w:rsidR="00955E52" w:rsidRPr="00B45587" w:rsidRDefault="00955E52" w:rsidP="00405926">
            <w:pPr>
              <w:jc w:val="center"/>
              <w:cnfStyle w:val="000000000000"/>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Default="00955E52" w:rsidP="00405926">
            <w:pPr>
              <w:jc w:val="center"/>
              <w:cnfStyle w:val="000000000000"/>
            </w:pPr>
            <w:r w:rsidRPr="00B45587">
              <w:t>153</w:t>
            </w:r>
          </w:p>
        </w:tc>
      </w:tr>
    </w:tbl>
    <w:p w:rsidR="00955E52" w:rsidRPr="002C143B" w:rsidRDefault="00955E52" w:rsidP="00955E52">
      <w:pPr>
        <w:pStyle w:val="FUENTES"/>
      </w:pPr>
      <w:r w:rsidRPr="002C143B">
        <w:t xml:space="preserve">Fuente: Elaboración propia.  </w:t>
      </w:r>
    </w:p>
    <w:p w:rsidR="00955E52" w:rsidRPr="002C143B" w:rsidRDefault="00955E52" w:rsidP="00955E52">
      <w:pPr>
        <w:pStyle w:val="FUENTES"/>
      </w:pPr>
      <w:r w:rsidRPr="002C143B">
        <w:t>Nota: Las estimaciones incluyen sólo aquellos países y años en los cuales el indicador de pobreza es nacional y considera tanto el sector rural como urbano.</w:t>
      </w:r>
      <w:r>
        <w:t xml:space="preserve"> Los coeficientes se estimaron usando mínimos cuadrados ordinarios (MCO)</w:t>
      </w:r>
      <w:r>
        <w:rPr>
          <w:rStyle w:val="FootnoteReference"/>
        </w:rPr>
        <w:footnoteReference w:id="12"/>
      </w:r>
      <w:r>
        <w:t>. Se incluyó una constante, la cual no se reporta.</w:t>
      </w:r>
    </w:p>
    <w:p w:rsidR="00955E52" w:rsidRPr="002C143B" w:rsidRDefault="00955E52" w:rsidP="00955E52">
      <w:pPr>
        <w:pStyle w:val="FUENTES"/>
      </w:pPr>
      <w:r w:rsidRPr="002C143B">
        <w:t xml:space="preserve">***, ** </w:t>
      </w:r>
      <w:proofErr w:type="gramStart"/>
      <w:r w:rsidRPr="002C143B">
        <w:t>y</w:t>
      </w:r>
      <w:proofErr w:type="gramEnd"/>
      <w:r w:rsidRPr="002C143B">
        <w:t xml:space="preserve"> * significa que el coeficiente es significativo al 1%, 5% y 10% respectivamente. </w:t>
      </w:r>
    </w:p>
    <w:p w:rsidR="00955E52" w:rsidRPr="002C143B" w:rsidRDefault="00955E52" w:rsidP="00955E52">
      <w:pPr>
        <w:pStyle w:val="FUENTES"/>
      </w:pPr>
      <w:r w:rsidRPr="002C143B">
        <w:t xml:space="preserve">Los valores entre paréntesis muestran la desviación estándar de los coeficientes. </w:t>
      </w:r>
    </w:p>
    <w:p w:rsidR="00A21698" w:rsidRPr="00955E52" w:rsidRDefault="00955E52" w:rsidP="00955E52">
      <w:pPr>
        <w:rPr>
          <w:rFonts w:ascii="Arial" w:eastAsia="Calibri" w:hAnsi="Arial"/>
          <w:sz w:val="16"/>
          <w:lang w:val="es-CL"/>
        </w:rPr>
      </w:pPr>
      <w:r w:rsidRPr="00955E52">
        <w:rPr>
          <w:rFonts w:ascii="Arial" w:eastAsia="Calibri" w:hAnsi="Arial"/>
          <w:sz w:val="16"/>
          <w:lang w:val="es-CL"/>
        </w:rPr>
        <w:t>Los errores son robustos a heteroscedasticidad.</w:t>
      </w:r>
    </w:p>
    <w:p w:rsidR="00E62498" w:rsidRDefault="00E62498" w:rsidP="00E62498"/>
    <w:p w:rsidR="001A135B" w:rsidRPr="001A135B" w:rsidRDefault="001A135B" w:rsidP="001A135B">
      <w:pPr>
        <w:ind w:firstLine="567"/>
        <w:rPr>
          <w:lang w:val="es-CL"/>
        </w:rPr>
      </w:pPr>
    </w:p>
    <w:p w:rsidR="00FB0302" w:rsidRPr="001A135B" w:rsidRDefault="00FB0302" w:rsidP="00E62498">
      <w:pPr>
        <w:rPr>
          <w:lang w:val="es-CL"/>
        </w:rPr>
      </w:pPr>
    </w:p>
    <w:p w:rsidR="00566EFB" w:rsidRDefault="00566EFB" w:rsidP="00566EFB">
      <w:pPr>
        <w:pStyle w:val="Heading6"/>
        <w:numPr>
          <w:ilvl w:val="0"/>
          <w:numId w:val="15"/>
        </w:numPr>
        <w:rPr>
          <w:sz w:val="24"/>
        </w:rPr>
      </w:pPr>
      <w:r w:rsidRPr="005D7890">
        <w:rPr>
          <w:sz w:val="24"/>
        </w:rPr>
        <w:t>Estimación de</w:t>
      </w:r>
      <w:r>
        <w:rPr>
          <w:sz w:val="24"/>
        </w:rPr>
        <w:t xml:space="preserve"> los efectos del cambio climático sobre el crecimiento económico</w:t>
      </w:r>
    </w:p>
    <w:p w:rsidR="009E5C5C" w:rsidRPr="00566EFB" w:rsidRDefault="009E5C5C" w:rsidP="009E5C5C">
      <w:pPr>
        <w:ind w:firstLine="567"/>
        <w:rPr>
          <w:lang w:val="es-CL"/>
        </w:rPr>
      </w:pPr>
    </w:p>
    <w:p w:rsidR="001A1F7A" w:rsidRDefault="001A1F7A" w:rsidP="001A1F7A">
      <w:pPr>
        <w:rPr>
          <w:lang w:val="es-CL"/>
        </w:rPr>
      </w:pPr>
    </w:p>
    <w:p w:rsidR="00FB0302" w:rsidRDefault="00961902" w:rsidP="00695AB2">
      <w:pPr>
        <w:ind w:firstLine="567"/>
        <w:rPr>
          <w:lang w:val="es-CL"/>
        </w:rPr>
      </w:pPr>
      <w:r>
        <w:rPr>
          <w:lang w:val="es-CL"/>
        </w:rPr>
        <w:t xml:space="preserve">Los efectos del cambio climático sobre el crecimiento se estiman a través de </w:t>
      </w:r>
      <w:r w:rsidR="00695AB2">
        <w:rPr>
          <w:lang w:val="es-CL"/>
        </w:rPr>
        <w:t xml:space="preserve">el cálculo </w:t>
      </w:r>
      <w:r w:rsidR="00D34A02">
        <w:rPr>
          <w:lang w:val="es-CL"/>
        </w:rPr>
        <w:t>de</w:t>
      </w:r>
      <w:r w:rsidR="00695AB2">
        <w:rPr>
          <w:lang w:val="es-CL"/>
        </w:rPr>
        <w:t xml:space="preserve"> una senda base o tendencial y</w:t>
      </w:r>
      <w:r w:rsidR="00D34A02">
        <w:rPr>
          <w:lang w:val="es-CL"/>
        </w:rPr>
        <w:t xml:space="preserve"> aplicando a dicha</w:t>
      </w:r>
      <w:r w:rsidR="00695AB2">
        <w:rPr>
          <w:lang w:val="es-CL"/>
        </w:rPr>
        <w:t xml:space="preserve"> senda</w:t>
      </w:r>
      <w:r w:rsidR="00D34A02">
        <w:rPr>
          <w:lang w:val="es-CL"/>
        </w:rPr>
        <w:t xml:space="preserve"> el impacto esperado del cambio climático (</w:t>
      </w:r>
      <w:r w:rsidR="00D34A02">
        <w:rPr>
          <w:lang w:val="es-CL"/>
        </w:rPr>
        <w:fldChar w:fldCharType="begin"/>
      </w:r>
      <w:r w:rsidR="00D34A02">
        <w:rPr>
          <w:lang w:val="es-CL"/>
        </w:rPr>
        <w:instrText xml:space="preserve"> REF _Ref377381471 \h </w:instrText>
      </w:r>
      <w:r w:rsidR="00D34A02">
        <w:rPr>
          <w:lang w:val="es-CL"/>
        </w:rPr>
      </w:r>
      <w:r w:rsidR="00D34A02">
        <w:rPr>
          <w:lang w:val="es-CL"/>
        </w:rPr>
        <w:fldChar w:fldCharType="separate"/>
      </w:r>
      <w:r w:rsidR="00D34A02" w:rsidRPr="00E47A79">
        <w:t xml:space="preserve">Gráfico </w:t>
      </w:r>
      <w:r w:rsidR="00D34A02">
        <w:rPr>
          <w:noProof/>
        </w:rPr>
        <w:t>3</w:t>
      </w:r>
      <w:r w:rsidR="00D34A02">
        <w:rPr>
          <w:lang w:val="es-CL"/>
        </w:rPr>
        <w:fldChar w:fldCharType="end"/>
      </w:r>
      <w:r w:rsidR="00D34A02">
        <w:rPr>
          <w:lang w:val="es-CL"/>
        </w:rPr>
        <w:t xml:space="preserve">). </w:t>
      </w: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0B3111">
      <w:pPr>
        <w:pStyle w:val="Caption"/>
        <w:spacing w:after="0"/>
        <w:jc w:val="center"/>
        <w:rPr>
          <w:color w:val="auto"/>
        </w:rPr>
      </w:pPr>
      <w:bookmarkStart w:id="6" w:name="_Ref377381471"/>
      <w:r w:rsidRPr="00E47A79">
        <w:rPr>
          <w:color w:val="auto"/>
        </w:rPr>
        <w:t xml:space="preserve">GRÁFICO </w:t>
      </w:r>
      <w:r w:rsidR="00EC455F" w:rsidRPr="00E47A79">
        <w:rPr>
          <w:color w:val="auto"/>
        </w:rPr>
        <w:fldChar w:fldCharType="begin"/>
      </w:r>
      <w:r w:rsidRPr="00E47A79">
        <w:rPr>
          <w:color w:val="auto"/>
        </w:rPr>
        <w:instrText xml:space="preserve"> SEQ GRÁFICO \* ARABIC </w:instrText>
      </w:r>
      <w:r w:rsidR="00EC455F" w:rsidRPr="00E47A79">
        <w:rPr>
          <w:color w:val="auto"/>
        </w:rPr>
        <w:fldChar w:fldCharType="separate"/>
      </w:r>
      <w:r>
        <w:rPr>
          <w:noProof/>
          <w:color w:val="auto"/>
        </w:rPr>
        <w:t>3</w:t>
      </w:r>
      <w:r w:rsidR="00EC455F" w:rsidRPr="00E47A79">
        <w:rPr>
          <w:color w:val="auto"/>
        </w:rPr>
        <w:fldChar w:fldCharType="end"/>
      </w:r>
      <w:bookmarkEnd w:id="6"/>
    </w:p>
    <w:p w:rsidR="00D34A02" w:rsidRPr="00D34A02" w:rsidRDefault="00D34A02" w:rsidP="00D34A02">
      <w:r>
        <w:t xml:space="preserve">PIB per cápita y escenarios </w:t>
      </w:r>
    </w:p>
    <w:p w:rsidR="000B3111" w:rsidRPr="00FB0302" w:rsidRDefault="000B3111" w:rsidP="00961902">
      <w:pPr>
        <w:ind w:left="567"/>
        <w:rPr>
          <w:lang w:val="es-CL"/>
        </w:rPr>
      </w:pPr>
      <w:r w:rsidRPr="000B3111">
        <w:rPr>
          <w:noProof/>
          <w:lang w:val="en-US"/>
        </w:rPr>
        <w:drawing>
          <wp:inline distT="0" distB="0" distL="0" distR="0">
            <wp:extent cx="4879238" cy="270662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0B3111" w:rsidRPr="00FB0302" w:rsidSect="001A1F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9CC" w:rsidRDefault="007969CC" w:rsidP="002D0873">
      <w:r>
        <w:separator/>
      </w:r>
    </w:p>
  </w:endnote>
  <w:endnote w:type="continuationSeparator" w:id="0">
    <w:p w:rsidR="007969CC" w:rsidRDefault="007969CC" w:rsidP="002D0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00000001" w:usb1="5000204A" w:usb2="00000000" w:usb3="00000000" w:csb0="00000005"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9CC" w:rsidRDefault="007969CC" w:rsidP="002D0873">
      <w:r>
        <w:separator/>
      </w:r>
    </w:p>
  </w:footnote>
  <w:footnote w:type="continuationSeparator" w:id="0">
    <w:p w:rsidR="007969CC" w:rsidRDefault="007969CC" w:rsidP="002D0873">
      <w:r>
        <w:continuationSeparator/>
      </w:r>
    </w:p>
  </w:footnote>
  <w:footnote w:id="1">
    <w:p w:rsidR="00D34A02" w:rsidRPr="001A1F7A" w:rsidRDefault="00D34A02">
      <w:pPr>
        <w:pStyle w:val="FootnoteText"/>
        <w:rPr>
          <w:lang w:val="es-ES"/>
        </w:rPr>
      </w:pPr>
      <w:r>
        <w:rPr>
          <w:rStyle w:val="FootnoteReference"/>
        </w:rPr>
        <w:footnoteRef/>
      </w:r>
      <w:r>
        <w:t xml:space="preserve"> </w:t>
      </w:r>
      <w:r w:rsidRPr="001A1F7A">
        <w:rPr>
          <w:lang w:val="es-ES"/>
        </w:rPr>
        <w:t>CO2, CH4, N2O, HFC, PFC y SF6.</w:t>
      </w:r>
    </w:p>
  </w:footnote>
  <w:footnote w:id="2">
    <w:p w:rsidR="00D34A02" w:rsidRPr="00A64B60" w:rsidRDefault="00D34A02" w:rsidP="009A6DBC">
      <w:pPr>
        <w:pStyle w:val="FootnoteText"/>
        <w:rPr>
          <w:lang w:val="es-ES"/>
        </w:rPr>
      </w:pPr>
      <w:r>
        <w:rPr>
          <w:rStyle w:val="FootnoteReference"/>
        </w:rPr>
        <w:footnoteRef/>
      </w:r>
      <w:r w:rsidRPr="00A64B60">
        <w:rPr>
          <w:lang w:val="es-ES"/>
        </w:rPr>
        <w:t xml:space="preserve"> Las estimaciones de los distintos impactos </w:t>
      </w:r>
      <w:r>
        <w:rPr>
          <w:lang w:val="es-ES"/>
        </w:rPr>
        <w:t>están realizados usando</w:t>
      </w:r>
      <w:r w:rsidRPr="00A64B60">
        <w:rPr>
          <w:lang w:val="es-ES"/>
        </w:rPr>
        <w:t xml:space="preserve"> diversas metodolog</w:t>
      </w:r>
      <w:r>
        <w:rPr>
          <w:lang w:val="es-ES"/>
        </w:rPr>
        <w:t xml:space="preserve">ías, no siempre comparables. No son exhaustivas y se limitan a ciertos impactos, no incluyen los impactos esperados en biodiversidad, cambio en el acervo de recursos naturales y otras valoraciones no monetarias. No se incorporan posibles efectos acumulativos sobre capital humano y físico. </w:t>
      </w:r>
    </w:p>
  </w:footnote>
  <w:footnote w:id="3">
    <w:p w:rsidR="00D34A02" w:rsidRDefault="00D34A02" w:rsidP="009E5C5C">
      <w:pPr>
        <w:pStyle w:val="FootnoteText"/>
      </w:pPr>
      <w:r>
        <w:rPr>
          <w:rStyle w:val="FootnoteReference"/>
        </w:rPr>
        <w:footnoteRef/>
      </w:r>
      <w:r>
        <w:t xml:space="preserve">  </w:t>
      </w:r>
      <w:r w:rsidRPr="00952A7D">
        <w:rPr>
          <w:i/>
        </w:rPr>
        <w:t>Estudio Económico de América Latina</w:t>
      </w:r>
      <w:r>
        <w:t>. Comisión Económica Para América Latina y el Caribe.</w:t>
      </w:r>
    </w:p>
  </w:footnote>
  <w:footnote w:id="4">
    <w:p w:rsidR="00D34A02" w:rsidRDefault="00D34A02" w:rsidP="009E5C5C">
      <w:pPr>
        <w:pStyle w:val="FootnoteText"/>
      </w:pPr>
      <w:r>
        <w:rPr>
          <w:rStyle w:val="FootnoteReference"/>
        </w:rPr>
        <w:footnoteRef/>
      </w:r>
      <w:r>
        <w:t xml:space="preserve"> </w:t>
      </w:r>
      <w:r w:rsidRPr="00952A7D">
        <w:rPr>
          <w:i/>
        </w:rPr>
        <w:t>Perspectivas económicas  de América Latina 2014</w:t>
      </w:r>
      <w:r>
        <w:t>. Comisión Económica Para América Latina y el Caribe (CEPAL)</w:t>
      </w:r>
    </w:p>
  </w:footnote>
  <w:footnote w:id="5">
    <w:p w:rsidR="00D34A02" w:rsidRDefault="00D34A02" w:rsidP="009E5C5C">
      <w:pPr>
        <w:pStyle w:val="FootnoteText"/>
      </w:pPr>
      <w:r>
        <w:rPr>
          <w:rStyle w:val="FootnoteReference"/>
        </w:rPr>
        <w:footnoteRef/>
      </w:r>
      <w:r>
        <w:t xml:space="preserve"> </w:t>
      </w:r>
      <w:proofErr w:type="spellStart"/>
      <w:r>
        <w:t>Ibid</w:t>
      </w:r>
      <w:proofErr w:type="spellEnd"/>
    </w:p>
  </w:footnote>
  <w:footnote w:id="6">
    <w:p w:rsidR="00D34A02" w:rsidRDefault="00D34A02" w:rsidP="009E5C5C">
      <w:pPr>
        <w:pStyle w:val="FootnoteText"/>
      </w:pPr>
      <w:r>
        <w:rPr>
          <w:rStyle w:val="FootnoteReference"/>
        </w:rPr>
        <w:footnoteRef/>
      </w:r>
      <w:r>
        <w:t xml:space="preserve"> </w:t>
      </w:r>
      <w:proofErr w:type="spellStart"/>
      <w:r>
        <w:t>Ibid</w:t>
      </w:r>
      <w:proofErr w:type="spellEnd"/>
    </w:p>
  </w:footnote>
  <w:footnote w:id="7">
    <w:p w:rsidR="00D34A02" w:rsidRDefault="00D34A02" w:rsidP="009E5C5C">
      <w:pPr>
        <w:pStyle w:val="FootnoteText"/>
      </w:pPr>
      <w:r>
        <w:rPr>
          <w:rStyle w:val="FootnoteReference"/>
        </w:rPr>
        <w:footnoteRef/>
      </w:r>
      <w:r>
        <w:t xml:space="preserve"> </w:t>
      </w:r>
      <w:r w:rsidRPr="00952A7D">
        <w:rPr>
          <w:i/>
        </w:rPr>
        <w:t>Panorama social 2013</w:t>
      </w:r>
      <w:r>
        <w:t>. Comisión Económica para América Latina y el Caribe</w:t>
      </w:r>
    </w:p>
  </w:footnote>
  <w:footnote w:id="8">
    <w:p w:rsidR="00D34A02" w:rsidRDefault="00D34A02" w:rsidP="009E5C5C">
      <w:pPr>
        <w:pStyle w:val="FootnoteText"/>
      </w:pPr>
      <w:r>
        <w:rPr>
          <w:rStyle w:val="FootnoteReference"/>
        </w:rPr>
        <w:footnoteRef/>
      </w:r>
      <w:r>
        <w:t xml:space="preserve">  </w:t>
      </w:r>
      <w:proofErr w:type="spellStart"/>
      <w:r>
        <w:t>Ibid.</w:t>
      </w:r>
      <w:proofErr w:type="spellEnd"/>
    </w:p>
  </w:footnote>
  <w:footnote w:id="9">
    <w:p w:rsidR="00D34A02" w:rsidRPr="00130BF0" w:rsidRDefault="00D34A02" w:rsidP="004108A4">
      <w:pPr>
        <w:pStyle w:val="FootnoteText"/>
      </w:pPr>
      <w:r w:rsidRPr="00087C35">
        <w:rPr>
          <w:rStyle w:val="FootnoteReference"/>
        </w:rPr>
        <w:footnoteRef/>
      </w:r>
      <w:r>
        <w:t xml:space="preserve"> La línea de indigencia se construye a partir de la canasta básica de alimentos que considera los bienes que se precisarían para cubrir las necesidades nutricionales de la población, tomando en cuenta sus hábitos de consumo, la disponibilidad efectiva de alimentos y sus precios, correspondientes a cada país y zona geográfica. La línea de pobreza agrega a la línea de indigencia el monto requerido por los hogares para satisfacer las necesidades básicas no alimentarias (CEPAL, 2013). Ambas líneas son ajustadas anualmente de acuerdo con la variación acumulada del índice de precios al consumidor.</w:t>
      </w:r>
    </w:p>
  </w:footnote>
  <w:footnote w:id="10">
    <w:p w:rsidR="00D34A02" w:rsidRPr="005D493E" w:rsidRDefault="00D34A02">
      <w:pPr>
        <w:pStyle w:val="FootnoteText"/>
        <w:rPr>
          <w:lang w:val="es-CO"/>
        </w:rPr>
      </w:pPr>
      <w:r>
        <w:rPr>
          <w:rStyle w:val="FootnoteReference"/>
        </w:rPr>
        <w:footnoteRef/>
      </w:r>
      <w:r>
        <w:t xml:space="preserve"> </w:t>
      </w:r>
      <w:hyperlink r:id="rId1" w:history="1">
        <w:r>
          <w:rPr>
            <w:rStyle w:val="Hyperlink"/>
          </w:rPr>
          <w:t>http://estadisticas.cepal.org/cepalstat/WEB_CEPALSTAT/Portada.asp</w:t>
        </w:r>
      </w:hyperlink>
    </w:p>
  </w:footnote>
  <w:footnote w:id="11">
    <w:p w:rsidR="00D34A02" w:rsidRPr="00982D59" w:rsidRDefault="00D34A02" w:rsidP="00681090">
      <w:pPr>
        <w:pStyle w:val="FootnoteText"/>
      </w:pPr>
      <w:r w:rsidRPr="00087C35">
        <w:rPr>
          <w:rStyle w:val="FootnoteReference"/>
        </w:rPr>
        <w:footnoteRef/>
      </w:r>
      <w:r>
        <w:t xml:space="preserve"> Bolivia (</w:t>
      </w:r>
      <w:proofErr w:type="spellStart"/>
      <w:r>
        <w:t>Est.</w:t>
      </w:r>
      <w:proofErr w:type="spellEnd"/>
      <w:r>
        <w:t xml:space="preserve"> </w:t>
      </w:r>
      <w:proofErr w:type="spellStart"/>
      <w:r>
        <w:t>Plur</w:t>
      </w:r>
      <w:proofErr w:type="spellEnd"/>
      <w:r>
        <w:t>.), Brasil, Chile, Colombia, Costa Rica, Ecuador, El Salvador, Guatemala, Honduras, México, Nicaragua, Panamá, Paraguay, Perú, República Dominicana, Uruguay y Venezuela (Rep. Bol.).</w:t>
      </w:r>
    </w:p>
  </w:footnote>
  <w:footnote w:id="12">
    <w:p w:rsidR="00D34A02" w:rsidRPr="00955E52" w:rsidRDefault="00D34A02" w:rsidP="00955E52">
      <w:pPr>
        <w:pStyle w:val="FootnoteText"/>
        <w:rPr>
          <w:lang w:val="es-ES"/>
        </w:rPr>
      </w:pPr>
      <w:r>
        <w:rPr>
          <w:rStyle w:val="FootnoteReference"/>
        </w:rPr>
        <w:footnoteRef/>
      </w:r>
      <w:r>
        <w:t xml:space="preserve"> Los resultados de las estimaciones a través de modelos de efectos fijos y aleatorios es virtualmente idéntica.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2B6E"/>
    <w:multiLevelType w:val="hybridMultilevel"/>
    <w:tmpl w:val="994C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D04F9"/>
    <w:multiLevelType w:val="hybridMultilevel"/>
    <w:tmpl w:val="CBFE4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95D4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3A730564"/>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4343DD"/>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415C33"/>
    <w:multiLevelType w:val="hybridMultilevel"/>
    <w:tmpl w:val="9428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1B22D2"/>
    <w:multiLevelType w:val="multilevel"/>
    <w:tmpl w:val="792AE60A"/>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A9B682F"/>
    <w:multiLevelType w:val="hybridMultilevel"/>
    <w:tmpl w:val="54E89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226D7E"/>
    <w:multiLevelType w:val="hybridMultilevel"/>
    <w:tmpl w:val="87DEF5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B953C8"/>
    <w:multiLevelType w:val="hybridMultilevel"/>
    <w:tmpl w:val="132E29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580C51"/>
    <w:multiLevelType w:val="hybridMultilevel"/>
    <w:tmpl w:val="CB46C998"/>
    <w:lvl w:ilvl="0" w:tplc="8EFE4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453003"/>
    <w:multiLevelType w:val="hybridMultilevel"/>
    <w:tmpl w:val="41E0B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4E23F3"/>
    <w:multiLevelType w:val="hybridMultilevel"/>
    <w:tmpl w:val="C1C2A78A"/>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707A4644"/>
    <w:multiLevelType w:val="hybridMultilevel"/>
    <w:tmpl w:val="5080D916"/>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74885F61"/>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71E1ACC"/>
    <w:multiLevelType w:val="hybridMultilevel"/>
    <w:tmpl w:val="E42AE5B2"/>
    <w:lvl w:ilvl="0" w:tplc="2E7CA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8"/>
  </w:num>
  <w:num w:numId="6">
    <w:abstractNumId w:val="2"/>
  </w:num>
  <w:num w:numId="7">
    <w:abstractNumId w:val="11"/>
  </w:num>
  <w:num w:numId="8">
    <w:abstractNumId w:val="15"/>
  </w:num>
  <w:num w:numId="9">
    <w:abstractNumId w:val="4"/>
  </w:num>
  <w:num w:numId="10">
    <w:abstractNumId w:val="0"/>
  </w:num>
  <w:num w:numId="11">
    <w:abstractNumId w:val="14"/>
  </w:num>
  <w:num w:numId="12">
    <w:abstractNumId w:val="9"/>
  </w:num>
  <w:num w:numId="13">
    <w:abstractNumId w:val="3"/>
  </w:num>
  <w:num w:numId="14">
    <w:abstractNumId w:val="10"/>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17044"/>
    <w:rsid w:val="00006C8F"/>
    <w:rsid w:val="00012FDA"/>
    <w:rsid w:val="0004426B"/>
    <w:rsid w:val="000512B9"/>
    <w:rsid w:val="0005219A"/>
    <w:rsid w:val="00067E8C"/>
    <w:rsid w:val="000729B7"/>
    <w:rsid w:val="00092B97"/>
    <w:rsid w:val="000A2362"/>
    <w:rsid w:val="000B3111"/>
    <w:rsid w:val="000E45C0"/>
    <w:rsid w:val="001012EF"/>
    <w:rsid w:val="00107E65"/>
    <w:rsid w:val="00134679"/>
    <w:rsid w:val="00160DF3"/>
    <w:rsid w:val="00181D30"/>
    <w:rsid w:val="001A135B"/>
    <w:rsid w:val="001A1F7A"/>
    <w:rsid w:val="001A42E8"/>
    <w:rsid w:val="001B7E97"/>
    <w:rsid w:val="001D06BB"/>
    <w:rsid w:val="001E1DE2"/>
    <w:rsid w:val="00214E56"/>
    <w:rsid w:val="00232CED"/>
    <w:rsid w:val="00237BD1"/>
    <w:rsid w:val="00242960"/>
    <w:rsid w:val="00247154"/>
    <w:rsid w:val="00292840"/>
    <w:rsid w:val="00293BC4"/>
    <w:rsid w:val="0029633C"/>
    <w:rsid w:val="002A70F3"/>
    <w:rsid w:val="002B2493"/>
    <w:rsid w:val="002B3B5D"/>
    <w:rsid w:val="002D0873"/>
    <w:rsid w:val="002D2C8F"/>
    <w:rsid w:val="002D7FA7"/>
    <w:rsid w:val="002E09D5"/>
    <w:rsid w:val="003151AD"/>
    <w:rsid w:val="00337E8B"/>
    <w:rsid w:val="003535E8"/>
    <w:rsid w:val="00362732"/>
    <w:rsid w:val="003868E7"/>
    <w:rsid w:val="00386FA2"/>
    <w:rsid w:val="00393B88"/>
    <w:rsid w:val="003B7A4E"/>
    <w:rsid w:val="003E4F57"/>
    <w:rsid w:val="003F623A"/>
    <w:rsid w:val="00401538"/>
    <w:rsid w:val="00405926"/>
    <w:rsid w:val="00407019"/>
    <w:rsid w:val="004108A4"/>
    <w:rsid w:val="00411287"/>
    <w:rsid w:val="004167A3"/>
    <w:rsid w:val="00424DA4"/>
    <w:rsid w:val="00426246"/>
    <w:rsid w:val="00426B2F"/>
    <w:rsid w:val="004357B9"/>
    <w:rsid w:val="004357F6"/>
    <w:rsid w:val="0043659D"/>
    <w:rsid w:val="004509E7"/>
    <w:rsid w:val="00451280"/>
    <w:rsid w:val="0045379A"/>
    <w:rsid w:val="00461038"/>
    <w:rsid w:val="0048140F"/>
    <w:rsid w:val="004B54E6"/>
    <w:rsid w:val="004C0CC0"/>
    <w:rsid w:val="004D084A"/>
    <w:rsid w:val="0051301C"/>
    <w:rsid w:val="00515CF0"/>
    <w:rsid w:val="00517044"/>
    <w:rsid w:val="00537C28"/>
    <w:rsid w:val="00560178"/>
    <w:rsid w:val="00566EFB"/>
    <w:rsid w:val="005715CA"/>
    <w:rsid w:val="005720EE"/>
    <w:rsid w:val="005844B1"/>
    <w:rsid w:val="005A0AC7"/>
    <w:rsid w:val="005A2C55"/>
    <w:rsid w:val="005D2F0C"/>
    <w:rsid w:val="005D493E"/>
    <w:rsid w:val="005D7890"/>
    <w:rsid w:val="005E2F79"/>
    <w:rsid w:val="005E61DE"/>
    <w:rsid w:val="005F7396"/>
    <w:rsid w:val="005F79C4"/>
    <w:rsid w:val="00605794"/>
    <w:rsid w:val="006433A1"/>
    <w:rsid w:val="00645290"/>
    <w:rsid w:val="00652C8E"/>
    <w:rsid w:val="00656BF5"/>
    <w:rsid w:val="00681090"/>
    <w:rsid w:val="00695AB2"/>
    <w:rsid w:val="006A0631"/>
    <w:rsid w:val="006A4AAC"/>
    <w:rsid w:val="006B5325"/>
    <w:rsid w:val="006E5184"/>
    <w:rsid w:val="006E65B6"/>
    <w:rsid w:val="006F482E"/>
    <w:rsid w:val="006F7D8E"/>
    <w:rsid w:val="006F7FD0"/>
    <w:rsid w:val="00737708"/>
    <w:rsid w:val="00753B17"/>
    <w:rsid w:val="00766D9B"/>
    <w:rsid w:val="0077685D"/>
    <w:rsid w:val="00786F11"/>
    <w:rsid w:val="00793E4B"/>
    <w:rsid w:val="007969CC"/>
    <w:rsid w:val="00800B60"/>
    <w:rsid w:val="008306DE"/>
    <w:rsid w:val="00836464"/>
    <w:rsid w:val="00836A8F"/>
    <w:rsid w:val="00837F5C"/>
    <w:rsid w:val="008437F2"/>
    <w:rsid w:val="008439D1"/>
    <w:rsid w:val="00864A65"/>
    <w:rsid w:val="00882118"/>
    <w:rsid w:val="008963F0"/>
    <w:rsid w:val="008A6EE9"/>
    <w:rsid w:val="008A7348"/>
    <w:rsid w:val="008B4B12"/>
    <w:rsid w:val="008D07CD"/>
    <w:rsid w:val="00904B09"/>
    <w:rsid w:val="00905C09"/>
    <w:rsid w:val="00916F50"/>
    <w:rsid w:val="00951F3C"/>
    <w:rsid w:val="00952B9E"/>
    <w:rsid w:val="00955E52"/>
    <w:rsid w:val="00955EC7"/>
    <w:rsid w:val="00961902"/>
    <w:rsid w:val="00981FE1"/>
    <w:rsid w:val="00982BB6"/>
    <w:rsid w:val="009A5B99"/>
    <w:rsid w:val="009A6DBC"/>
    <w:rsid w:val="009B1658"/>
    <w:rsid w:val="009C47C8"/>
    <w:rsid w:val="009D2D1D"/>
    <w:rsid w:val="009E4285"/>
    <w:rsid w:val="009E5C5C"/>
    <w:rsid w:val="009E6141"/>
    <w:rsid w:val="009F2992"/>
    <w:rsid w:val="00A21698"/>
    <w:rsid w:val="00A40C31"/>
    <w:rsid w:val="00A73EB0"/>
    <w:rsid w:val="00AA1644"/>
    <w:rsid w:val="00AD3BBC"/>
    <w:rsid w:val="00AF6A05"/>
    <w:rsid w:val="00B20F12"/>
    <w:rsid w:val="00B23197"/>
    <w:rsid w:val="00B6485A"/>
    <w:rsid w:val="00B72AB8"/>
    <w:rsid w:val="00B951D8"/>
    <w:rsid w:val="00BA3E99"/>
    <w:rsid w:val="00BB21DB"/>
    <w:rsid w:val="00BD0D08"/>
    <w:rsid w:val="00BE652B"/>
    <w:rsid w:val="00C000A5"/>
    <w:rsid w:val="00C040E1"/>
    <w:rsid w:val="00C1728F"/>
    <w:rsid w:val="00C5001F"/>
    <w:rsid w:val="00C56AA2"/>
    <w:rsid w:val="00CD6185"/>
    <w:rsid w:val="00CD7CFE"/>
    <w:rsid w:val="00CD7F1E"/>
    <w:rsid w:val="00CE67DC"/>
    <w:rsid w:val="00CE754D"/>
    <w:rsid w:val="00CF301F"/>
    <w:rsid w:val="00CF38B2"/>
    <w:rsid w:val="00D148CF"/>
    <w:rsid w:val="00D30736"/>
    <w:rsid w:val="00D34A02"/>
    <w:rsid w:val="00D40D3E"/>
    <w:rsid w:val="00D75F9D"/>
    <w:rsid w:val="00DA2CA8"/>
    <w:rsid w:val="00DB5DA1"/>
    <w:rsid w:val="00E230B7"/>
    <w:rsid w:val="00E264BA"/>
    <w:rsid w:val="00E4455B"/>
    <w:rsid w:val="00E46B64"/>
    <w:rsid w:val="00E47A79"/>
    <w:rsid w:val="00E52D47"/>
    <w:rsid w:val="00E62498"/>
    <w:rsid w:val="00E66826"/>
    <w:rsid w:val="00E702FA"/>
    <w:rsid w:val="00E70AF4"/>
    <w:rsid w:val="00E975F7"/>
    <w:rsid w:val="00EA16A2"/>
    <w:rsid w:val="00EC455F"/>
    <w:rsid w:val="00ED4592"/>
    <w:rsid w:val="00ED775A"/>
    <w:rsid w:val="00EF27F6"/>
    <w:rsid w:val="00EF757C"/>
    <w:rsid w:val="00EF7D47"/>
    <w:rsid w:val="00F25289"/>
    <w:rsid w:val="00F26B80"/>
    <w:rsid w:val="00F31A77"/>
    <w:rsid w:val="00F33CB4"/>
    <w:rsid w:val="00F51DAC"/>
    <w:rsid w:val="00F62A14"/>
    <w:rsid w:val="00F74D5A"/>
    <w:rsid w:val="00F83CD1"/>
    <w:rsid w:val="00F84172"/>
    <w:rsid w:val="00F94BF9"/>
    <w:rsid w:val="00FA2270"/>
    <w:rsid w:val="00FB0302"/>
    <w:rsid w:val="00FF5D05"/>
    <w:rsid w:val="00FF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BC"/>
    <w:pPr>
      <w:jc w:val="both"/>
    </w:pPr>
    <w:rPr>
      <w:sz w:val="21"/>
      <w:lang w:val="es-ES_tradnl"/>
    </w:rPr>
  </w:style>
  <w:style w:type="paragraph" w:styleId="Heading1">
    <w:name w:val="heading 1"/>
    <w:basedOn w:val="Normal"/>
    <w:next w:val="Normal"/>
    <w:link w:val="Heading1Char"/>
    <w:qFormat/>
    <w:rsid w:val="009A6DBC"/>
    <w:pPr>
      <w:keepNext/>
      <w:jc w:val="center"/>
      <w:outlineLvl w:val="0"/>
    </w:pPr>
    <w:rPr>
      <w:rFonts w:eastAsiaTheme="majorEastAsia" w:cstheme="majorBidi"/>
      <w:b/>
      <w:caps/>
    </w:rPr>
  </w:style>
  <w:style w:type="paragraph" w:styleId="Heading2">
    <w:name w:val="heading 2"/>
    <w:basedOn w:val="Normal"/>
    <w:next w:val="Normal"/>
    <w:link w:val="Heading2Char"/>
    <w:qFormat/>
    <w:rsid w:val="009A6DBC"/>
    <w:pPr>
      <w:keepNext/>
      <w:jc w:val="center"/>
      <w:outlineLvl w:val="1"/>
    </w:pPr>
    <w:rPr>
      <w:rFonts w:eastAsiaTheme="majorEastAsia" w:cstheme="majorBidi"/>
      <w:b/>
    </w:rPr>
  </w:style>
  <w:style w:type="paragraph" w:styleId="Heading3">
    <w:name w:val="heading 3"/>
    <w:basedOn w:val="Normal"/>
    <w:next w:val="Normal"/>
    <w:link w:val="Heading3Char"/>
    <w:qFormat/>
    <w:rsid w:val="009A6DBC"/>
    <w:pPr>
      <w:keepNext/>
      <w:spacing w:after="120"/>
      <w:outlineLvl w:val="2"/>
    </w:pPr>
    <w:rPr>
      <w:rFonts w:eastAsiaTheme="majorEastAsia" w:cstheme="majorBidi"/>
      <w:i/>
    </w:rPr>
  </w:style>
  <w:style w:type="paragraph" w:styleId="Heading4">
    <w:name w:val="heading 4"/>
    <w:basedOn w:val="Normal"/>
    <w:next w:val="Normal"/>
    <w:link w:val="Heading4Char"/>
    <w:qFormat/>
    <w:rsid w:val="009A6DBC"/>
    <w:pPr>
      <w:keepNext/>
      <w:jc w:val="center"/>
      <w:outlineLvl w:val="3"/>
    </w:pPr>
    <w:rPr>
      <w:rFonts w:cstheme="majorBidi"/>
      <w:b/>
      <w:color w:val="000000"/>
      <w:sz w:val="20"/>
    </w:rPr>
  </w:style>
  <w:style w:type="paragraph" w:styleId="Heading5">
    <w:name w:val="heading 5"/>
    <w:basedOn w:val="Normal"/>
    <w:next w:val="Normal"/>
    <w:link w:val="Heading5Char"/>
    <w:qFormat/>
    <w:rsid w:val="009A6DBC"/>
    <w:pPr>
      <w:keepNext/>
      <w:jc w:val="center"/>
      <w:outlineLvl w:val="4"/>
    </w:pPr>
    <w:rPr>
      <w:rFonts w:cstheme="majorBidi"/>
      <w:b/>
      <w:sz w:val="20"/>
    </w:rPr>
  </w:style>
  <w:style w:type="paragraph" w:styleId="Heading6">
    <w:name w:val="heading 6"/>
    <w:basedOn w:val="Normal"/>
    <w:next w:val="Normal"/>
    <w:link w:val="Heading6Char"/>
    <w:qFormat/>
    <w:rsid w:val="009A6DBC"/>
    <w:pPr>
      <w:tabs>
        <w:tab w:val="left" w:pos="567"/>
      </w:tabs>
      <w:spacing w:before="120"/>
      <w:ind w:left="567"/>
      <w:jc w:val="left"/>
      <w:outlineLvl w:val="5"/>
    </w:pPr>
    <w:rPr>
      <w:rFonts w:cstheme="majorBidi"/>
      <w:b/>
      <w:lang w:val="es-CL"/>
    </w:rPr>
  </w:style>
  <w:style w:type="paragraph" w:styleId="Heading7">
    <w:name w:val="heading 7"/>
    <w:basedOn w:val="Normal"/>
    <w:next w:val="Normal"/>
    <w:link w:val="Heading7Char"/>
    <w:qFormat/>
    <w:rsid w:val="009A6DBC"/>
    <w:pPr>
      <w:spacing w:before="120"/>
      <w:ind w:left="567"/>
      <w:jc w:val="left"/>
      <w:outlineLvl w:val="6"/>
    </w:pPr>
    <w:rPr>
      <w:rFonts w:cstheme="majorBidi"/>
      <w:i/>
    </w:rPr>
  </w:style>
  <w:style w:type="paragraph" w:styleId="Heading8">
    <w:name w:val="heading 8"/>
    <w:basedOn w:val="Normal"/>
    <w:next w:val="Normal"/>
    <w:link w:val="Heading8Char"/>
    <w:qFormat/>
    <w:rsid w:val="009A6DBC"/>
    <w:pPr>
      <w:keepNext/>
      <w:outlineLvl w:val="7"/>
    </w:pPr>
    <w:rPr>
      <w:rFonts w:cstheme="majorBidi"/>
      <w:i/>
      <w:color w:val="000000"/>
      <w:sz w:val="20"/>
    </w:rPr>
  </w:style>
  <w:style w:type="paragraph" w:styleId="Heading9">
    <w:name w:val="heading 9"/>
    <w:basedOn w:val="Normal"/>
    <w:next w:val="Normal"/>
    <w:link w:val="Heading9Char"/>
    <w:qFormat/>
    <w:rsid w:val="009A6DBC"/>
    <w:pPr>
      <w:keepNext/>
      <w:jc w:val="left"/>
      <w:outlineLvl w:val="8"/>
    </w:pPr>
    <w:rPr>
      <w:rFonts w:eastAsiaTheme="majorEastAsia" w:cstheme="majorBid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8E"/>
    <w:pPr>
      <w:ind w:left="720"/>
      <w:contextualSpacing/>
    </w:pPr>
  </w:style>
  <w:style w:type="character" w:customStyle="1" w:styleId="Heading1Char">
    <w:name w:val="Heading 1 Char"/>
    <w:basedOn w:val="DefaultParagraphFont"/>
    <w:link w:val="Heading1"/>
    <w:rsid w:val="00652C8E"/>
    <w:rPr>
      <w:rFonts w:eastAsiaTheme="majorEastAsia" w:cstheme="majorBidi"/>
      <w:b/>
      <w:caps/>
      <w:sz w:val="21"/>
      <w:lang w:val="es-ES_tradnl"/>
    </w:rPr>
  </w:style>
  <w:style w:type="character" w:customStyle="1" w:styleId="Heading2Char">
    <w:name w:val="Heading 2 Char"/>
    <w:basedOn w:val="DefaultParagraphFont"/>
    <w:link w:val="Heading2"/>
    <w:rsid w:val="00652C8E"/>
    <w:rPr>
      <w:rFonts w:eastAsiaTheme="majorEastAsia" w:cstheme="majorBidi"/>
      <w:b/>
      <w:sz w:val="21"/>
      <w:lang w:val="es-ES_tradnl"/>
    </w:rPr>
  </w:style>
  <w:style w:type="character" w:customStyle="1" w:styleId="Heading3Char">
    <w:name w:val="Heading 3 Char"/>
    <w:basedOn w:val="DefaultParagraphFont"/>
    <w:link w:val="Heading3"/>
    <w:rsid w:val="00652C8E"/>
    <w:rPr>
      <w:rFonts w:eastAsiaTheme="majorEastAsia" w:cstheme="majorBidi"/>
      <w:i/>
      <w:sz w:val="21"/>
      <w:lang w:val="es-ES_tradnl"/>
    </w:rPr>
  </w:style>
  <w:style w:type="character" w:customStyle="1" w:styleId="Heading4Char">
    <w:name w:val="Heading 4 Char"/>
    <w:basedOn w:val="DefaultParagraphFont"/>
    <w:link w:val="Heading4"/>
    <w:rsid w:val="00652C8E"/>
    <w:rPr>
      <w:rFonts w:cstheme="majorBidi"/>
      <w:b/>
      <w:color w:val="000000"/>
      <w:lang w:val="es-ES_tradnl"/>
    </w:rPr>
  </w:style>
  <w:style w:type="character" w:customStyle="1" w:styleId="Heading5Char">
    <w:name w:val="Heading 5 Char"/>
    <w:basedOn w:val="DefaultParagraphFont"/>
    <w:link w:val="Heading5"/>
    <w:rsid w:val="00652C8E"/>
    <w:rPr>
      <w:rFonts w:cstheme="majorBidi"/>
      <w:b/>
      <w:lang w:val="es-ES_tradnl"/>
    </w:rPr>
  </w:style>
  <w:style w:type="character" w:customStyle="1" w:styleId="Heading6Char">
    <w:name w:val="Heading 6 Char"/>
    <w:basedOn w:val="DefaultParagraphFont"/>
    <w:link w:val="Heading6"/>
    <w:rsid w:val="00652C8E"/>
    <w:rPr>
      <w:rFonts w:cstheme="majorBidi"/>
      <w:b/>
      <w:sz w:val="21"/>
      <w:lang w:val="es-CL"/>
    </w:rPr>
  </w:style>
  <w:style w:type="character" w:customStyle="1" w:styleId="Heading7Char">
    <w:name w:val="Heading 7 Char"/>
    <w:basedOn w:val="DefaultParagraphFont"/>
    <w:link w:val="Heading7"/>
    <w:rsid w:val="00652C8E"/>
    <w:rPr>
      <w:rFonts w:cstheme="majorBidi"/>
      <w:i/>
      <w:sz w:val="21"/>
      <w:lang w:val="es-ES_tradnl"/>
    </w:rPr>
  </w:style>
  <w:style w:type="character" w:customStyle="1" w:styleId="Heading8Char">
    <w:name w:val="Heading 8 Char"/>
    <w:basedOn w:val="DefaultParagraphFont"/>
    <w:link w:val="Heading8"/>
    <w:rsid w:val="00652C8E"/>
    <w:rPr>
      <w:rFonts w:cstheme="majorBidi"/>
      <w:i/>
      <w:color w:val="000000"/>
      <w:lang w:val="es-ES_tradnl"/>
    </w:rPr>
  </w:style>
  <w:style w:type="character" w:customStyle="1" w:styleId="Heading9Char">
    <w:name w:val="Heading 9 Char"/>
    <w:basedOn w:val="DefaultParagraphFont"/>
    <w:link w:val="Heading9"/>
    <w:rsid w:val="00652C8E"/>
    <w:rPr>
      <w:rFonts w:eastAsiaTheme="majorEastAsia" w:cstheme="majorBidi"/>
      <w:b/>
      <w:color w:val="000000"/>
      <w:lang w:val="es-ES_tradnl"/>
    </w:rPr>
  </w:style>
  <w:style w:type="paragraph" w:styleId="Title">
    <w:name w:val="Title"/>
    <w:basedOn w:val="Normal"/>
    <w:next w:val="Normal"/>
    <w:link w:val="TitleChar"/>
    <w:qFormat/>
    <w:rsid w:val="00652C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2C8E"/>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qFormat/>
    <w:rsid w:val="00652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52C8E"/>
    <w:rPr>
      <w:rFonts w:asciiTheme="majorHAnsi" w:eastAsiaTheme="majorEastAsia" w:hAnsiTheme="majorHAnsi" w:cstheme="majorBidi"/>
      <w:i/>
      <w:iCs/>
      <w:color w:val="4F81BD" w:themeColor="accent1"/>
      <w:spacing w:val="15"/>
      <w:sz w:val="24"/>
      <w:szCs w:val="24"/>
      <w:lang w:val="es-ES_tradnl"/>
    </w:rPr>
  </w:style>
  <w:style w:type="character" w:styleId="Strong">
    <w:name w:val="Strong"/>
    <w:basedOn w:val="DefaultParagraphFont"/>
    <w:qFormat/>
    <w:rsid w:val="00652C8E"/>
    <w:rPr>
      <w:b/>
      <w:bCs/>
    </w:rPr>
  </w:style>
  <w:style w:type="character" w:styleId="Emphasis">
    <w:name w:val="Emphasis"/>
    <w:basedOn w:val="DefaultParagraphFont"/>
    <w:qFormat/>
    <w:rsid w:val="00652C8E"/>
    <w:rPr>
      <w:i/>
      <w:iCs/>
    </w:rPr>
  </w:style>
  <w:style w:type="paragraph" w:styleId="NoSpacing">
    <w:name w:val="No Spacing"/>
    <w:basedOn w:val="Normal"/>
    <w:uiPriority w:val="1"/>
    <w:qFormat/>
    <w:rsid w:val="00652C8E"/>
  </w:style>
  <w:style w:type="paragraph" w:styleId="Quote">
    <w:name w:val="Quote"/>
    <w:basedOn w:val="Normal"/>
    <w:next w:val="Normal"/>
    <w:link w:val="QuoteChar"/>
    <w:uiPriority w:val="29"/>
    <w:qFormat/>
    <w:rsid w:val="00652C8E"/>
    <w:rPr>
      <w:i/>
      <w:iCs/>
      <w:color w:val="000000" w:themeColor="text1"/>
    </w:rPr>
  </w:style>
  <w:style w:type="character" w:customStyle="1" w:styleId="QuoteChar">
    <w:name w:val="Quote Char"/>
    <w:basedOn w:val="DefaultParagraphFont"/>
    <w:link w:val="Quote"/>
    <w:uiPriority w:val="29"/>
    <w:rsid w:val="00652C8E"/>
    <w:rPr>
      <w:i/>
      <w:iCs/>
      <w:color w:val="000000" w:themeColor="text1"/>
      <w:sz w:val="21"/>
      <w:lang w:val="es-ES_tradnl"/>
    </w:rPr>
  </w:style>
  <w:style w:type="paragraph" w:styleId="IntenseQuote">
    <w:name w:val="Intense Quote"/>
    <w:basedOn w:val="Normal"/>
    <w:next w:val="Normal"/>
    <w:link w:val="IntenseQuoteChar"/>
    <w:uiPriority w:val="30"/>
    <w:qFormat/>
    <w:rsid w:val="00652C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2C8E"/>
    <w:rPr>
      <w:b/>
      <w:bCs/>
      <w:i/>
      <w:iCs/>
      <w:color w:val="4F81BD" w:themeColor="accent1"/>
      <w:sz w:val="21"/>
      <w:lang w:val="es-ES_tradnl"/>
    </w:rPr>
  </w:style>
  <w:style w:type="character" w:styleId="SubtleEmphasis">
    <w:name w:val="Subtle Emphasis"/>
    <w:uiPriority w:val="19"/>
    <w:qFormat/>
    <w:rsid w:val="00652C8E"/>
    <w:rPr>
      <w:i/>
      <w:iCs/>
      <w:color w:val="808080" w:themeColor="text1" w:themeTint="7F"/>
    </w:rPr>
  </w:style>
  <w:style w:type="character" w:styleId="IntenseEmphasis">
    <w:name w:val="Intense Emphasis"/>
    <w:basedOn w:val="DefaultParagraphFont"/>
    <w:uiPriority w:val="21"/>
    <w:qFormat/>
    <w:rsid w:val="00652C8E"/>
    <w:rPr>
      <w:b/>
      <w:bCs/>
      <w:i/>
      <w:iCs/>
      <w:color w:val="4F81BD" w:themeColor="accent1"/>
    </w:rPr>
  </w:style>
  <w:style w:type="character" w:styleId="SubtleReference">
    <w:name w:val="Subtle Reference"/>
    <w:basedOn w:val="DefaultParagraphFont"/>
    <w:uiPriority w:val="31"/>
    <w:qFormat/>
    <w:rsid w:val="00652C8E"/>
    <w:rPr>
      <w:smallCaps/>
      <w:color w:val="C0504D" w:themeColor="accent2"/>
      <w:u w:val="single"/>
    </w:rPr>
  </w:style>
  <w:style w:type="character" w:styleId="IntenseReference">
    <w:name w:val="Intense Reference"/>
    <w:basedOn w:val="DefaultParagraphFont"/>
    <w:uiPriority w:val="32"/>
    <w:qFormat/>
    <w:rsid w:val="00652C8E"/>
    <w:rPr>
      <w:b/>
      <w:bCs/>
      <w:smallCaps/>
      <w:color w:val="C0504D" w:themeColor="accent2"/>
      <w:spacing w:val="5"/>
      <w:u w:val="single"/>
    </w:rPr>
  </w:style>
  <w:style w:type="character" w:styleId="BookTitle">
    <w:name w:val="Book Title"/>
    <w:basedOn w:val="DefaultParagraphFont"/>
    <w:uiPriority w:val="33"/>
    <w:qFormat/>
    <w:rsid w:val="00652C8E"/>
    <w:rPr>
      <w:b/>
      <w:bCs/>
      <w:smallCaps/>
      <w:spacing w:val="5"/>
    </w:rPr>
  </w:style>
  <w:style w:type="paragraph" w:styleId="TOCHeading">
    <w:name w:val="TOC Heading"/>
    <w:basedOn w:val="Heading1"/>
    <w:next w:val="Normal"/>
    <w:uiPriority w:val="39"/>
    <w:semiHidden/>
    <w:unhideWhenUsed/>
    <w:qFormat/>
    <w:rsid w:val="009A6DBC"/>
    <w:pPr>
      <w:keepLines/>
      <w:spacing w:before="480" w:line="276" w:lineRule="auto"/>
      <w:jc w:val="left"/>
      <w:outlineLvl w:val="9"/>
    </w:pPr>
    <w:rPr>
      <w:rFonts w:ascii="Cambria" w:hAnsi="Cambria" w:cs="Times New Roman"/>
      <w:bCs/>
      <w:caps w:val="0"/>
      <w:color w:val="365F91"/>
      <w:sz w:val="28"/>
      <w:szCs w:val="28"/>
      <w:lang w:val="en-US"/>
    </w:rPr>
  </w:style>
  <w:style w:type="table" w:styleId="TableGrid">
    <w:name w:val="Table Grid"/>
    <w:basedOn w:val="TableNormal"/>
    <w:uiPriority w:val="59"/>
    <w:rsid w:val="00436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59D"/>
    <w:rPr>
      <w:rFonts w:ascii="Tahoma" w:hAnsi="Tahoma" w:cs="Tahoma"/>
      <w:sz w:val="16"/>
      <w:szCs w:val="16"/>
    </w:rPr>
  </w:style>
  <w:style w:type="character" w:customStyle="1" w:styleId="BalloonTextChar">
    <w:name w:val="Balloon Text Char"/>
    <w:basedOn w:val="DefaultParagraphFont"/>
    <w:link w:val="BalloonText"/>
    <w:uiPriority w:val="99"/>
    <w:semiHidden/>
    <w:rsid w:val="0043659D"/>
    <w:rPr>
      <w:rFonts w:ascii="Tahoma" w:hAnsi="Tahoma" w:cs="Tahoma"/>
      <w:sz w:val="16"/>
      <w:szCs w:val="16"/>
    </w:rPr>
  </w:style>
  <w:style w:type="paragraph" w:customStyle="1" w:styleId="STituloJerarquia1">
    <w:name w:val="S Titulo Jerarquia 1"/>
    <w:qFormat/>
    <w:rsid w:val="009A6DBC"/>
    <w:pPr>
      <w:pBdr>
        <w:bottom w:val="single" w:sz="4" w:space="1" w:color="auto"/>
      </w:pBdr>
      <w:spacing w:before="4440" w:after="960"/>
      <w:ind w:left="567" w:hanging="567"/>
    </w:pPr>
    <w:rPr>
      <w:rFonts w:ascii="Arial" w:hAnsi="Arial" w:cs="Arial"/>
      <w:b/>
      <w:sz w:val="36"/>
      <w:szCs w:val="36"/>
      <w:lang w:val="es-ES_tradnl"/>
    </w:rPr>
  </w:style>
  <w:style w:type="paragraph" w:customStyle="1" w:styleId="STituloJerarquia7">
    <w:name w:val="S Titulo Jerarquia 7"/>
    <w:basedOn w:val="Heading7"/>
    <w:qFormat/>
    <w:rsid w:val="009A6DBC"/>
    <w:rPr>
      <w:rFonts w:cs="Times New Roman"/>
      <w:lang w:val="fr-FR"/>
    </w:rPr>
  </w:style>
  <w:style w:type="paragraph" w:customStyle="1" w:styleId="STituloJerarquia2SINnumeral">
    <w:name w:val="S Titulo Jerarquia 2 (SIN numeral)"/>
    <w:basedOn w:val="Normal"/>
    <w:qFormat/>
    <w:rsid w:val="009A6DBC"/>
    <w:pPr>
      <w:spacing w:before="240" w:after="240"/>
      <w:jc w:val="left"/>
    </w:pPr>
    <w:rPr>
      <w:rFonts w:ascii="Arial" w:hAnsi="Arial"/>
      <w:b/>
      <w:sz w:val="28"/>
      <w:lang w:val="pt-BR"/>
    </w:rPr>
  </w:style>
  <w:style w:type="paragraph" w:customStyle="1" w:styleId="SPortadillaTitulo">
    <w:name w:val="S Portadilla Titulo"/>
    <w:qFormat/>
    <w:rsid w:val="009A6DBC"/>
    <w:pPr>
      <w:spacing w:before="3280" w:after="200"/>
    </w:pPr>
    <w:rPr>
      <w:rFonts w:ascii="Helvetica LT Std" w:eastAsia="Calibri" w:hAnsi="Helvetica LT Std" w:cs="Helvetica LT Std"/>
      <w:b/>
      <w:bCs/>
      <w:noProof/>
      <w:color w:val="000000"/>
      <w:sz w:val="48"/>
      <w:szCs w:val="48"/>
    </w:rPr>
  </w:style>
  <w:style w:type="paragraph" w:customStyle="1" w:styleId="SPortadillaBajada">
    <w:name w:val="S Portadilla Bajada"/>
    <w:qFormat/>
    <w:rsid w:val="009A6DBC"/>
    <w:pPr>
      <w:spacing w:after="200"/>
    </w:pPr>
    <w:rPr>
      <w:rFonts w:ascii="Helvetica LT Std" w:eastAsia="Calibri" w:hAnsi="Helvetica LT Std" w:cs="Helvetica LT Std"/>
      <w:color w:val="000000"/>
      <w:sz w:val="36"/>
      <w:szCs w:val="36"/>
    </w:rPr>
  </w:style>
  <w:style w:type="paragraph" w:customStyle="1" w:styleId="SPortadillaAutor">
    <w:name w:val="S Portadilla Autor"/>
    <w:qFormat/>
    <w:rsid w:val="009A6DBC"/>
    <w:pPr>
      <w:spacing w:before="760" w:after="200" w:line="276" w:lineRule="auto"/>
    </w:pPr>
    <w:rPr>
      <w:rFonts w:ascii="Helvetica LT Std" w:eastAsia="Calibri" w:hAnsi="Helvetica LT Std" w:cs="Helvetica LT Std"/>
      <w:color w:val="000000"/>
      <w:sz w:val="24"/>
      <w:szCs w:val="24"/>
    </w:rPr>
  </w:style>
  <w:style w:type="paragraph" w:customStyle="1" w:styleId="SNotaalpiedepagina">
    <w:name w:val="S Nota al pie de pagina"/>
    <w:basedOn w:val="Normal"/>
    <w:qFormat/>
    <w:rsid w:val="009A6DBC"/>
    <w:pPr>
      <w:ind w:left="284" w:hanging="284"/>
    </w:pPr>
    <w:rPr>
      <w:sz w:val="16"/>
    </w:rPr>
  </w:style>
  <w:style w:type="paragraph" w:styleId="FootnoteText">
    <w:name w:val="footnote text"/>
    <w:aliases w:val=" Car,fn Car Car,fn Car,fn,Footnote Text Char1,Footnote Text Char Char,Car1,Car,Geneva 9,Font: Geneva 9,Boston 10,f,Footnote Text Char2 Char,Footnote Text Char1 Char1 Char,Footnote Text Char Char Char1 Char"/>
    <w:basedOn w:val="Normal"/>
    <w:link w:val="FootnoteTextChar"/>
    <w:unhideWhenUsed/>
    <w:rsid w:val="002D0873"/>
    <w:rPr>
      <w:sz w:val="20"/>
    </w:rPr>
  </w:style>
  <w:style w:type="character" w:customStyle="1" w:styleId="FootnoteTextChar">
    <w:name w:val="Footnote Text Char"/>
    <w:aliases w:val=" Car Char,fn Car Car Char,fn Car Char,fn Char,Footnote Text Char1 Char,Footnote Text Char Char Char,Car1 Char,Car Char,Geneva 9 Char,Font: Geneva 9 Char,Boston 10 Char,f Char,Footnote Text Char2 Char Char"/>
    <w:basedOn w:val="DefaultParagraphFont"/>
    <w:link w:val="FootnoteText"/>
    <w:uiPriority w:val="99"/>
    <w:semiHidden/>
    <w:rsid w:val="002D0873"/>
    <w:rPr>
      <w:lang w:val="es-ES_tradnl"/>
    </w:rPr>
  </w:style>
  <w:style w:type="character" w:styleId="FootnoteReference">
    <w:name w:val="footnote reference"/>
    <w:aliases w:val="Ref,de nota al pie,(Ref. de nota al pie),16 Point,Superscript 6 Point"/>
    <w:basedOn w:val="DefaultParagraphFont"/>
    <w:unhideWhenUsed/>
    <w:rsid w:val="002D0873"/>
    <w:rPr>
      <w:vertAlign w:val="superscript"/>
    </w:rPr>
  </w:style>
  <w:style w:type="table" w:customStyle="1" w:styleId="LightShading1">
    <w:name w:val="Light Shading1"/>
    <w:basedOn w:val="TableNormal"/>
    <w:uiPriority w:val="60"/>
    <w:rsid w:val="00F51D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nhideWhenUsed/>
    <w:qFormat/>
    <w:rsid w:val="0004426B"/>
    <w:pPr>
      <w:spacing w:after="200"/>
    </w:pPr>
    <w:rPr>
      <w:b/>
      <w:bCs/>
      <w:color w:val="4F81BD" w:themeColor="accent1"/>
      <w:sz w:val="18"/>
      <w:szCs w:val="18"/>
    </w:rPr>
  </w:style>
  <w:style w:type="character" w:styleId="PlaceholderText">
    <w:name w:val="Placeholder Text"/>
    <w:basedOn w:val="DefaultParagraphFont"/>
    <w:uiPriority w:val="99"/>
    <w:semiHidden/>
    <w:rsid w:val="00882118"/>
    <w:rPr>
      <w:color w:val="808080"/>
    </w:rPr>
  </w:style>
  <w:style w:type="paragraph" w:styleId="TableofFigures">
    <w:name w:val="table of figures"/>
    <w:basedOn w:val="Normal"/>
    <w:next w:val="Normal"/>
    <w:uiPriority w:val="99"/>
    <w:unhideWhenUsed/>
    <w:rsid w:val="00F74D5A"/>
  </w:style>
  <w:style w:type="character" w:styleId="Hyperlink">
    <w:name w:val="Hyperlink"/>
    <w:basedOn w:val="DefaultParagraphFont"/>
    <w:uiPriority w:val="99"/>
    <w:unhideWhenUsed/>
    <w:rsid w:val="00F74D5A"/>
    <w:rPr>
      <w:color w:val="0000FF" w:themeColor="hyperlink"/>
      <w:u w:val="single"/>
    </w:rPr>
  </w:style>
  <w:style w:type="paragraph" w:styleId="Index1">
    <w:name w:val="index 1"/>
    <w:basedOn w:val="Normal"/>
    <w:next w:val="Normal"/>
    <w:autoRedefine/>
    <w:uiPriority w:val="99"/>
    <w:semiHidden/>
    <w:unhideWhenUsed/>
    <w:rsid w:val="00F74D5A"/>
    <w:pPr>
      <w:ind w:left="210" w:hanging="210"/>
    </w:pPr>
  </w:style>
  <w:style w:type="paragraph" w:customStyle="1" w:styleId="CUADROS">
    <w:name w:val="CUADROS"/>
    <w:next w:val="Normal"/>
    <w:rsid w:val="00955E52"/>
    <w:pPr>
      <w:jc w:val="center"/>
    </w:pPr>
    <w:rPr>
      <w:rFonts w:ascii="Arial" w:hAnsi="Arial"/>
      <w:b/>
      <w:caps/>
      <w:sz w:val="18"/>
      <w:lang w:val="es-ES_tradnl"/>
    </w:rPr>
  </w:style>
  <w:style w:type="table" w:customStyle="1" w:styleId="LightShading2">
    <w:name w:val="Light Shading2"/>
    <w:basedOn w:val="TableNormal"/>
    <w:uiPriority w:val="60"/>
    <w:locked/>
    <w:rsid w:val="00955E52"/>
    <w:rPr>
      <w:rFonts w:ascii="Calibri" w:hAnsi="Calibri"/>
      <w:color w:val="000000"/>
      <w:sz w:val="22"/>
      <w:szCs w:val="22"/>
      <w:lang w:val="es-MX" w:eastAsia="es-MX"/>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UENTES">
    <w:name w:val="FUENTES"/>
    <w:basedOn w:val="Normal"/>
    <w:link w:val="FUENTESCar"/>
    <w:rsid w:val="00955E52"/>
    <w:pPr>
      <w:contextualSpacing/>
    </w:pPr>
    <w:rPr>
      <w:rFonts w:ascii="Arial" w:eastAsia="Calibri" w:hAnsi="Arial"/>
      <w:sz w:val="16"/>
      <w:lang w:val="es-CL"/>
    </w:rPr>
  </w:style>
  <w:style w:type="character" w:customStyle="1" w:styleId="FUENTESCar">
    <w:name w:val="FUENTES Car"/>
    <w:basedOn w:val="DefaultParagraphFont"/>
    <w:link w:val="FUENTES"/>
    <w:rsid w:val="00955E52"/>
    <w:rPr>
      <w:rFonts w:ascii="Arial" w:eastAsia="Calibri" w:hAnsi="Arial"/>
      <w:sz w:val="16"/>
      <w:lang w:val="es-CL"/>
    </w:rPr>
  </w:style>
</w:styles>
</file>

<file path=word/webSettings.xml><?xml version="1.0" encoding="utf-8"?>
<w:webSettings xmlns:r="http://schemas.openxmlformats.org/officeDocument/2006/relationships" xmlns:w="http://schemas.openxmlformats.org/wordprocessingml/2006/main">
  <w:divs>
    <w:div w:id="1011877582">
      <w:bodyDiv w:val="1"/>
      <w:marLeft w:val="0"/>
      <w:marRight w:val="0"/>
      <w:marTop w:val="0"/>
      <w:marBottom w:val="0"/>
      <w:divBdr>
        <w:top w:val="none" w:sz="0" w:space="0" w:color="auto"/>
        <w:left w:val="none" w:sz="0" w:space="0" w:color="auto"/>
        <w:bottom w:val="none" w:sz="0" w:space="0" w:color="auto"/>
        <w:right w:val="none" w:sz="0" w:space="0" w:color="auto"/>
      </w:divBdr>
      <w:divsChild>
        <w:div w:id="323246218">
          <w:marLeft w:val="0"/>
          <w:marRight w:val="0"/>
          <w:marTop w:val="0"/>
          <w:marBottom w:val="0"/>
          <w:divBdr>
            <w:top w:val="none" w:sz="0" w:space="0" w:color="auto"/>
            <w:left w:val="none" w:sz="0" w:space="0" w:color="auto"/>
            <w:bottom w:val="none" w:sz="0" w:space="0" w:color="auto"/>
            <w:right w:val="none" w:sz="0" w:space="0" w:color="auto"/>
          </w:divBdr>
          <w:divsChild>
            <w:div w:id="1946376230">
              <w:marLeft w:val="0"/>
              <w:marRight w:val="0"/>
              <w:marTop w:val="0"/>
              <w:marBottom w:val="240"/>
              <w:divBdr>
                <w:top w:val="none" w:sz="0" w:space="0" w:color="auto"/>
                <w:left w:val="none" w:sz="0" w:space="0" w:color="auto"/>
                <w:bottom w:val="none" w:sz="0" w:space="0" w:color="auto"/>
                <w:right w:val="none" w:sz="0" w:space="0" w:color="auto"/>
              </w:divBdr>
            </w:div>
            <w:div w:id="1356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5346">
      <w:bodyDiv w:val="1"/>
      <w:marLeft w:val="0"/>
      <w:marRight w:val="0"/>
      <w:marTop w:val="0"/>
      <w:marBottom w:val="0"/>
      <w:divBdr>
        <w:top w:val="none" w:sz="0" w:space="0" w:color="auto"/>
        <w:left w:val="none" w:sz="0" w:space="0" w:color="auto"/>
        <w:bottom w:val="none" w:sz="0" w:space="0" w:color="auto"/>
        <w:right w:val="none" w:sz="0" w:space="0" w:color="auto"/>
      </w:divBdr>
      <w:divsChild>
        <w:div w:id="528107804">
          <w:marLeft w:val="0"/>
          <w:marRight w:val="0"/>
          <w:marTop w:val="0"/>
          <w:marBottom w:val="0"/>
          <w:divBdr>
            <w:top w:val="none" w:sz="0" w:space="0" w:color="auto"/>
            <w:left w:val="none" w:sz="0" w:space="0" w:color="auto"/>
            <w:bottom w:val="none" w:sz="0" w:space="0" w:color="auto"/>
            <w:right w:val="none" w:sz="0" w:space="0" w:color="auto"/>
          </w:divBdr>
          <w:divsChild>
            <w:div w:id="4642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860">
      <w:bodyDiv w:val="1"/>
      <w:marLeft w:val="0"/>
      <w:marRight w:val="0"/>
      <w:marTop w:val="0"/>
      <w:marBottom w:val="0"/>
      <w:divBdr>
        <w:top w:val="none" w:sz="0" w:space="0" w:color="auto"/>
        <w:left w:val="none" w:sz="0" w:space="0" w:color="auto"/>
        <w:bottom w:val="none" w:sz="0" w:space="0" w:color="auto"/>
        <w:right w:val="none" w:sz="0" w:space="0" w:color="auto"/>
      </w:divBdr>
      <w:divsChild>
        <w:div w:id="1810631062">
          <w:marLeft w:val="0"/>
          <w:marRight w:val="0"/>
          <w:marTop w:val="0"/>
          <w:marBottom w:val="0"/>
          <w:divBdr>
            <w:top w:val="none" w:sz="0" w:space="0" w:color="auto"/>
            <w:left w:val="none" w:sz="0" w:space="0" w:color="auto"/>
            <w:bottom w:val="none" w:sz="0" w:space="0" w:color="auto"/>
            <w:right w:val="none" w:sz="0" w:space="0" w:color="auto"/>
          </w:divBdr>
          <w:divsChild>
            <w:div w:id="6381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371">
      <w:bodyDiv w:val="1"/>
      <w:marLeft w:val="0"/>
      <w:marRight w:val="0"/>
      <w:marTop w:val="0"/>
      <w:marBottom w:val="0"/>
      <w:divBdr>
        <w:top w:val="none" w:sz="0" w:space="0" w:color="auto"/>
        <w:left w:val="none" w:sz="0" w:space="0" w:color="auto"/>
        <w:bottom w:val="none" w:sz="0" w:space="0" w:color="auto"/>
        <w:right w:val="none" w:sz="0" w:space="0" w:color="auto"/>
      </w:divBdr>
    </w:div>
    <w:div w:id="1855265150">
      <w:bodyDiv w:val="1"/>
      <w:marLeft w:val="0"/>
      <w:marRight w:val="0"/>
      <w:marTop w:val="0"/>
      <w:marBottom w:val="0"/>
      <w:divBdr>
        <w:top w:val="none" w:sz="0" w:space="0" w:color="auto"/>
        <w:left w:val="none" w:sz="0" w:space="0" w:color="auto"/>
        <w:bottom w:val="none" w:sz="0" w:space="0" w:color="auto"/>
        <w:right w:val="none" w:sz="0" w:space="0" w:color="auto"/>
      </w:divBdr>
      <w:divsChild>
        <w:div w:id="489444284">
          <w:marLeft w:val="0"/>
          <w:marRight w:val="0"/>
          <w:marTop w:val="0"/>
          <w:marBottom w:val="0"/>
          <w:divBdr>
            <w:top w:val="none" w:sz="0" w:space="0" w:color="auto"/>
            <w:left w:val="none" w:sz="0" w:space="0" w:color="auto"/>
            <w:bottom w:val="none" w:sz="0" w:space="0" w:color="auto"/>
            <w:right w:val="none" w:sz="0" w:space="0" w:color="auto"/>
          </w:divBdr>
          <w:divsChild>
            <w:div w:id="21407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1" Type="http://schemas.openxmlformats.org/officeDocument/2006/relationships/hyperlink" Target="http://estadisticas.cepal.org/cepalstat/WEB_CEPALSTAT/Portada.as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latorre1\Documents\AProyectosR\emisiones\graphs\Emisiones_globa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latorre1\Documents\AProyectosR\CrecCC\graphs\Graph_Met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areaChart>
        <c:grouping val="standard"/>
        <c:ser>
          <c:idx val="0"/>
          <c:order val="0"/>
          <c:tx>
            <c:strRef>
              <c:f>'Global Carbon Budget'!$B$20</c:f>
              <c:strCache>
                <c:ptCount val="1"/>
                <c:pt idx="0">
                  <c:v>Combustibles fósiles y producción de cemento</c:v>
                </c:pt>
              </c:strCache>
            </c:strRef>
          </c:tx>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Budget'!$B$21:$B$74</c:f>
              <c:numCache>
                <c:formatCode>0.00</c:formatCode>
                <c:ptCount val="54"/>
                <c:pt idx="0">
                  <c:v>2.4539999999999997</c:v>
                </c:pt>
                <c:pt idx="1">
                  <c:v>2.569</c:v>
                </c:pt>
                <c:pt idx="2">
                  <c:v>2.58</c:v>
                </c:pt>
                <c:pt idx="3">
                  <c:v>2.6859999999999999</c:v>
                </c:pt>
                <c:pt idx="4">
                  <c:v>2.8329999999999926</c:v>
                </c:pt>
                <c:pt idx="5">
                  <c:v>2.9949999999999997</c:v>
                </c:pt>
                <c:pt idx="6">
                  <c:v>3.13</c:v>
                </c:pt>
                <c:pt idx="7">
                  <c:v>3.2880000000000011</c:v>
                </c:pt>
                <c:pt idx="8">
                  <c:v>3.3929999999999967</c:v>
                </c:pt>
                <c:pt idx="9">
                  <c:v>3.5659999999999998</c:v>
                </c:pt>
                <c:pt idx="10">
                  <c:v>3.7800000000000002</c:v>
                </c:pt>
                <c:pt idx="11">
                  <c:v>4.0529999999999955</c:v>
                </c:pt>
                <c:pt idx="12">
                  <c:v>4.2080000000000002</c:v>
                </c:pt>
                <c:pt idx="13">
                  <c:v>4.3760000000000003</c:v>
                </c:pt>
                <c:pt idx="14">
                  <c:v>4.6139999999999946</c:v>
                </c:pt>
                <c:pt idx="15">
                  <c:v>4.6229999999999816</c:v>
                </c:pt>
                <c:pt idx="16">
                  <c:v>4.5960000000000001</c:v>
                </c:pt>
                <c:pt idx="17">
                  <c:v>4.8639999999999946</c:v>
                </c:pt>
                <c:pt idx="18">
                  <c:v>5.0259999999999945</c:v>
                </c:pt>
                <c:pt idx="19">
                  <c:v>5.0869999999999997</c:v>
                </c:pt>
                <c:pt idx="20">
                  <c:v>5.3689999999999856</c:v>
                </c:pt>
                <c:pt idx="21">
                  <c:v>5.3149999999999844</c:v>
                </c:pt>
                <c:pt idx="22">
                  <c:v>5.1519999999999975</c:v>
                </c:pt>
                <c:pt idx="23">
                  <c:v>5.1129999999999844</c:v>
                </c:pt>
                <c:pt idx="24">
                  <c:v>5.0939999999999985</c:v>
                </c:pt>
                <c:pt idx="25">
                  <c:v>5.28</c:v>
                </c:pt>
                <c:pt idx="26">
                  <c:v>5.4390000000000134</c:v>
                </c:pt>
                <c:pt idx="27">
                  <c:v>5.6069999999999975</c:v>
                </c:pt>
                <c:pt idx="28">
                  <c:v>5.7519999999999998</c:v>
                </c:pt>
                <c:pt idx="29">
                  <c:v>5.9649999999999945</c:v>
                </c:pt>
                <c:pt idx="30">
                  <c:v>6.0969999999999995</c:v>
                </c:pt>
                <c:pt idx="31">
                  <c:v>6.1269999999999945</c:v>
                </c:pt>
                <c:pt idx="32">
                  <c:v>6.2169999999999996</c:v>
                </c:pt>
                <c:pt idx="33">
                  <c:v>6.1639999999999855</c:v>
                </c:pt>
                <c:pt idx="34">
                  <c:v>6.1619999999999955</c:v>
                </c:pt>
                <c:pt idx="35">
                  <c:v>6.266</c:v>
                </c:pt>
                <c:pt idx="36">
                  <c:v>6.3979999999999855</c:v>
                </c:pt>
                <c:pt idx="37">
                  <c:v>6.5419999999999998</c:v>
                </c:pt>
                <c:pt idx="38">
                  <c:v>6.6509999999999945</c:v>
                </c:pt>
                <c:pt idx="39">
                  <c:v>6.6429999999999945</c:v>
                </c:pt>
                <c:pt idx="40">
                  <c:v>6.6099999999999985</c:v>
                </c:pt>
                <c:pt idx="41">
                  <c:v>6.7649999999999855</c:v>
                </c:pt>
                <c:pt idx="42">
                  <c:v>6.9269999999999996</c:v>
                </c:pt>
                <c:pt idx="43">
                  <c:v>6.9960000000000004</c:v>
                </c:pt>
                <c:pt idx="44">
                  <c:v>7.4160000000000004</c:v>
                </c:pt>
                <c:pt idx="45">
                  <c:v>7.8069999999999995</c:v>
                </c:pt>
                <c:pt idx="46">
                  <c:v>8.093</c:v>
                </c:pt>
                <c:pt idx="47">
                  <c:v>8.3700000000000028</c:v>
                </c:pt>
                <c:pt idx="48">
                  <c:v>8.5660000000000007</c:v>
                </c:pt>
                <c:pt idx="49">
                  <c:v>8.7830000000000013</c:v>
                </c:pt>
                <c:pt idx="50">
                  <c:v>8.7399999999999984</c:v>
                </c:pt>
                <c:pt idx="51">
                  <c:v>9.1670000000000016</c:v>
                </c:pt>
                <c:pt idx="52">
                  <c:v>9.4599367798203282</c:v>
                </c:pt>
                <c:pt idx="53">
                  <c:v>9.6665013769655701</c:v>
                </c:pt>
              </c:numCache>
            </c:numRef>
          </c:val>
        </c:ser>
        <c:ser>
          <c:idx val="1"/>
          <c:order val="1"/>
          <c:tx>
            <c:strRef>
              <c:f>'Global Carbon Budget'!$C$20</c:f>
              <c:strCache>
                <c:ptCount val="1"/>
                <c:pt idx="0">
                  <c:v>Cambio de uso de suelo</c:v>
                </c:pt>
              </c:strCache>
            </c:strRef>
          </c:tx>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Budget'!$C$21:$C$74</c:f>
              <c:numCache>
                <c:formatCode>0.00</c:formatCode>
                <c:ptCount val="54"/>
                <c:pt idx="0">
                  <c:v>1.5554861999999998</c:v>
                </c:pt>
                <c:pt idx="1">
                  <c:v>1.5714089999999998</c:v>
                </c:pt>
                <c:pt idx="2">
                  <c:v>1.5458392999999921</c:v>
                </c:pt>
                <c:pt idx="3">
                  <c:v>1.5183652999999957</c:v>
                </c:pt>
                <c:pt idx="4">
                  <c:v>1.5124328</c:v>
                </c:pt>
                <c:pt idx="5">
                  <c:v>1.5325419</c:v>
                </c:pt>
                <c:pt idx="6">
                  <c:v>1.5491168</c:v>
                </c:pt>
                <c:pt idx="7">
                  <c:v>1.5629637999999961</c:v>
                </c:pt>
                <c:pt idx="8">
                  <c:v>1.5690818999999998</c:v>
                </c:pt>
                <c:pt idx="9">
                  <c:v>1.5438875999999999</c:v>
                </c:pt>
                <c:pt idx="10">
                  <c:v>1.5575277999999961</c:v>
                </c:pt>
                <c:pt idx="11">
                  <c:v>1.5358549000000004</c:v>
                </c:pt>
                <c:pt idx="12">
                  <c:v>1.4928564</c:v>
                </c:pt>
                <c:pt idx="13">
                  <c:v>1.4340851999999999</c:v>
                </c:pt>
                <c:pt idx="14">
                  <c:v>1.3168478000000001</c:v>
                </c:pt>
                <c:pt idx="15">
                  <c:v>1.2908420999999999</c:v>
                </c:pt>
                <c:pt idx="16">
                  <c:v>1.2663437</c:v>
                </c:pt>
                <c:pt idx="17">
                  <c:v>1.2436633999999935</c:v>
                </c:pt>
                <c:pt idx="18">
                  <c:v>1.2249409</c:v>
                </c:pt>
                <c:pt idx="19">
                  <c:v>1.2484533999999998</c:v>
                </c:pt>
                <c:pt idx="20">
                  <c:v>1.2218297999999919</c:v>
                </c:pt>
                <c:pt idx="21">
                  <c:v>1.2104925999999998</c:v>
                </c:pt>
                <c:pt idx="22">
                  <c:v>1.2007762999999947</c:v>
                </c:pt>
                <c:pt idx="23">
                  <c:v>1.1464152999999999</c:v>
                </c:pt>
                <c:pt idx="24">
                  <c:v>1.1007661</c:v>
                </c:pt>
                <c:pt idx="25">
                  <c:v>1.1681277999999999</c:v>
                </c:pt>
                <c:pt idx="26">
                  <c:v>1.2432659999999998</c:v>
                </c:pt>
                <c:pt idx="27">
                  <c:v>1.2323342999999936</c:v>
                </c:pt>
                <c:pt idx="28">
                  <c:v>1.2186669999999962</c:v>
                </c:pt>
                <c:pt idx="29">
                  <c:v>1.1703203</c:v>
                </c:pt>
                <c:pt idx="30">
                  <c:v>1.1835283999999959</c:v>
                </c:pt>
                <c:pt idx="31">
                  <c:v>1.2113980999999943</c:v>
                </c:pt>
                <c:pt idx="32">
                  <c:v>1.2916087999999959</c:v>
                </c:pt>
                <c:pt idx="33">
                  <c:v>1.3849871000000047</c:v>
                </c:pt>
                <c:pt idx="34">
                  <c:v>1.3203021000000001</c:v>
                </c:pt>
                <c:pt idx="35">
                  <c:v>1.3647738999999999</c:v>
                </c:pt>
                <c:pt idx="36">
                  <c:v>1.387893299999994</c:v>
                </c:pt>
                <c:pt idx="37">
                  <c:v>1.3761067</c:v>
                </c:pt>
                <c:pt idx="38">
                  <c:v>2.2119662999999998</c:v>
                </c:pt>
                <c:pt idx="39">
                  <c:v>1.2918964999999933</c:v>
                </c:pt>
                <c:pt idx="40">
                  <c:v>1.107292399999996</c:v>
                </c:pt>
                <c:pt idx="41">
                  <c:v>1.0247399999999998</c:v>
                </c:pt>
                <c:pt idx="42">
                  <c:v>0.96963830000000062</c:v>
                </c:pt>
                <c:pt idx="43">
                  <c:v>1.1444403999999999</c:v>
                </c:pt>
                <c:pt idx="44">
                  <c:v>0.8454602999999995</c:v>
                </c:pt>
                <c:pt idx="45">
                  <c:v>0.85106150000000003</c:v>
                </c:pt>
                <c:pt idx="46">
                  <c:v>0.83206189999999991</c:v>
                </c:pt>
                <c:pt idx="47">
                  <c:v>1.055949699999994</c:v>
                </c:pt>
                <c:pt idx="48">
                  <c:v>0.65650130000000062</c:v>
                </c:pt>
                <c:pt idx="49">
                  <c:v>0.67736819999999998</c:v>
                </c:pt>
                <c:pt idx="50">
                  <c:v>0.76905970000000212</c:v>
                </c:pt>
                <c:pt idx="51">
                  <c:v>0.67778390000000177</c:v>
                </c:pt>
                <c:pt idx="52">
                  <c:v>0.6269325200000001</c:v>
                </c:pt>
                <c:pt idx="53">
                  <c:v>0.84793251999999997</c:v>
                </c:pt>
              </c:numCache>
            </c:numRef>
          </c:val>
        </c:ser>
        <c:axId val="96126848"/>
        <c:axId val="96128384"/>
      </c:areaChart>
      <c:catAx>
        <c:axId val="96126848"/>
        <c:scaling>
          <c:orientation val="minMax"/>
        </c:scaling>
        <c:axPos val="b"/>
        <c:numFmt formatCode="General" sourceLinked="1"/>
        <c:tickLblPos val="nextTo"/>
        <c:crossAx val="96128384"/>
        <c:crosses val="autoZero"/>
        <c:auto val="1"/>
        <c:lblAlgn val="ctr"/>
        <c:lblOffset val="100"/>
      </c:catAx>
      <c:valAx>
        <c:axId val="96128384"/>
        <c:scaling>
          <c:orientation val="minMax"/>
          <c:max val="10"/>
        </c:scaling>
        <c:axPos val="l"/>
        <c:majorGridlines>
          <c:spPr>
            <a:ln>
              <a:prstDash val="lgDash"/>
            </a:ln>
          </c:spPr>
        </c:majorGridlines>
        <c:numFmt formatCode="0" sourceLinked="0"/>
        <c:tickLblPos val="nextTo"/>
        <c:crossAx val="96126848"/>
        <c:crosses val="autoZero"/>
        <c:crossBetween val="midCat"/>
      </c:valAx>
    </c:plotArea>
    <c:legend>
      <c:legendPos val="b"/>
    </c:legend>
    <c:plotVisOnly val="1"/>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pobreza'!$C$2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pobreza'!$C$3:$C$11</c:f>
              <c:numCache>
                <c:formatCode>General</c:formatCode>
                <c:ptCount val="9"/>
                <c:pt idx="0">
                  <c:v>18.600000000000001</c:v>
                </c:pt>
                <c:pt idx="1">
                  <c:v>22.6</c:v>
                </c:pt>
                <c:pt idx="2">
                  <c:v>18.600000000000001</c:v>
                </c:pt>
                <c:pt idx="3">
                  <c:v>19.3</c:v>
                </c:pt>
                <c:pt idx="4">
                  <c:v>13</c:v>
                </c:pt>
                <c:pt idx="5">
                  <c:v>12.1</c:v>
                </c:pt>
                <c:pt idx="6">
                  <c:v>11.6</c:v>
                </c:pt>
                <c:pt idx="7">
                  <c:v>11.3</c:v>
                </c:pt>
                <c:pt idx="8">
                  <c:v>11.5</c:v>
                </c:pt>
              </c:numCache>
            </c:numRef>
          </c:val>
        </c:ser>
        <c:ser>
          <c:idx val="1"/>
          <c:order val="1"/>
          <c:tx>
            <c:strRef>
              <c:f>'Gráficas pobreza'!$D$2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pobreza'!$D$3:$D$11</c:f>
              <c:numCache>
                <c:formatCode>General</c:formatCode>
                <c:ptCount val="9"/>
                <c:pt idx="0">
                  <c:v>40.5</c:v>
                </c:pt>
                <c:pt idx="1">
                  <c:v>48.4</c:v>
                </c:pt>
                <c:pt idx="2">
                  <c:v>43.8</c:v>
                </c:pt>
                <c:pt idx="3">
                  <c:v>43.9</c:v>
                </c:pt>
                <c:pt idx="4">
                  <c:v>32.800000000000004</c:v>
                </c:pt>
                <c:pt idx="5">
                  <c:v>31</c:v>
                </c:pt>
                <c:pt idx="6">
                  <c:v>29.6</c:v>
                </c:pt>
                <c:pt idx="7">
                  <c:v>28.2</c:v>
                </c:pt>
                <c:pt idx="8">
                  <c:v>27.9</c:v>
                </c:pt>
              </c:numCache>
            </c:numRef>
          </c:val>
        </c:ser>
        <c:dLbls>
          <c:showVal val="1"/>
        </c:dLbls>
        <c:gapWidth val="37"/>
        <c:overlap val="100"/>
        <c:axId val="105567360"/>
        <c:axId val="105568896"/>
      </c:barChart>
      <c:catAx>
        <c:axId val="105567360"/>
        <c:scaling>
          <c:orientation val="minMax"/>
        </c:scaling>
        <c:axPos val="b"/>
        <c:numFmt formatCode="General" sourceLinked="1"/>
        <c:tickLblPos val="nextTo"/>
        <c:crossAx val="105568896"/>
        <c:crosses val="autoZero"/>
        <c:auto val="1"/>
        <c:lblAlgn val="ctr"/>
        <c:lblOffset val="100"/>
      </c:catAx>
      <c:valAx>
        <c:axId val="105568896"/>
        <c:scaling>
          <c:orientation val="minMax"/>
        </c:scaling>
        <c:axPos val="l"/>
        <c:majorGridlines>
          <c:spPr>
            <a:ln>
              <a:prstDash val="sysDot"/>
            </a:ln>
          </c:spPr>
        </c:majorGridlines>
        <c:numFmt formatCode="General" sourceLinked="1"/>
        <c:tickLblPos val="nextTo"/>
        <c:crossAx val="105567360"/>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pobreza'!$G$2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pobreza'!$G$3:$G$11</c:f>
              <c:numCache>
                <c:formatCode>0</c:formatCode>
                <c:ptCount val="9"/>
                <c:pt idx="0">
                  <c:v>62</c:v>
                </c:pt>
                <c:pt idx="1">
                  <c:v>95</c:v>
                </c:pt>
                <c:pt idx="2">
                  <c:v>91</c:v>
                </c:pt>
                <c:pt idx="3">
                  <c:v>99</c:v>
                </c:pt>
                <c:pt idx="4">
                  <c:v>73</c:v>
                </c:pt>
                <c:pt idx="5">
                  <c:v>69</c:v>
                </c:pt>
                <c:pt idx="6">
                  <c:v>67</c:v>
                </c:pt>
                <c:pt idx="7">
                  <c:v>66</c:v>
                </c:pt>
                <c:pt idx="8">
                  <c:v>68</c:v>
                </c:pt>
              </c:numCache>
            </c:numRef>
          </c:val>
        </c:ser>
        <c:ser>
          <c:idx val="1"/>
          <c:order val="1"/>
          <c:tx>
            <c:strRef>
              <c:f>'Gráficas pobreza'!$H$2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pobreza'!$H$3:$H$11</c:f>
              <c:numCache>
                <c:formatCode>0</c:formatCode>
                <c:ptCount val="9"/>
                <c:pt idx="0">
                  <c:v>136</c:v>
                </c:pt>
                <c:pt idx="1">
                  <c:v>204</c:v>
                </c:pt>
                <c:pt idx="2">
                  <c:v>215</c:v>
                </c:pt>
                <c:pt idx="3">
                  <c:v>225</c:v>
                </c:pt>
                <c:pt idx="4">
                  <c:v>184</c:v>
                </c:pt>
                <c:pt idx="5">
                  <c:v>176</c:v>
                </c:pt>
                <c:pt idx="6">
                  <c:v>170</c:v>
                </c:pt>
                <c:pt idx="7">
                  <c:v>164</c:v>
                </c:pt>
                <c:pt idx="8">
                  <c:v>164</c:v>
                </c:pt>
              </c:numCache>
            </c:numRef>
          </c:val>
        </c:ser>
        <c:dLbls>
          <c:showVal val="1"/>
        </c:dLbls>
        <c:gapWidth val="30"/>
        <c:overlap val="100"/>
        <c:axId val="106498688"/>
        <c:axId val="106525056"/>
      </c:barChart>
      <c:catAx>
        <c:axId val="106498688"/>
        <c:scaling>
          <c:orientation val="minMax"/>
        </c:scaling>
        <c:axPos val="b"/>
        <c:numFmt formatCode="General" sourceLinked="1"/>
        <c:tickLblPos val="nextTo"/>
        <c:crossAx val="106525056"/>
        <c:crosses val="autoZero"/>
        <c:auto val="1"/>
        <c:lblAlgn val="ctr"/>
        <c:lblOffset val="100"/>
      </c:catAx>
      <c:valAx>
        <c:axId val="106525056"/>
        <c:scaling>
          <c:orientation val="minMax"/>
        </c:scaling>
        <c:axPos val="l"/>
        <c:majorGridlines>
          <c:spPr>
            <a:ln>
              <a:prstDash val="sysDot"/>
            </a:ln>
          </c:spPr>
        </c:majorGridlines>
        <c:numFmt formatCode="0" sourceLinked="1"/>
        <c:tickLblPos val="nextTo"/>
        <c:crossAx val="106498688"/>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Sheet2!$E$1</c:f>
              <c:strCache>
                <c:ptCount val="1"/>
                <c:pt idx="0">
                  <c:v>PIB per cápita</c:v>
                </c:pt>
              </c:strCache>
            </c:strRef>
          </c:tx>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Sheet2!$E$2:$E$62</c:f>
              <c:numCache>
                <c:formatCode>_(* #,##0_);_(* \(#,##0\);_(* "-"??_);_(@_)</c:formatCode>
                <c:ptCount val="61"/>
                <c:pt idx="0">
                  <c:v>4107.1173245873215</c:v>
                </c:pt>
                <c:pt idx="1">
                  <c:v>4162.0243870097702</c:v>
                </c:pt>
                <c:pt idx="2">
                  <c:v>4191.6425834524516</c:v>
                </c:pt>
                <c:pt idx="3">
                  <c:v>4262.1650714113921</c:v>
                </c:pt>
                <c:pt idx="4">
                  <c:v>4384.7569864691313</c:v>
                </c:pt>
                <c:pt idx="5">
                  <c:v>4347.8181072529405</c:v>
                </c:pt>
                <c:pt idx="6">
                  <c:v>4416.70743842102</c:v>
                </c:pt>
                <c:pt idx="7">
                  <c:v>4567.0406366450707</c:v>
                </c:pt>
                <c:pt idx="8">
                  <c:v>4598.10497881842</c:v>
                </c:pt>
                <c:pt idx="9">
                  <c:v>4567.1323152273499</c:v>
                </c:pt>
                <c:pt idx="10">
                  <c:v>4714.9628959984202</c:v>
                </c:pt>
                <c:pt idx="11">
                  <c:v>4694.4418354478103</c:v>
                </c:pt>
                <c:pt idx="12">
                  <c:v>4685.9710991910097</c:v>
                </c:pt>
                <c:pt idx="13">
                  <c:v>4678.788582036369</c:v>
                </c:pt>
                <c:pt idx="14">
                  <c:v>4879.3508527997001</c:v>
                </c:pt>
                <c:pt idx="15">
                  <c:v>5010.7903494111506</c:v>
                </c:pt>
                <c:pt idx="16">
                  <c:v>5203.5836138821996</c:v>
                </c:pt>
                <c:pt idx="17">
                  <c:v>5412.4542636858214</c:v>
                </c:pt>
                <c:pt idx="18">
                  <c:v>5553.3287380576212</c:v>
                </c:pt>
                <c:pt idx="19">
                  <c:v>5390.42540727288</c:v>
                </c:pt>
                <c:pt idx="20">
                  <c:v>5633.6280932191703</c:v>
                </c:pt>
                <c:pt idx="21">
                  <c:v>5792.3894781270201</c:v>
                </c:pt>
                <c:pt idx="22">
                  <c:v>5911.3124457590411</c:v>
                </c:pt>
              </c:numCache>
            </c:numRef>
          </c:val>
        </c:ser>
        <c:ser>
          <c:idx val="1"/>
          <c:order val="1"/>
          <c:tx>
            <c:strRef>
              <c:f>Sheet2!$F$1</c:f>
              <c:strCache>
                <c:ptCount val="1"/>
                <c:pt idx="0">
                  <c:v>Base</c:v>
                </c:pt>
              </c:strCache>
            </c:strRef>
          </c:tx>
          <c:spPr>
            <a:ln>
              <a:solidFill>
                <a:srgbClr val="92D050"/>
              </a:solidFill>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Sheet2!$F$2:$F$62</c:f>
              <c:numCache>
                <c:formatCode>General</c:formatCode>
                <c:ptCount val="61"/>
                <c:pt idx="22" formatCode="_(* #,##0_);_(* \(#,##0\);_(* &quot;-&quot;??_);_(@_)">
                  <c:v>5911.3124457590411</c:v>
                </c:pt>
                <c:pt idx="23" formatCode="_(* #,##0_);_(* \(#,##0\);_(* &quot;-&quot;??_);_(@_)">
                  <c:v>6065.006569348775</c:v>
                </c:pt>
                <c:pt idx="24" formatCode="_(* #,##0_);_(* \(#,##0\);_(* &quot;-&quot;??_);_(@_)">
                  <c:v>6222.6967401518441</c:v>
                </c:pt>
                <c:pt idx="25" formatCode="_(* #,##0_);_(* \(#,##0\);_(* &quot;-&quot;??_);_(@_)">
                  <c:v>6384.4868553957904</c:v>
                </c:pt>
                <c:pt idx="26" formatCode="_(* #,##0_);_(* \(#,##0\);_(* &quot;-&quot;??_);_(@_)">
                  <c:v>6550.4835136360807</c:v>
                </c:pt>
                <c:pt idx="27" formatCode="_(* #,##0_);_(* \(#,##0\);_(* &quot;-&quot;??_);_(@_)">
                  <c:v>6720.7960849906203</c:v>
                </c:pt>
                <c:pt idx="28" formatCode="_(* #,##0_);_(* \(#,##0\);_(* &quot;-&quot;??_);_(@_)">
                  <c:v>6895.5367832003767</c:v>
                </c:pt>
                <c:pt idx="29" formatCode="_(* #,##0_);_(* \(#,##0\);_(* &quot;-&quot;??_);_(@_)">
                  <c:v>7074.8207395635882</c:v>
                </c:pt>
                <c:pt idx="30" formatCode="_(* #,##0_);_(* \(#,##0\);_(* &quot;-&quot;??_);_(@_)">
                  <c:v>7258.7660787922405</c:v>
                </c:pt>
                <c:pt idx="31" formatCode="_(* #,##0_);_(* \(#,##0\);_(* &quot;-&quot;??_);_(@_)">
                  <c:v>7447.4939968408371</c:v>
                </c:pt>
                <c:pt idx="32" formatCode="_(* #,##0_);_(* \(#,##0\);_(* &quot;-&quot;??_);_(@_)">
                  <c:v>7641.1288407587008</c:v>
                </c:pt>
                <c:pt idx="33" formatCode="_(* #,##0_);_(* \(#,##0\);_(* &quot;-&quot;??_);_(@_)">
                  <c:v>7839.798190618425</c:v>
                </c:pt>
                <c:pt idx="34" formatCode="_(* #,##0_);_(* \(#,##0\);_(* &quot;-&quot;??_);_(@_)">
                  <c:v>8043.6329435745065</c:v>
                </c:pt>
                <c:pt idx="35" formatCode="_(* #,##0_);_(* \(#,##0\);_(* &quot;-&quot;??_);_(@_)">
                  <c:v>8252.7674001074429</c:v>
                </c:pt>
                <c:pt idx="36" formatCode="_(* #,##0_);_(* \(#,##0\);_(* &quot;-&quot;??_);_(@_)">
                  <c:v>8467.3393525102365</c:v>
                </c:pt>
                <c:pt idx="37" formatCode="_(* #,##0_);_(* \(#,##0\);_(* &quot;-&quot;??_);_(@_)">
                  <c:v>8687.4901756755007</c:v>
                </c:pt>
                <c:pt idx="38" formatCode="_(* #,##0_);_(* \(#,##0\);_(* &quot;-&quot;??_);_(@_)">
                  <c:v>8913.3649202430624</c:v>
                </c:pt>
                <c:pt idx="39" formatCode="_(* #,##0_);_(* \(#,##0\);_(* &quot;-&quot;??_);_(@_)">
                  <c:v>9145.1124081693888</c:v>
                </c:pt>
                <c:pt idx="40" formatCode="_(* #,##0_);_(* \(#,##0\);_(* &quot;-&quot;??_);_(@_)">
                  <c:v>9382.8853307817863</c:v>
                </c:pt>
                <c:pt idx="41" formatCode="_(* #,##0_);_(* \(#,##0\);_(* &quot;-&quot;??_);_(@_)">
                  <c:v>9626.840349382117</c:v>
                </c:pt>
                <c:pt idx="42" formatCode="_(* #,##0_);_(* \(#,##0\);_(* &quot;-&quot;??_);_(@_)">
                  <c:v>9877.1381984660511</c:v>
                </c:pt>
                <c:pt idx="43" formatCode="_(* #,##0_);_(* \(#,##0\);_(* &quot;-&quot;??_);_(@_)">
                  <c:v>10133.94379162617</c:v>
                </c:pt>
                <c:pt idx="44" formatCode="_(* #,##0_);_(* \(#,##0\);_(* &quot;-&quot;??_);_(@_)">
                  <c:v>10397.426330208449</c:v>
                </c:pt>
                <c:pt idx="45" formatCode="_(* #,##0_);_(* \(#,##0\);_(* &quot;-&quot;??_);_(@_)">
                  <c:v>10667.759414793871</c:v>
                </c:pt>
                <c:pt idx="46" formatCode="_(* #,##0_);_(* \(#,##0\);_(* &quot;-&quot;??_);_(@_)">
                  <c:v>10945.121159578512</c:v>
                </c:pt>
                <c:pt idx="47" formatCode="_(* #,##0_);_(* \(#,##0\);_(* &quot;-&quot;??_);_(@_)">
                  <c:v>11229.694309727553</c:v>
                </c:pt>
                <c:pt idx="48" formatCode="_(* #,##0_);_(* \(#,##0\);_(* &quot;-&quot;??_);_(@_)">
                  <c:v>11521.666361780468</c:v>
                </c:pt>
                <c:pt idx="49" formatCode="_(* #,##0_);_(* \(#,##0\);_(* &quot;-&quot;??_);_(@_)">
                  <c:v>11821.229687186764</c:v>
                </c:pt>
                <c:pt idx="50" formatCode="_(* #,##0_);_(* \(#,##0\);_(* &quot;-&quot;??_);_(@_)">
                  <c:v>12128.581659053616</c:v>
                </c:pt>
                <c:pt idx="51" formatCode="_(* #,##0_);_(* \(#,##0\);_(* &quot;-&quot;??_);_(@_)">
                  <c:v>12443.924782189015</c:v>
                </c:pt>
                <c:pt idx="52" formatCode="_(* #,##0_);_(* \(#,##0\);_(* &quot;-&quot;??_);_(@_)">
                  <c:v>12767.466826525926</c:v>
                </c:pt>
                <c:pt idx="53" formatCode="_(* #,##0_);_(* \(#,##0\);_(* &quot;-&quot;??_);_(@_)">
                  <c:v>13099.420964015602</c:v>
                </c:pt>
                <c:pt idx="54" formatCode="_(* #,##0_);_(* \(#,##0\);_(* &quot;-&quot;??_);_(@_)">
                  <c:v>13440.005909080004</c:v>
                </c:pt>
                <c:pt idx="55" formatCode="_(* #,##0_);_(* \(#,##0\);_(* &quot;-&quot;??_);_(@_)">
                  <c:v>13789.44606271609</c:v>
                </c:pt>
                <c:pt idx="56" formatCode="_(* #,##0_);_(* \(#,##0\);_(* &quot;-&quot;??_);_(@_)">
                  <c:v>14147.971660346706</c:v>
                </c:pt>
                <c:pt idx="57" formatCode="_(* #,##0_);_(* \(#,##0\);_(* &quot;-&quot;??_);_(@_)">
                  <c:v>14515.818923515721</c:v>
                </c:pt>
                <c:pt idx="58" formatCode="_(* #,##0_);_(* \(#,##0\);_(* &quot;-&quot;??_);_(@_)">
                  <c:v>14893.23021552713</c:v>
                </c:pt>
                <c:pt idx="59" formatCode="_(* #,##0_);_(* \(#,##0\);_(* &quot;-&quot;??_);_(@_)">
                  <c:v>15280.454201130837</c:v>
                </c:pt>
                <c:pt idx="60" formatCode="_(* #,##0_);_(* \(#,##0\);_(* &quot;-&quot;??_);_(@_)">
                  <c:v>15677.746010360237</c:v>
                </c:pt>
              </c:numCache>
            </c:numRef>
          </c:val>
        </c:ser>
        <c:ser>
          <c:idx val="2"/>
          <c:order val="2"/>
          <c:tx>
            <c:strRef>
              <c:f>Sheet2!$H$1</c:f>
              <c:strCache>
                <c:ptCount val="1"/>
                <c:pt idx="0">
                  <c:v>Impacto 2%</c:v>
                </c:pt>
              </c:strCache>
            </c:strRef>
          </c:tx>
          <c:spPr>
            <a:ln>
              <a:solidFill>
                <a:schemeClr val="tx2">
                  <a:lumMod val="50000"/>
                </a:schemeClr>
              </a:solidFill>
              <a:prstDash val="sysDot"/>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Sheet2!$H$2:$H$62</c:f>
              <c:numCache>
                <c:formatCode>General</c:formatCode>
                <c:ptCount val="61"/>
                <c:pt idx="22" formatCode="_(* #,##0_);_(* \(#,##0\);_(* &quot;-&quot;??_);_(@_)">
                  <c:v>5911.3124457590411</c:v>
                </c:pt>
                <c:pt idx="23" formatCode="_(* #,##0_);_(* \(#,##0\);_(* &quot;-&quot;??_);_(@_)">
                  <c:v>6061.7829644292842</c:v>
                </c:pt>
                <c:pt idx="24" formatCode="_(* #,##0_);_(* \(#,##0\);_(* &quot;-&quot;??_);_(@_)">
                  <c:v>6216.0836607794654</c:v>
                </c:pt>
                <c:pt idx="25" formatCode="_(* #,##0_);_(* \(#,##0\);_(* &quot;-&quot;??_);_(@_)">
                  <c:v>6374.3120307256622</c:v>
                </c:pt>
                <c:pt idx="26" formatCode="_(* #,##0_);_(* \(#,##0\);_(* &quot;-&quot;??_);_(@_)">
                  <c:v>6536.5680519104972</c:v>
                </c:pt>
                <c:pt idx="27" formatCode="_(* #,##0_);_(* \(#,##0\);_(* &quot;-&quot;??_);_(@_)">
                  <c:v>6702.9542468746895</c:v>
                </c:pt>
                <c:pt idx="28" formatCode="_(* #,##0_);_(* \(#,##0\);_(* &quot;-&quot;??_);_(@_)">
                  <c:v>6873.5757478365831</c:v>
                </c:pt>
                <c:pt idx="29" formatCode="_(* #,##0_);_(* \(#,##0\);_(* &quot;-&quot;??_);_(@_)">
                  <c:v>7048.5403631206573</c:v>
                </c:pt>
                <c:pt idx="30" formatCode="_(* #,##0_);_(* \(#,##0\);_(* &quot;-&quot;??_);_(@_)">
                  <c:v>7227.9586452769008</c:v>
                </c:pt>
                <c:pt idx="31" formatCode="_(* #,##0_);_(* \(#,##0\);_(* &quot;-&quot;??_);_(@_)">
                  <c:v>7411.9439609341971</c:v>
                </c:pt>
                <c:pt idx="32" formatCode="_(* #,##0_);_(* \(#,##0\);_(* &quot;-&quot;??_);_(@_)">
                  <c:v>7600.612562431771</c:v>
                </c:pt>
                <c:pt idx="33" formatCode="_(* #,##0_);_(* \(#,##0\);_(* &quot;-&quot;??_);_(@_)">
                  <c:v>7794.0836612739886</c:v>
                </c:pt>
                <c:pt idx="34" formatCode="_(* #,##0_);_(* \(#,##0\);_(* &quot;-&quot;??_);_(@_)">
                  <c:v>7992.4795034549497</c:v>
                </c:pt>
                <c:pt idx="35" formatCode="_(* #,##0_);_(* \(#,##0\);_(* &quot;-&quot;??_);_(@_)">
                  <c:v>8195.9254467004248</c:v>
                </c:pt>
                <c:pt idx="36" formatCode="_(* #,##0_);_(* \(#,##0\);_(* &quot;-&quot;??_);_(@_)">
                  <c:v>8404.5500396759489</c:v>
                </c:pt>
                <c:pt idx="37" formatCode="_(* #,##0_);_(* \(#,##0\);_(* &quot;-&quot;??_);_(@_)">
                  <c:v>8618.4851032111801</c:v>
                </c:pt>
                <c:pt idx="38" formatCode="_(* #,##0_);_(* \(#,##0\);_(* &quot;-&quot;??_);_(@_)">
                  <c:v>8837.8658135917212</c:v>
                </c:pt>
                <c:pt idx="39" formatCode="_(* #,##0_);_(* \(#,##0\);_(* &quot;-&quot;??_);_(@_)">
                  <c:v>9062.8307879711829</c:v>
                </c:pt>
                <c:pt idx="40" formatCode="_(* #,##0_);_(* \(#,##0\);_(* &quot;-&quot;??_);_(@_)">
                  <c:v>9293.5221719573256</c:v>
                </c:pt>
                <c:pt idx="41" formatCode="_(* #,##0_);_(* \(#,##0\);_(* &quot;-&quot;??_);_(@_)">
                  <c:v>9530.0857294277248</c:v>
                </c:pt>
                <c:pt idx="42" formatCode="_(* #,##0_);_(* \(#,##0\);_(* &quot;-&quot;??_);_(@_)">
                  <c:v>9772.6709346316329</c:v>
                </c:pt>
                <c:pt idx="43" formatCode="_(* #,##0_);_(* \(#,##0\);_(* &quot;-&quot;??_);_(@_)">
                  <c:v>10021.431066636269</c:v>
                </c:pt>
                <c:pt idx="44" formatCode="_(* #,##0_);_(* \(#,##0\);_(* &quot;-&quot;??_);_(@_)">
                  <c:v>10276.523306177198</c:v>
                </c:pt>
                <c:pt idx="45" formatCode="_(* #,##0_);_(* \(#,##0\);_(* &quot;-&quot;??_);_(@_)">
                  <c:v>10538.108834974055</c:v>
                </c:pt>
                <c:pt idx="46" formatCode="_(* #,##0_);_(* \(#,##0\);_(* &quot;-&quot;??_);_(@_)">
                  <c:v>10806.352937574253</c:v>
                </c:pt>
                <c:pt idx="47" formatCode="_(* #,##0_);_(* \(#,##0\);_(* &quot;-&quot;??_);_(@_)">
                  <c:v>11081.425105789127</c:v>
                </c:pt>
                <c:pt idx="48" formatCode="_(* #,##0_);_(* \(#,##0\);_(* &quot;-&quot;??_);_(@_)">
                  <c:v>11363.499145788452</c:v>
                </c:pt>
                <c:pt idx="49" formatCode="_(* #,##0_);_(* \(#,##0\);_(* &quot;-&quot;??_);_(@_)">
                  <c:v>11652.75328792103</c:v>
                </c:pt>
                <c:pt idx="50" formatCode="_(* #,##0_);_(* \(#,##0\);_(* &quot;-&quot;??_);_(@_)">
                  <c:v>11949.370299330705</c:v>
                </c:pt>
                <c:pt idx="51" formatCode="_(* #,##0_);_(* \(#,##0\);_(* &quot;-&quot;??_);_(@_)">
                  <c:v>12253.537599439001</c:v>
                </c:pt>
                <c:pt idx="52" formatCode="_(* #,##0_);_(* \(#,##0\);_(* &quot;-&quot;??_);_(@_)">
                  <c:v>12565.447378367317</c:v>
                </c:pt>
                <c:pt idx="53" formatCode="_(* #,##0_);_(* \(#,##0\);_(* &quot;-&quot;??_);_(@_)">
                  <c:v>12885.296718373538</c:v>
                </c:pt>
                <c:pt idx="54" formatCode="_(* #,##0_);_(* \(#,##0\);_(* &quot;-&quot;??_);_(@_)">
                  <c:v>13213.287718379748</c:v>
                </c:pt>
                <c:pt idx="55" formatCode="_(* #,##0_);_(* \(#,##0\);_(* &quot;-&quot;??_);_(@_)">
                  <c:v>13549.627621669777</c:v>
                </c:pt>
                <c:pt idx="56" formatCode="_(* #,##0_);_(* \(#,##0\);_(* &quot;-&quot;??_);_(@_)">
                  <c:v>13894.528946837258</c:v>
                </c:pt>
                <c:pt idx="57" formatCode="_(* #,##0_);_(* \(#,##0\);_(* &quot;-&quot;??_);_(@_)">
                  <c:v>14248.209622066877</c:v>
                </c:pt>
                <c:pt idx="58" formatCode="_(* #,##0_);_(* \(#,##0\);_(* &quot;-&quot;??_);_(@_)">
                  <c:v>14610.893122833764</c:v>
                </c:pt>
                <c:pt idx="59" formatCode="_(* #,##0_);_(* \(#,##0\);_(* &quot;-&quot;??_);_(@_)">
                  <c:v>14982.808613107933</c:v>
                </c:pt>
                <c:pt idx="60" formatCode="_(* #,##0_);_(* \(#,##0\);_(* &quot;-&quot;??_);_(@_)">
                  <c:v>15364.191090153032</c:v>
                </c:pt>
              </c:numCache>
            </c:numRef>
          </c:val>
        </c:ser>
        <c:ser>
          <c:idx val="3"/>
          <c:order val="3"/>
          <c:tx>
            <c:strRef>
              <c:f>Sheet2!$I$1</c:f>
              <c:strCache>
                <c:ptCount val="1"/>
                <c:pt idx="0">
                  <c:v>Impacto 5%</c:v>
                </c:pt>
              </c:strCache>
            </c:strRef>
          </c:tx>
          <c:spPr>
            <a:ln>
              <a:solidFill>
                <a:srgbClr val="FFFF00"/>
              </a:solidFill>
              <a:prstDash val="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Sheet2!$I$2:$I$62</c:f>
              <c:numCache>
                <c:formatCode>General</c:formatCode>
                <c:ptCount val="61"/>
                <c:pt idx="22" formatCode="_(* #,##0_);_(* \(#,##0\);_(* &quot;-&quot;??_);_(@_)">
                  <c:v>5911.3124457590411</c:v>
                </c:pt>
                <c:pt idx="23" formatCode="_(* #,##0_);_(* \(#,##0\);_(* &quot;-&quot;??_);_(@_)">
                  <c:v>6056.8254035396267</c:v>
                </c:pt>
                <c:pt idx="24" formatCode="_(* #,##0_);_(* \(#,##0\);_(* &quot;-&quot;??_);_(@_)">
                  <c:v>6205.9203105195384</c:v>
                </c:pt>
                <c:pt idx="25" formatCode="_(* #,##0_);_(* \(#,##0\);_(* &quot;-&quot;??_);_(@_)">
                  <c:v>6358.685340015174</c:v>
                </c:pt>
                <c:pt idx="26" formatCode="_(* #,##0_);_(* \(#,##0\);_(* &quot;-&quot;??_);_(@_)">
                  <c:v>6515.2108358186424</c:v>
                </c:pt>
                <c:pt idx="27" formatCode="_(* #,##0_);_(* \(#,##0\);_(* &quot;-&quot;??_);_(@_)">
                  <c:v>6675.5893656262233</c:v>
                </c:pt>
                <c:pt idx="28" formatCode="_(* #,##0_);_(* \(#,##0\);_(* &quot;-&quot;??_);_(@_)">
                  <c:v>6839.9157757820249</c:v>
                </c:pt>
                <c:pt idx="29" formatCode="_(* #,##0_);_(* \(#,##0\);_(* &quot;-&quot;??_);_(@_)">
                  <c:v>7008.2872473692169</c:v>
                </c:pt>
                <c:pt idx="30" formatCode="_(* #,##0_);_(* \(#,##0\);_(* &quot;-&quot;??_);_(@_)">
                  <c:v>7180.8033536820003</c:v>
                </c:pt>
                <c:pt idx="31" formatCode="_(* #,##0_);_(* \(#,##0\);_(* &quot;-&quot;??_);_(@_)">
                  <c:v>7357.5661191123181</c:v>
                </c:pt>
                <c:pt idx="32" formatCode="_(* #,##0_);_(* \(#,##0\);_(* &quot;-&quot;??_);_(@_)">
                  <c:v>7538.680079486101</c:v>
                </c:pt>
                <c:pt idx="33" formatCode="_(* #,##0_);_(* \(#,##0\);_(* &quot;-&quot;??_);_(@_)">
                  <c:v>7724.2523438847793</c:v>
                </c:pt>
                <c:pt idx="34" formatCode="_(* #,##0_);_(* \(#,##0\);_(* &quot;-&quot;??_);_(@_)">
                  <c:v>7914.3926579885738</c:v>
                </c:pt>
                <c:pt idx="35" formatCode="_(* #,##0_);_(* \(#,##0\);_(* &quot;-&quot;??_);_(@_)">
                  <c:v>8109.2134689790491</c:v>
                </c:pt>
                <c:pt idx="36" formatCode="_(* #,##0_);_(* \(#,##0\);_(* &quot;-&quot;??_);_(@_)">
                  <c:v>8308.8299920393147</c:v>
                </c:pt>
                <c:pt idx="37" formatCode="_(* #,##0_);_(* \(#,##0\);_(* &quot;-&quot;??_);_(@_)">
                  <c:v>8513.3602784912</c:v>
                </c:pt>
                <c:pt idx="38" formatCode="_(* #,##0_);_(* \(#,##0\);_(* &quot;-&quot;??_);_(@_)">
                  <c:v>8722.92528560967</c:v>
                </c:pt>
                <c:pt idx="39" formatCode="_(* #,##0_);_(* \(#,##0\);_(* &quot;-&quot;??_);_(@_)">
                  <c:v>8937.6489481558401</c:v>
                </c:pt>
                <c:pt idx="40" formatCode="_(* #,##0_);_(* \(#,##0\);_(* &quot;-&quot;??_);_(@_)">
                  <c:v>9157.6582516707858</c:v>
                </c:pt>
                <c:pt idx="41" formatCode="_(* #,##0_);_(* \(#,##0\);_(* &quot;-&quot;??_);_(@_)">
                  <c:v>9383.0833075736282</c:v>
                </c:pt>
                <c:pt idx="42" formatCode="_(* #,##0_);_(* \(#,##0\);_(* &quot;-&quot;??_);_(@_)">
                  <c:v>9614.0574301081633</c:v>
                </c:pt>
                <c:pt idx="43" formatCode="_(* #,##0_);_(* \(#,##0\);_(* &quot;-&quot;??_);_(@_)">
                  <c:v>9850.7172151836603</c:v>
                </c:pt>
                <c:pt idx="44" formatCode="_(* #,##0_);_(* \(#,##0\);_(* &quot;-&quot;??_);_(@_)">
                  <c:v>10093.202621156388</c:v>
                </c:pt>
                <c:pt idx="45" formatCode="_(* #,##0_);_(* \(#,##0\);_(* &quot;-&quot;??_);_(@_)">
                  <c:v>10341.657051599646</c:v>
                </c:pt>
                <c:pt idx="46" formatCode="_(* #,##0_);_(* \(#,##0\);_(* &quot;-&quot;??_);_(@_)">
                  <c:v>10596.227440111314</c:v>
                </c:pt>
                <c:pt idx="47" formatCode="_(* #,##0_);_(* \(#,##0\);_(* &quot;-&quot;??_);_(@_)">
                  <c:v>10857.064337208942</c:v>
                </c:pt>
                <c:pt idx="48" formatCode="_(* #,##0_);_(* \(#,##0\);_(* &quot;-&quot;??_);_(@_)">
                  <c:v>11124.321999363949</c:v>
                </c:pt>
                <c:pt idx="49" formatCode="_(* #,##0_);_(* \(#,##0\);_(* &quot;-&quot;??_);_(@_)">
                  <c:v>11398.158480227421</c:v>
                </c:pt>
                <c:pt idx="50" formatCode="_(* #,##0_);_(* \(#,##0\);_(* &quot;-&quot;??_);_(@_)">
                  <c:v>11678.735724101525</c:v>
                </c:pt>
                <c:pt idx="51" formatCode="_(* #,##0_);_(* \(#,##0\);_(* &quot;-&quot;??_);_(@_)">
                  <c:v>11966.219661711861</c:v>
                </c:pt>
                <c:pt idx="52" formatCode="_(* #,##0_);_(* \(#,##0\);_(* &quot;-&quot;??_);_(@_)">
                  <c:v>12260.780308337316</c:v>
                </c:pt>
                <c:pt idx="53" formatCode="_(* #,##0_);_(* \(#,##0\);_(* &quot;-&quot;??_);_(@_)">
                  <c:v>12562.591864355487</c:v>
                </c:pt>
                <c:pt idx="54" formatCode="_(* #,##0_);_(* \(#,##0\);_(* &quot;-&quot;??_);_(@_)">
                  <c:v>12871.832818263132</c:v>
                </c:pt>
                <c:pt idx="55" formatCode="_(* #,##0_);_(* \(#,##0\);_(* &quot;-&quot;??_);_(@_)">
                  <c:v>13188.686052232597</c:v>
                </c:pt>
                <c:pt idx="56" formatCode="_(* #,##0_);_(* \(#,##0\);_(* &quot;-&quot;??_);_(@_)">
                  <c:v>13513.33895026656</c:v>
                </c:pt>
                <c:pt idx="57" formatCode="_(* #,##0_);_(* \(#,##0\);_(* &quot;-&quot;??_);_(@_)">
                  <c:v>13845.983509015205</c:v>
                </c:pt>
                <c:pt idx="58" formatCode="_(* #,##0_);_(* \(#,##0\);_(* &quot;-&quot;??_);_(@_)">
                  <c:v>14186.816451321183</c:v>
                </c:pt>
                <c:pt idx="59" formatCode="_(* #,##0_);_(* \(#,##0\);_(* &quot;-&quot;??_);_(@_)">
                  <c:v>14536.03934255967</c:v>
                </c:pt>
                <c:pt idx="60" formatCode="_(* #,##0_);_(* \(#,##0\);_(* &quot;-&quot;??_);_(@_)">
                  <c:v>14893.858709842225</c:v>
                </c:pt>
              </c:numCache>
            </c:numRef>
          </c:val>
        </c:ser>
        <c:ser>
          <c:idx val="4"/>
          <c:order val="4"/>
          <c:tx>
            <c:strRef>
              <c:f>Sheet2!$J$1</c:f>
              <c:strCache>
                <c:ptCount val="1"/>
                <c:pt idx="0">
                  <c:v>Impacto 10%</c:v>
                </c:pt>
              </c:strCache>
            </c:strRef>
          </c:tx>
          <c:spPr>
            <a:ln>
              <a:solidFill>
                <a:srgbClr val="FF0000"/>
              </a:solidFill>
              <a:prstDash val="lg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Sheet2!$J$2:$J$62</c:f>
              <c:numCache>
                <c:formatCode>General</c:formatCode>
                <c:ptCount val="61"/>
                <c:pt idx="22" formatCode="_(* #,##0_);_(* \(#,##0\);_(* &quot;-&quot;??_);_(@_)">
                  <c:v>5911.3124457590411</c:v>
                </c:pt>
                <c:pt idx="23" formatCode="_(* #,##0_);_(* \(#,##0\);_(* &quot;-&quot;??_);_(@_)">
                  <c:v>6048.2137493297487</c:v>
                </c:pt>
                <c:pt idx="24" formatCode="_(* #,##0_);_(* \(#,##0\);_(* &quot;-&quot;??_);_(@_)">
                  <c:v>6188.2855784125722</c:v>
                </c:pt>
                <c:pt idx="25" formatCode="_(* #,##0_);_(* \(#,##0\);_(* &quot;-&quot;??_);_(@_)">
                  <c:v>6331.6013598614618</c:v>
                </c:pt>
                <c:pt idx="26" formatCode="_(* #,##0_);_(* \(#,##0\);_(* &quot;-&quot;??_);_(@_)">
                  <c:v>6478.2362210380134</c:v>
                </c:pt>
                <c:pt idx="27" formatCode="_(* #,##0_);_(* \(#,##0\);_(* &quot;-&quot;??_);_(@_)">
                  <c:v>6628.2670291938848</c:v>
                </c:pt>
                <c:pt idx="28" formatCode="_(* #,##0_);_(* \(#,##0\);_(* &quot;-&quot;??_);_(@_)">
                  <c:v>6781.7724317652546</c:v>
                </c:pt>
                <c:pt idx="29" formatCode="_(* #,##0_);_(* \(#,##0\);_(* &quot;-&quot;??_);_(@_)">
                  <c:v>6938.8328976004914</c:v>
                </c:pt>
                <c:pt idx="30" formatCode="_(* #,##0_);_(* \(#,##0\);_(* &quot;-&quot;??_);_(@_)">
                  <c:v>7099.5307591426163</c:v>
                </c:pt>
                <c:pt idx="31" formatCode="_(* #,##0_);_(* \(#,##0\);_(* &quot;-&quot;??_);_(@_)">
                  <c:v>7263.9502555886675</c:v>
                </c:pt>
                <c:pt idx="32" formatCode="_(* #,##0_);_(* \(#,##0\);_(* &quot;-&quot;??_);_(@_)">
                  <c:v>7432.1775770486092</c:v>
                </c:pt>
                <c:pt idx="33" formatCode="_(* #,##0_);_(* \(#,##0\);_(* &quot;-&quot;??_);_(@_)">
                  <c:v>7604.3009097269423</c:v>
                </c:pt>
                <c:pt idx="34" formatCode="_(* #,##0_);_(* \(#,##0\);_(* &quot;-&quot;??_);_(@_)">
                  <c:v>7780.4104821506462</c:v>
                </c:pt>
                <c:pt idx="35" formatCode="_(* #,##0_);_(* \(#,##0\);_(* &quot;-&quot;??_);_(@_)">
                  <c:v>7960.5986124677647</c:v>
                </c:pt>
                <c:pt idx="36" formatCode="_(* #,##0_);_(* \(#,##0\);_(* &quot;-&quot;??_);_(@_)">
                  <c:v>8144.9597568413583</c:v>
                </c:pt>
                <c:pt idx="37" formatCode="_(* #,##0_);_(* \(#,##0\);_(* &quot;-&quot;??_);_(@_)">
                  <c:v>8333.590558964248</c:v>
                </c:pt>
                <c:pt idx="38" formatCode="_(* #,##0_);_(* \(#,##0\);_(* &quot;-&quot;??_);_(@_)">
                  <c:v>8526.5899007204516</c:v>
                </c:pt>
                <c:pt idx="39" formatCode="_(* #,##0_);_(* \(#,##0\);_(* &quot;-&quot;??_);_(@_)">
                  <c:v>8724.0589540199308</c:v>
                </c:pt>
                <c:pt idx="40" formatCode="_(* #,##0_);_(* \(#,##0\);_(* &quot;-&quot;??_);_(@_)">
                  <c:v>8926.1012338337659</c:v>
                </c:pt>
                <c:pt idx="41" formatCode="_(* #,##0_);_(* \(#,##0\);_(* &quot;-&quot;??_);_(@_)">
                  <c:v>9132.8226524575857</c:v>
                </c:pt>
                <c:pt idx="42" formatCode="_(* #,##0_);_(* \(#,##0\);_(* &quot;-&quot;??_);_(@_)">
                  <c:v>9344.3315750317161</c:v>
                </c:pt>
                <c:pt idx="43" formatCode="_(* #,##0_);_(* \(#,##0\);_(* &quot;-&quot;??_);_(@_)">
                  <c:v>9560.7388763471026</c:v>
                </c:pt>
                <c:pt idx="44" formatCode="_(* #,##0_);_(* \(#,##0\);_(* &quot;-&quot;??_);_(@_)">
                  <c:v>9782.1579989668335</c:v>
                </c:pt>
                <c:pt idx="45" formatCode="_(* #,##0_);_(* \(#,##0\);_(* &quot;-&quot;??_);_(@_)">
                  <c:v>10008.705012693707</c:v>
                </c:pt>
                <c:pt idx="46" formatCode="_(* #,##0_);_(* \(#,##0\);_(* &quot;-&quot;??_);_(@_)">
                  <c:v>10240.498675415</c:v>
                </c:pt>
                <c:pt idx="47" formatCode="_(* #,##0_);_(* \(#,##0\);_(* &quot;-&quot;??_);_(@_)">
                  <c:v>10477.660495356396</c:v>
                </c:pt>
                <c:pt idx="48" formatCode="_(* #,##0_);_(* \(#,##0\);_(* &quot;-&quot;??_);_(@_)">
                  <c:v>10720.314794777614</c:v>
                </c:pt>
                <c:pt idx="49" formatCode="_(* #,##0_);_(* \(#,##0\);_(* &quot;-&quot;??_);_(@_)">
                  <c:v>10968.588775143233</c:v>
                </c:pt>
                <c:pt idx="50" formatCode="_(* #,##0_);_(* \(#,##0\);_(* &quot;-&quot;??_);_(@_)">
                  <c:v>11222.612583802756</c:v>
                </c:pt>
                <c:pt idx="51" formatCode="_(* #,##0_);_(* \(#,##0\);_(* &quot;-&quot;??_);_(@_)">
                  <c:v>11482.519382214992</c:v>
                </c:pt>
                <c:pt idx="52" formatCode="_(* #,##0_);_(* \(#,##0\);_(* &quot;-&quot;??_);_(@_)">
                  <c:v>11748.445415752427</c:v>
                </c:pt>
                <c:pt idx="53" formatCode="_(* #,##0_);_(* \(#,##0\);_(* &quot;-&quot;??_);_(@_)">
                  <c:v>12020.530085122209</c:v>
                </c:pt>
                <c:pt idx="54" formatCode="_(* #,##0_);_(* \(#,##0\);_(* &quot;-&quot;??_);_(@_)">
                  <c:v>12298.916019441203</c:v>
                </c:pt>
                <c:pt idx="55" formatCode="_(* #,##0_);_(* \(#,##0\);_(* &quot;-&quot;??_);_(@_)">
                  <c:v>12583.749151003411</c:v>
                </c:pt>
                <c:pt idx="56" formatCode="_(* #,##0_);_(* \(#,##0\);_(* &quot;-&quot;??_);_(@_)">
                  <c:v>12875.178791778886</c:v>
                </c:pt>
                <c:pt idx="57" formatCode="_(* #,##0_);_(* \(#,##0\);_(* &quot;-&quot;??_);_(@_)">
                  <c:v>13173.357711684401</c:v>
                </c:pt>
                <c:pt idx="58" formatCode="_(* #,##0_);_(* \(#,##0\);_(* &quot;-&quot;??_);_(@_)">
                  <c:v>13478.442218666723</c:v>
                </c:pt>
                <c:pt idx="59" formatCode="_(* #,##0_);_(* \(#,##0\);_(* &quot;-&quot;??_);_(@_)">
                  <c:v>13790.592240640566</c:v>
                </c:pt>
                <c:pt idx="60" formatCode="_(* #,##0_);_(* \(#,##0\);_(* &quot;-&quot;??_);_(@_)">
                  <c:v>14109.971409324213</c:v>
                </c:pt>
              </c:numCache>
            </c:numRef>
          </c:val>
        </c:ser>
        <c:marker val="1"/>
        <c:axId val="106571264"/>
        <c:axId val="106572800"/>
      </c:lineChart>
      <c:catAx>
        <c:axId val="106571264"/>
        <c:scaling>
          <c:orientation val="minMax"/>
        </c:scaling>
        <c:axPos val="b"/>
        <c:numFmt formatCode="General" sourceLinked="1"/>
        <c:tickLblPos val="nextTo"/>
        <c:crossAx val="106572800"/>
        <c:crosses val="autoZero"/>
        <c:auto val="1"/>
        <c:lblAlgn val="ctr"/>
        <c:lblOffset val="100"/>
      </c:catAx>
      <c:valAx>
        <c:axId val="106572800"/>
        <c:scaling>
          <c:orientation val="minMax"/>
          <c:max val="16000"/>
          <c:min val="4000"/>
        </c:scaling>
        <c:axPos val="l"/>
        <c:majorGridlines>
          <c:spPr>
            <a:ln>
              <a:prstDash val="lgDash"/>
            </a:ln>
          </c:spPr>
        </c:majorGridlines>
        <c:numFmt formatCode="_(* #,##0_);_(* \(#,##0\);_(* &quot;-&quot;??_);_(@_)" sourceLinked="1"/>
        <c:tickLblPos val="nextTo"/>
        <c:crossAx val="106571264"/>
        <c:crosses val="autoZero"/>
        <c:crossBetween val="between"/>
      </c:valAx>
    </c:plotArea>
    <c:legend>
      <c:legendPos val="b"/>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1171C-6B2E-444D-B46A-9B958F1D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18</Pages>
  <Words>9840</Words>
  <Characters>56090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Eduardo Alatorre</dc:creator>
  <cp:lastModifiedBy>José Eduardo Alatorre</cp:lastModifiedBy>
  <cp:revision>62</cp:revision>
  <dcterms:created xsi:type="dcterms:W3CDTF">2013-11-19T13:05:00Z</dcterms:created>
  <dcterms:modified xsi:type="dcterms:W3CDTF">2014-01-13T18:10:00Z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id="WfF7xczJ"/&gt;&lt;style id="http://www.zotero.org/styles/comision-economica-para-america-latina-y-el-caribe" hasBibliography="1" bibliographyStyleHasBeenSet="0"/&gt;&lt;prefs&gt;&lt;pref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