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Serention — Hackathon Video Script</w:t>
      </w:r>
    </w:p>
    <w:p>
      <w:r>
        <w:rPr>
          <w:i/>
        </w:rPr>
        <w:t>~3:50 total.  [SHOW] = what's on screen; narration follows in plain text.  Each section opens with the exact URL(s) to pull up on screen.</w:t>
      </w:r>
    </w:p>
    <w:p>
      <w:pPr>
        <w:pStyle w:val="Heading1"/>
      </w:pPr>
      <w:r>
        <w:t>(a) The idea — why ABS-EE</w:t>
      </w:r>
    </w:p>
    <w:p>
      <w:r>
        <w:rPr>
          <w:b/>
          <w:color w:val="888888"/>
        </w:rPr>
        <w:t>0:00–1:05  (~65s)</w:t>
      </w:r>
    </w:p>
    <w:p>
      <w:r>
        <w:rPr>
          <w:b/>
        </w:rPr>
        <w:t>📺 ON SCREEN — open these:</w:t>
      </w:r>
    </w:p>
    <w:p>
      <w:pPr>
        <w:pStyle w:val="ListBullet"/>
      </w:pPr>
      <w:r>
        <w:rPr>
          <w:b w:val="0"/>
        </w:rPr>
        <w:t xml:space="preserve">Landing → </w:t>
      </w:r>
      <w:hyperlink r:id="rId9">
        <w:r>
          <w:rPr>
            <w:color w:val="0563C1"/>
            <w:u w:val="single"/>
          </w:rPr>
          <w:t>https://www.serention.com/</w:t>
        </w:r>
      </w:hyperlink>
    </w:p>
    <w:p>
      <w:pPr>
        <w:pStyle w:val="ListBullet"/>
      </w:pPr>
      <w:r>
        <w:rPr>
          <w:b w:val="0"/>
        </w:rPr>
        <w:t xml:space="preserve">Auto Subprime product page (KPIs, About, charts) → </w:t>
      </w:r>
      <w:hyperlink r:id="rId10">
        <w:r>
          <w:rPr>
            <w:color w:val="0563C1"/>
            <w:u w:val="single"/>
          </w:rPr>
          <w:t>https://www.serention.com/product.html?slug=auto-subprime</w:t>
        </w:r>
      </w:hyperlink>
    </w:p>
    <w:p>
      <w:r>
        <w:rPr>
          <w:b/>
        </w:rPr>
        <w:t xml:space="preserve">SHOW: </w:t>
      </w:r>
      <w:r>
        <w:t>Landing, then scroll the product page: KPI tiles + the "About this index" block + the stress / delinquency-loss charts.</w:t>
      </w:r>
    </w:p>
    <w:p>
      <w:r>
        <w:t>Consumer credit is one of the biggest, least-transparent risks in the economy — and subprime auto is the canary: it's where stress shows up first. Every auto-ABS issuer files loan-level tapes with the SEC under Regulation AB II — the ABS-EE filings — but they sit as raw XML almost nobody reads. Serention turns those tapes into a live, tradeable subprime-auto credit index.</w:t>
      </w:r>
    </w:p>
    <w:p>
      <w:r>
        <w:t>We pull every qualifying subprime deal — issuance FICO under 640, pools over $200 million, staggered vintages back to 2016 — and pool 32.9 million loan-months. From that we build two indices: a stress index — a VIX-style z-score composite of delinquency, roll-rate, loss, and recovery — and the one we trade on, the net-yield index: interest collected minus losses, the economic carry of the pool. Use cases: an early-warning gauge for credit desks, a hedge for ABS investors, and a tradeable carry product benchmarked against the NY Fed and rating-agency loss indices.</w:t>
      </w:r>
    </w:p>
    <w:p>
      <w:pPr>
        <w:pStyle w:val="Heading1"/>
      </w:pPr>
      <w:r>
        <w:t>(b) The website / index visualization</w:t>
      </w:r>
    </w:p>
    <w:p>
      <w:r>
        <w:rPr>
          <w:b/>
          <w:color w:val="888888"/>
        </w:rPr>
        <w:t>1:05–1:35  (~30s)</w:t>
      </w:r>
    </w:p>
    <w:p>
      <w:r>
        <w:rPr>
          <w:b/>
        </w:rPr>
        <w:t>📺 ON SCREEN — open these:</w:t>
      </w:r>
    </w:p>
    <w:p>
      <w:pPr>
        <w:pStyle w:val="ListBullet"/>
      </w:pPr>
      <w:r>
        <w:rPr>
          <w:b w:val="0"/>
        </w:rPr>
        <w:t xml:space="preserve">Methods comparison page (4-line chart) → </w:t>
      </w:r>
      <w:hyperlink r:id="rId11">
        <w:r>
          <w:rPr>
            <w:color w:val="0563C1"/>
            <w:u w:val="single"/>
          </w:rPr>
          <w:t>https://www.serention.com/methods.html</w:t>
        </w:r>
      </w:hyperlink>
    </w:p>
    <w:p>
      <w:pPr>
        <w:pStyle w:val="ListBullet"/>
      </w:pPr>
      <w:r>
        <w:rPr>
          <w:b w:val="0"/>
        </w:rPr>
        <w:t xml:space="preserve">(charts also live on the product page) → </w:t>
      </w:r>
      <w:hyperlink r:id="rId10">
        <w:r>
          <w:rPr>
            <w:color w:val="0563C1"/>
            <w:u w:val="single"/>
          </w:rPr>
          <w:t>https://www.serention.com/product.html?slug=auto-subprime</w:t>
        </w:r>
      </w:hyperlink>
    </w:p>
    <w:p>
      <w:r>
        <w:rPr>
          <w:b/>
        </w:rPr>
        <w:t xml:space="preserve">SHOW: </w:t>
      </w:r>
      <w:r>
        <w:t>methods.html — the 4-line comparison chart (z-score &amp; PCA dotted; cash net yield solid).</w:t>
      </w:r>
    </w:p>
    <w:p>
      <w:r>
        <w:t>Here's the index built four ways: the z-score average and a PCA variant — dotted — sit on the left axis; the cash net yield, our chosen tradeable index, is the solid violet line on the right. You can see how the carry compresses as losses rise and spiked during COVID when stimulus crushed defaults. Everything's computed off the loan tapes and persisted, so it refreshes instantly.</w:t>
      </w:r>
    </w:p>
    <w:p>
      <w:pPr>
        <w:pStyle w:val="Heading1"/>
      </w:pPr>
      <w:r>
        <w:t>(c) The backtest module</w:t>
      </w:r>
    </w:p>
    <w:p>
      <w:r>
        <w:rPr>
          <w:b/>
          <w:color w:val="888888"/>
        </w:rPr>
        <w:t>1:35–2:10  (~35s)</w:t>
      </w:r>
    </w:p>
    <w:p>
      <w:r>
        <w:rPr>
          <w:b/>
        </w:rPr>
        <w:t>📺 ON SCREEN — open these:</w:t>
      </w:r>
    </w:p>
    <w:p>
      <w:pPr>
        <w:pStyle w:val="ListBullet"/>
      </w:pPr>
      <w:r>
        <w:rPr>
          <w:b w:val="0"/>
        </w:rPr>
        <w:t xml:space="preserve">Backtest → </w:t>
      </w:r>
      <w:hyperlink r:id="rId12">
        <w:r>
          <w:rPr>
            <w:color w:val="0563C1"/>
            <w:u w:val="single"/>
          </w:rPr>
          <w:t>https://www.serention.com/backtest.html</w:t>
        </w:r>
      </w:hyperlink>
    </w:p>
    <w:p>
      <w:r>
        <w:rPr>
          <w:b/>
        </w:rPr>
        <w:t xml:space="preserve">SHOW: </w:t>
      </w:r>
      <w:r>
        <w:t>backtest.html — select "Net yield – cash", entry 2022-01, exit latest, $100k notional, hit Run.</w:t>
      </w:r>
    </w:p>
    <w:p>
      <w:r>
        <w:t>The backtest simulates a margined, cash-settled position on the index — entirely client-side. Pick the net-yield index, a window, notional, and margin terms. It marks to market monthly, applies maintenance margin and top-ups, and shows PnL, IRR, and the index path for both long and short. This is how a desk sizes a hedge before ever touching a contract.</w:t>
      </w:r>
    </w:p>
    <w:p>
      <w:pPr>
        <w:pStyle w:val="Heading1"/>
      </w:pPr>
      <w:r>
        <w:t>(d) The on-chain derivative — Sepolia, Chainlink, Canton</w:t>
      </w:r>
    </w:p>
    <w:p>
      <w:r>
        <w:rPr>
          <w:b/>
          <w:color w:val="888888"/>
        </w:rPr>
        <w:t>2:10–3:10  (~60s)</w:t>
      </w:r>
    </w:p>
    <w:p>
      <w:r>
        <w:rPr>
          <w:b/>
        </w:rPr>
        <w:t>📺 ON SCREEN — open these:</w:t>
      </w:r>
    </w:p>
    <w:p>
      <w:pPr>
        <w:pStyle w:val="ListBullet"/>
      </w:pPr>
      <w:r>
        <w:rPr>
          <w:b w:val="0"/>
        </w:rPr>
        <w:t xml:space="preserve">Trade (testnet dapp) → </w:t>
      </w:r>
      <w:hyperlink r:id="rId13">
        <w:r>
          <w:rPr>
            <w:color w:val="0563C1"/>
            <w:u w:val="single"/>
          </w:rPr>
          <w:t>https://www.serention.com/trade.html</w:t>
        </w:r>
      </w:hyperlink>
    </w:p>
    <w:p>
      <w:pPr>
        <w:pStyle w:val="ListBullet"/>
      </w:pPr>
      <w:r>
        <w:rPr>
          <w:b w:val="0"/>
        </w:rPr>
        <w:t xml:space="preserve">SerentionIndexOracle on Sepolia Etherscan → </w:t>
      </w:r>
      <w:hyperlink r:id="rId14">
        <w:r>
          <w:rPr>
            <w:color w:val="0563C1"/>
            <w:u w:val="single"/>
          </w:rPr>
          <w:t>https://sepolia.etherscan.io/address/0x99e3Eee494164F28781cDF8612bce410CaBA0826</w:t>
        </w:r>
      </w:hyperlink>
    </w:p>
    <w:p>
      <w:pPr>
        <w:pStyle w:val="ListBullet"/>
      </w:pPr>
      <w:r>
        <w:rPr>
          <w:b w:val="0"/>
        </w:rPr>
        <w:t xml:space="preserve">MarginedIndex on Sepolia Etherscan → </w:t>
      </w:r>
      <w:hyperlink r:id="rId15">
        <w:r>
          <w:rPr>
            <w:color w:val="0563C1"/>
            <w:u w:val="single"/>
          </w:rPr>
          <w:t>https://sepolia.etherscan.io/address/0x59Ef5b42A2E080Bfd317c0AE32b9e902e100F914</w:t>
        </w:r>
      </w:hyperlink>
    </w:p>
    <w:p>
      <w:pPr>
        <w:pStyle w:val="ListBullet"/>
      </w:pPr>
      <w:r>
        <w:rPr>
          <w:b w:val="0"/>
        </w:rPr>
        <w:t xml:space="preserve">Canton / Daml source (GitHub) → </w:t>
      </w:r>
      <w:hyperlink r:id="rId16">
        <w:r>
          <w:rPr>
            <w:color w:val="0563C1"/>
            <w:u w:val="single"/>
          </w:rPr>
          <w:t>https://github.com/jellysky/finance-abs-ee/blob/b471e934b752c00a835da271482eb688de1df5f0/canton/daml/Serention/MarginedIndex.daml</w:t>
        </w:r>
      </w:hyperlink>
    </w:p>
    <w:p>
      <w:pPr>
        <w:pStyle w:val="ListBullet"/>
      </w:pPr>
      <w:r>
        <w:t>(terminal) run:  cd canton &amp;&amp; daml test   — show all tests green</w:t>
      </w:r>
    </w:p>
    <w:p>
      <w:r>
        <w:rPr>
          <w:b/>
        </w:rPr>
        <w:t xml:space="preserve">SHOW: </w:t>
      </w:r>
      <w:r>
        <w:t>trade.html connected on Sepolia → "Index price" KPI; then the oracle on Etherscan; then a terminal with daml test green + the Position.daml template.</w:t>
      </w:r>
    </w:p>
    <w:p>
      <w:r>
        <w:t>On Ethereum Sepolia we deployed the full stack in Solidity with Foundry: a mock-USDC collateral token, a margined total-return derivative, and an oracle. The derivative reads a Chainlink AggregatorV3Interface-standard oracle — the exact interface a real Chainlink feed uses — so it's drop-in swappable. An off-chain pusher posts the net-yield level on-chain.</w:t>
      </w:r>
    </w:p>
    <w:p>
      <w:r>
        <w:t>Full transparency: here's the oracle on Etherscan with the live net-yield update. One honest note — we built a Chainlink Functions consumer to fetch the index via the decentralized oracle network, but Chainlink sunset Functions on testnet on June 2nd, mid-hackathon — so today it's an authenticated pusher behind that same Chainlink interface, with Chainlink CRE as the mainnet path.</w:t>
      </w:r>
    </w:p>
    <w:p>
      <w:r>
        <w:t>We also built a Canton / Daml version for institutions, where privacy is the point: a position is visible only to its trader and the operator — rival desks see nothing. It runs and passes tests on a local Canton ledger. To be clear, it's not on a public Canton testnet — Canton requires a sponsored validator node — so the proof is the passing Daml tests, including the privacy test, not a block explorer.</w:t>
      </w:r>
    </w:p>
    <w:p>
      <w:pPr>
        <w:pStyle w:val="Heading1"/>
      </w:pPr>
      <w:r>
        <w:t>(e) Tech stack — idea vs. build</w:t>
      </w:r>
    </w:p>
    <w:p>
      <w:r>
        <w:rPr>
          <w:b/>
          <w:color w:val="888888"/>
        </w:rPr>
        <w:t>3:10–3:50  (~40s)</w:t>
      </w:r>
    </w:p>
    <w:p>
      <w:r>
        <w:rPr>
          <w:b/>
        </w:rPr>
        <w:t>📺 ON SCREEN — open these:</w:t>
      </w:r>
    </w:p>
    <w:p>
      <w:pPr>
        <w:pStyle w:val="ListBullet"/>
      </w:pPr>
      <w:r>
        <w:rPr>
          <w:b w:val="0"/>
        </w:rPr>
        <w:t xml:space="preserve">GitHub repo → </w:t>
      </w:r>
      <w:hyperlink r:id="rId17">
        <w:r>
          <w:rPr>
            <w:color w:val="0563C1"/>
            <w:u w:val="single"/>
          </w:rPr>
          <w:t>https://github.com/jellysky/finance-abs-ee</w:t>
        </w:r>
      </w:hyperlink>
    </w:p>
    <w:p>
      <w:r>
        <w:rPr>
          <w:b/>
        </w:rPr>
        <w:t xml:space="preserve">SHOW: </w:t>
      </w:r>
      <w:r>
        <w:t>A simple stack diagram — ABS-EE tapes → Supabase → index → site / Sepolia / Canton.</w:t>
      </w:r>
    </w:p>
    <w:p>
      <w:r>
        <w:t>The stack: SEC ABS-EE tapes → a Python pipeline → Supabase Postgres for 33 million loan-months → the index → a Vercel static site, a Sepolia Solidity derivative behind a Chainlink oracle, and a Canton/Daml privacy build. The division of labor: I brought the idea and the methodology — the structured-finance domain, the index design, the net-yield economics. Claude Code built the implementation: the data pipeline, the website, and the smart contracts. That partnership took it from a thesis to a working, on-chain product in days.</w:t>
      </w:r>
    </w:p>
    <w:p>
      <w:pPr>
        <w:pStyle w:val="Heading1"/>
      </w:pPr>
      <w:r>
        <w:t>Production notes</w:t>
      </w:r>
    </w:p>
    <w:p>
      <w:pPr>
        <w:pStyle w:val="ListBullet"/>
      </w:pPr>
      <w:r>
        <w:t>All pages are LIVE on serention.com (purple/teal branding, net-yield index, methods comparison, new Sepolia addresses).</w:t>
      </w:r>
    </w:p>
    <w:p>
      <w:pPr>
        <w:pStyle w:val="ListBullet"/>
      </w:pPr>
      <w:r>
        <w:t>Canton has no public webpage/block explorer (local sandbox only). Best Canton visual = terminal with `daml test` all-green + the Position.daml source linked above.</w:t>
      </w:r>
    </w:p>
    <w:p>
      <w:pPr>
        <w:pStyle w:val="ListBullet"/>
      </w:pPr>
      <w:r>
        <w:t>Sepolia addresses — MockUSDC 0x2A79d10E87ac92a185117ED2C0922d056421a06b · Oracle 0x99e3Eee494164F28781cDF8612bce410CaBA0826 · MarginedIndex 0x59Ef5b42A2E080Bfd317c0AE32b9e902e100F914 · FunctionsFeeder 0x9f37Eb792b60E89465B7b545fe770c591646755b.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erention.com/" TargetMode="External"/><Relationship Id="rId10" Type="http://schemas.openxmlformats.org/officeDocument/2006/relationships/hyperlink" Target="https://www.serention.com/product.html?slug=auto-subprime" TargetMode="External"/><Relationship Id="rId11" Type="http://schemas.openxmlformats.org/officeDocument/2006/relationships/hyperlink" Target="https://www.serention.com/methods.html" TargetMode="External"/><Relationship Id="rId12" Type="http://schemas.openxmlformats.org/officeDocument/2006/relationships/hyperlink" Target="https://www.serention.com/backtest.html" TargetMode="External"/><Relationship Id="rId13" Type="http://schemas.openxmlformats.org/officeDocument/2006/relationships/hyperlink" Target="https://www.serention.com/trade.html" TargetMode="External"/><Relationship Id="rId14" Type="http://schemas.openxmlformats.org/officeDocument/2006/relationships/hyperlink" Target="https://sepolia.etherscan.io/address/0x99e3Eee494164F28781cDF8612bce410CaBA0826" TargetMode="External"/><Relationship Id="rId15" Type="http://schemas.openxmlformats.org/officeDocument/2006/relationships/hyperlink" Target="https://sepolia.etherscan.io/address/0x59Ef5b42A2E080Bfd317c0AE32b9e902e100F914" TargetMode="External"/><Relationship Id="rId16" Type="http://schemas.openxmlformats.org/officeDocument/2006/relationships/hyperlink" Target="https://github.com/jellysky/finance-abs-ee/blob/b471e934b752c00a835da271482eb688de1df5f0/canton/daml/Serention/MarginedIndex.daml" TargetMode="External"/><Relationship Id="rId17" Type="http://schemas.openxmlformats.org/officeDocument/2006/relationships/hyperlink" Target="https://github.com/jellysky/finance-abs-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