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8B1A1A"/>
          <w:sz w:val="48"/>
        </w:rPr>
        <w:t>Subprime Auto Credit Index</w:t>
      </w:r>
    </w:p>
    <w:p>
      <w:r>
        <w:rPr>
          <w:i/>
          <w:sz w:val="24"/>
        </w:rPr>
        <w:t>Project Overview — construction, mechanics, and a path to an on-chain test market</w:t>
      </w:r>
    </w:p>
    <w:p>
      <w:r>
        <w:rPr>
          <w:color w:val="606060"/>
          <w:sz w:val="18"/>
        </w:rPr>
        <w:t>Rivet  ·  Internal project memo  ·  June 2026</w:t>
      </w:r>
    </w:p>
    <w:p/>
    <w:p>
      <w:pPr>
        <w:pStyle w:val="Heading1"/>
      </w:pPr>
      <w:r>
        <w:rPr>
          <w:color w:val="8B1A1A"/>
        </w:rPr>
        <w:t>Executive Summary</w:t>
      </w:r>
    </w:p>
    <w:p>
      <w:r>
        <w:t>This project builds a monthly credit-deterioration index for U.S. subprime auto loans, computed directly from SEC asset-level (ABS-EE) disclosures. Unlike published delinquency statistics, which are aggregated and lagged, the index is derived from the loan-level cashflows of the actual securitized pools — several million individual subprime auto loans reported every month. The headline mark is a normalized stress signal that sits near zero in normal conditions and rises as the subprime consumer deteriorates. Because the index is a deterministic, fully reproducible function of public data, it is unusually well suited to on-chain settlement: any party can recompute and verify it, which is exactly the property a decentralized oracle requires. The remainder of this memo describes what the underlying data is, how the universe and the marks are constructed, how faithfully the index tracks subprime consumer credit, and how it could be traded via a smart contract — closing with the institutions most likely to take the other side of a first test trade.</w:t>
      </w:r>
    </w:p>
    <w:p>
      <w:pPr>
        <w:pStyle w:val="Heading1"/>
      </w:pPr>
      <w:r>
        <w:rPr>
          <w:color w:val="8B1A1A"/>
        </w:rPr>
        <w:t>1.  ABS-EE Files — What They Are</w:t>
      </w:r>
    </w:p>
    <w:p>
      <w:r>
        <w:t>ABS-EE (“Asset-Backed Securities – Electronic Exhibits”) is the SEC form that carries asset-level disclosure for publicly registered securitizations, mandated by Regulation AB II. Since required compliance in late 2016, issuers of public ABS backed by auto loans, auto leases, residential and commercial mortgages, and debt securities must file, every reporting period, a standardized record for every individual asset in the pool.</w:t>
      </w:r>
    </w:p>
    <w:p>
      <w:pPr>
        <w:pStyle w:val="ListBullet"/>
      </w:pPr>
      <w:r>
        <w:rPr>
          <w:b/>
        </w:rPr>
        <w:t xml:space="preserve">Granularity. </w:t>
      </w:r>
      <w:r>
        <w:t>The data lives in the EX-102 exhibit as XML conforming to the EDGAR ABS XML Technical Specification — one row per loan per month, with ~70+ standardized fields per row. For autos these span origination characteristics (obligor FICO, APR, original term, LTV, vehicle make/model/year, geography, income/employment verification) and monthly performance (scheduled vs. actual principal and interest, current delinquency status, charged-off principal, recoveries, repossession proceeds, modifications, and zero-balance / payoff codes).</w:t>
      </w:r>
    </w:p>
    <w:p>
      <w:pPr>
        <w:pStyle w:val="ListBullet"/>
      </w:pPr>
      <w:r>
        <w:rPr>
          <w:b/>
        </w:rPr>
        <w:t xml:space="preserve">Why it matters. </w:t>
      </w:r>
      <w:r>
        <w:t>This is the rawest, most granular public credit data that exists. Most credit indicators are pool- or survey-aggregated; ABS-EE is the loan tape itself. It is timelier and finer than the New York Fed’s household-debt series, and — critically — it is public, so an index built on it carries no proprietary-data licensing constraints.</w:t>
      </w:r>
    </w:p>
    <w:p>
      <w:pPr>
        <w:pStyle w:val="ListBullet"/>
      </w:pPr>
      <w:r>
        <w:rPr>
          <w:b/>
        </w:rPr>
        <w:t xml:space="preserve">Timing. </w:t>
      </w:r>
      <w:r>
        <w:t>Filings land roughly 15–25 days after each monthly reporting period, so the index for month M is computable in late month M+1. Subprime auto issuers filing ABS-EE include Santander, GM Financial / AmeriCredit, Exeter, DriveTime / Bridgecrest, and Carvana.</w:t>
      </w:r>
    </w:p>
    <w:p>
      <w:pPr>
        <w:pStyle w:val="ListBullet"/>
      </w:pPr>
      <w:r>
        <w:rPr>
          <w:b/>
        </w:rPr>
        <w:t xml:space="preserve">This project’s pipeline. </w:t>
      </w:r>
      <w:r>
        <w:t>A downloader pulls EX-102 XML from EDGAR full-text search; parser modules clean and normalize the tape (reconciling balance walks, splitting consumer vs. commercial scores, deriving delinquency state, age, LTV, net losses, and prepayments); the reporting layer produces the per-loan / per-month frame the index consumes.</w:t>
      </w:r>
    </w:p>
    <w:p>
      <w:pPr>
        <w:pStyle w:val="Heading1"/>
      </w:pPr>
      <w:r>
        <w:rPr>
          <w:color w:val="8B1A1A"/>
        </w:rPr>
        <w:t>2.  Index Construction — What Loans Are Included</w:t>
      </w:r>
    </w:p>
    <w:p>
      <w:r>
        <w:t>The constituent universe is defined by a rule rather than a hand-picked list, so it self-updates as new subprime trusts begin filing and old ones amortize away. A securitization is included when it satisfies all of:</w:t>
      </w:r>
    </w:p>
    <w:p>
      <w:pPr>
        <w:pStyle w:val="ListBullet"/>
      </w:pPr>
      <w:r>
        <w:rPr>
          <w:b/>
        </w:rPr>
        <w:t xml:space="preserve">Asset class. </w:t>
      </w:r>
      <w:r>
        <w:t>Auto loans only (leases are excluded from v1 because their residual-value risk is a different exposure from consumer credit).</w:t>
      </w:r>
    </w:p>
    <w:p>
      <w:pPr>
        <w:pStyle w:val="ListBullet"/>
      </w:pPr>
      <w:r>
        <w:rPr>
          <w:b/>
        </w:rPr>
        <w:t xml:space="preserve">Credit profile. </w:t>
      </w:r>
      <w:r>
        <w:t>Weighted-average issuance consumer FICO below 640 — the conventional subprime line. (620 would isolate deep subprime; 660 would bleed into near-prime. 640 maximizes the subprime signal-to-noise.)</w:t>
      </w:r>
    </w:p>
    <w:p>
      <w:pPr>
        <w:pStyle w:val="ListBullet"/>
      </w:pPr>
      <w:r>
        <w:rPr>
          <w:b/>
        </w:rPr>
        <w:t xml:space="preserve">Size. </w:t>
      </w:r>
      <w:r>
        <w:t>Original pool greater than $200 million, so small, idiosyncratic deals can’t dominate the signal.</w:t>
      </w:r>
    </w:p>
    <w:p>
      <w:r>
        <w:t>Current qualifying shelves include Santander Drive Auto Receivables Trust, AmeriCredit Automobile Receivables Trust (GM Financial subprime), Exeter Automobile Receivables Trust, Bridgecrest Lending Auto Securitization Trust (DriveTime), and the Carvana Auto Receivables Trust N-series. The set is derived from the data, not coded in.</w:t>
      </w:r>
    </w:p>
    <w:p>
      <w:pPr>
        <w:pStyle w:val="ListBullet"/>
      </w:pPr>
      <w:r>
        <w:rPr>
          <w:b/>
        </w:rPr>
        <w:t xml:space="preserve">Survivorship control. </w:t>
      </w:r>
      <w:r>
        <w:t>Each securitized pool is static — it only shrinks. An aging deal looks worse purely from selection, because the good loans prepay and the weak ones remain. To prevent this from masquerading as market deterioration, a trust leaves the universe once its outstanding balance falls below 10% of its original size.</w:t>
      </w:r>
    </w:p>
    <w:p>
      <w:pPr>
        <w:pStyle w:val="ListBullet"/>
      </w:pPr>
      <w:r>
        <w:rPr>
          <w:b/>
        </w:rPr>
        <w:t xml:space="preserve">Pooling. </w:t>
      </w:r>
      <w:r>
        <w:t>Deal boundaries are dissolved: the index is computed on the merged underlying loan universe, balance-weighted by current outstanding. Equal-weighting deals of different ages would inject seasoning bias; original-issuance weighting would freeze constituent influence at launch. Current-balance weighting is the right default for a deterioration signal.</w:t>
      </w:r>
    </w:p>
    <w:p>
      <w:pPr>
        <w:pStyle w:val="Heading1"/>
      </w:pPr>
      <w:r>
        <w:rPr>
          <w:color w:val="8B1A1A"/>
        </w:rPr>
        <w:t>3.  Index Mechanics — How the Marks Are Calculated</w:t>
      </w:r>
    </w:p>
    <w:p>
      <w:r>
        <w:t>The index is built in two layers so each can be validated independently.</w:t>
      </w:r>
    </w:p>
    <w:p>
      <w:pPr>
        <w:pStyle w:val="Heading2"/>
      </w:pPr>
      <w:r>
        <w:rPr>
          <w:color w:val="8B1A1A"/>
        </w:rPr>
        <w:t>Performance layer (loan-level pooled)</w:t>
      </w:r>
    </w:p>
    <w:p>
      <w:r>
        <w:t>Five components are computed every month on the pooled loan universe, mixing leading and lagging signals so the index does not over-react to any one measure:</w:t>
      </w:r>
    </w:p>
    <w:p>
      <w:pPr>
        <w:pStyle w:val="ListBullet"/>
      </w:pPr>
      <w:r>
        <w:rPr>
          <w:b/>
        </w:rPr>
        <w:t xml:space="preserve">30+ and 60+ DPD balance share — </w:t>
      </w:r>
      <w:r>
        <w:t>the standard stock measures of delinquency (leading / headline).</w:t>
      </w:r>
    </w:p>
    <w:p>
      <w:pPr>
        <w:pStyle w:val="ListBullet"/>
      </w:pPr>
      <w:r>
        <w:rPr>
          <w:b/>
        </w:rPr>
        <w:t xml:space="preserve">Current→30 monthly roll rate — </w:t>
      </w:r>
      <w:r>
        <w:t>the share of currently-performing balance that rolls into 30-day delinquency the following month. This is the highest-value, most-leading component: it measures the flow into trouble, not the accumulated stock, and it turns before the level measures do.</w:t>
      </w:r>
    </w:p>
    <w:p>
      <w:pPr>
        <w:pStyle w:val="ListBullet"/>
      </w:pPr>
      <w:r>
        <w:rPr>
          <w:b/>
        </w:rPr>
        <w:t xml:space="preserve">Annualized net loss rate — </w:t>
      </w:r>
      <w:r>
        <w:t>charge-offs net of recoveries, annualized on the beginning pool balance (coincident; the dollars actually lost).</w:t>
      </w:r>
    </w:p>
    <w:p>
      <w:pPr>
        <w:pStyle w:val="ListBullet"/>
      </w:pPr>
      <w:r>
        <w:rPr>
          <w:b/>
        </w:rPr>
        <w:t xml:space="preserve">Recovery rate — </w:t>
      </w:r>
      <w:r>
        <w:t>recoveries divided by charge-offs, a read on loss severity / LGD direction.</w:t>
      </w:r>
    </w:p>
    <w:p>
      <w:r>
        <w:t>Pooling is exact rather than an average of ratios: for each component, the dollar numerator and denominator are summed across all live trusts in the month and then divided — algebraically identical to recomputing the metric on the combined loan pool.</w:t>
      </w:r>
    </w:p>
    <w:p>
      <w:pPr>
        <w:pStyle w:val="Heading2"/>
      </w:pPr>
      <w:r>
        <w:rPr>
          <w:color w:val="8B1A1A"/>
        </w:rPr>
        <w:t>Stress layer (the headline mark)</w:t>
      </w:r>
    </w:p>
    <w:p>
      <w:r>
        <w:t>The performance components run at structurally different levels (subprime auto loses 5–7% a year even in good times), so a raw level is not actionable. Each component is therefore converted to a rolling 24-month Z-score against its own trailing baseline (causal; a minimum 12-month window is required before any month is scored), clamped at ±3σ so a single outlier month cannot blow up the level, and oriented so that higher always means worse — the recovery-rate score is sign-flipped, since falling recoveries are deterioration. The component Z-scores are combined by inverse-volatility weighting (so a noisy metric doesn’t dominate) into a single composite. The result hovers near zero in normal periods and spikes positive when subprime auto is deteriorating — conceptually a VIX for subprime consumer credit.</w:t>
      </w:r>
    </w:p>
    <w:p>
      <w:pPr>
        <w:pStyle w:val="ListBullet"/>
      </w:pPr>
      <w:r>
        <w:rPr>
          <w:b/>
        </w:rPr>
        <w:t xml:space="preserve">COVID handling. </w:t>
      </w:r>
      <w:r>
        <w:t>The April–December 2020 forbearance window is a structural break, not a market signal. It is flagged (and shaded on charts) but kept in the baseline, so it remains visible and can be excluded per analysis rather than silently dropped or interpolated.</w:t>
      </w:r>
    </w:p>
    <w:p>
      <w:pPr>
        <w:pStyle w:val="ListBullet"/>
      </w:pPr>
      <w:r>
        <w:rPr>
          <w:b/>
        </w:rPr>
        <w:t xml:space="preserve">Cadence and robustness. </w:t>
      </w:r>
      <w:r>
        <w:t>Marks are monthly, published ~late M+1 with the filing lag. Servicers differ on when they charge off (90 vs. 120+ days); the roll-rate and delinquency components are insensitive to that policy choice, which is why they anchor the composite while the raw net-loss rate is treated with more caution.</w:t>
      </w:r>
    </w:p>
    <w:p>
      <w:pPr>
        <w:pStyle w:val="Heading1"/>
      </w:pPr>
      <w:r>
        <w:rPr>
          <w:color w:val="8B1A1A"/>
        </w:rPr>
        <w:t>4.  Index Relationship to Consumer Credit</w:t>
      </w:r>
    </w:p>
    <w:p>
      <w:r>
        <w:t>The index does not proxy subprime consumer credit — it is a direct measurement of it. Auto loans are an unusually clean window onto the subprime household: a car is typically the asset a subprime borrower most needs to keep (it secures access to work), so auto payment behavior tends to deteriorate early and visibly when household finances tighten, and it is reported monthly at the loan level.</w:t>
      </w:r>
    </w:p>
    <w:p>
      <w:pPr>
        <w:pStyle w:val="ListBullet"/>
      </w:pPr>
      <w:r>
        <w:rPr>
          <w:b/>
        </w:rPr>
        <w:t xml:space="preserve">Expected behavior. </w:t>
      </w:r>
      <w:r>
        <w:t>A faithful index should reproduce the Q2-2020 delinquency spike and the subsequent stimulus / accommodation-driven dip, and the steady secular rise in subprime auto delinquency through 2023–2024 as pandemic savings were exhausted and payments normalized higher.</w:t>
      </w:r>
    </w:p>
    <w:p>
      <w:pPr>
        <w:pStyle w:val="ListBullet"/>
      </w:pPr>
      <w:r>
        <w:rPr>
          <w:b/>
        </w:rPr>
        <w:t xml:space="preserve">It should lead, not coincide. </w:t>
      </w:r>
      <w:r>
        <w:t>Because the composite is anchored on the Current→30 roll rate — a flow measure — it should turn ahead of the stock-based delinquency levels that the New York Fed reports quarterly in its Household Debt and Credit Report. Loan-level monthly data is both finer and timelier than aggregate survey series.</w:t>
      </w:r>
    </w:p>
    <w:p>
      <w:pPr>
        <w:pStyle w:val="ListBullet"/>
      </w:pPr>
      <w:r>
        <w:rPr>
          <w:b/>
        </w:rPr>
        <w:t xml:space="preserve">Validation plan. </w:t>
      </w:r>
      <w:r>
        <w:t>Benchmark qualitatively and statistically against (i) the NY Fed subprime-auto delinquency-flow series — expect correlation with the index leading by one to two quarters; (ii) ICE BofA high-yield auto OAS and KBRA’s quarterly subprime-auto trend reports — expect positive correlation without collapsing to equivalence (the index carries idiosyncratic, name-level information those spreads do not).</w:t>
      </w:r>
    </w:p>
    <w:p>
      <w:pPr>
        <w:pStyle w:val="ListBullet"/>
      </w:pPr>
      <w:r>
        <w:rPr>
          <w:b/>
        </w:rPr>
        <w:t xml:space="preserve">Known limitations. </w:t>
      </w:r>
      <w:r>
        <w:t>ABS-EE history begins in 2016, so the baseline contains the 2020 shock but not the 2008–10 financial crisis; the reporting lag caps freshness at ~M+1; and the constituent set shifts as deals enter and amortize out, which the universe rule manages but does not eliminate.</w:t>
      </w:r>
    </w:p>
    <w:p>
      <w:pPr>
        <w:pStyle w:val="Heading1"/>
      </w:pPr>
      <w:r>
        <w:rPr>
          <w:color w:val="8B1A1A"/>
        </w:rPr>
        <w:t>5.  Affinity to DeFi and Smart Contracts</w:t>
      </w:r>
    </w:p>
    <w:p>
      <w:r>
        <w:t>The defining feature of this index for on-chain use is that it is a deterministic function of public inputs. The source data (EX-102 filings on EDGAR) and the calculation are both open, so any participant can independently recompute the mark and verify it bit-for-bit. That removes the trust assumption that normally forces credit derivatives into a bilateral, dealer-intermediated, ISDA-governed structure.</w:t>
      </w:r>
    </w:p>
    <w:p>
      <w:pPr>
        <w:pStyle w:val="ListBullet"/>
      </w:pPr>
      <w:r>
        <w:rPr>
          <w:b/>
        </w:rPr>
        <w:t xml:space="preserve">Oracle. </w:t>
      </w:r>
      <w:r>
        <w:t>Publish the monthly composite (and its components) on-chain through a signed price feed or a Chainlink-style external adapter that runs the open-source calculator. Disputes can be resolved with an optimistic oracle (e.g. UMA): because the index is recomputable from public data, a challenge resolves deterministically against the reference implementation, rather than relying on a quorum’s opinion.</w:t>
      </w:r>
    </w:p>
    <w:p>
      <w:pPr>
        <w:pStyle w:val="ListBullet"/>
      </w:pPr>
      <w:r>
        <w:rPr>
          <w:b/>
        </w:rPr>
        <w:t xml:space="preserve">Instruments. </w:t>
      </w:r>
      <w:r>
        <w:t>A cash-settled, monthly-settled future or funding-rate perpetual on the index level is the natural primitive — going long expresses a deterioration / credit-protection view, going short expresses stability or improvement. On top of that, range and binary options (“stress &gt; 2σ by year-end”) and a collateralized synthetic token whose redemption tracks the index (minted against stablecoin collateral in a vault) extend the market to options and structured exposure.</w:t>
      </w:r>
    </w:p>
    <w:p>
      <w:pPr>
        <w:pStyle w:val="ListBullet"/>
      </w:pPr>
      <w:r>
        <w:rPr>
          <w:b/>
        </w:rPr>
        <w:t xml:space="preserve">Why monthly cadence fits. </w:t>
      </w:r>
      <w:r>
        <w:t>The index moves slowly and updates monthly, so a monthly-settled future or a low-frequency funding perp is a better match than a high-frequency perpetual — settlement aligns with the filing cycle, and funding can be tied to the realized monthly mark.</w:t>
      </w:r>
    </w:p>
    <w:p>
      <w:pPr>
        <w:pStyle w:val="ListBullet"/>
      </w:pPr>
      <w:r>
        <w:rPr>
          <w:b/>
        </w:rPr>
        <w:t xml:space="preserve">Precedent. </w:t>
      </w:r>
      <w:r>
        <w:t>This is the trustless analogue of the synthetic credit indices that traded subprime risk in TradFi — ABX.HE for subprime RMBS, CMBX for CRE — but settled on transparent public data and collateralized on-chain rather than intermediated by dealers. It lets a transparent, collateralized credit-risk-transfer market exist without the bilateral infrastructure that gates the cash ABS and CDS markets.</w:t>
      </w:r>
    </w:p>
    <w:p>
      <w:pPr>
        <w:pStyle w:val="Heading1"/>
      </w:pPr>
      <w:r>
        <w:rPr>
          <w:color w:val="8B1A1A"/>
        </w:rPr>
        <w:t>6.  Targeted Institutions for a Test Trade</w:t>
      </w:r>
    </w:p>
    <w:p>
      <w:r>
        <w:t>A two-sided test market needs a natural hedger (buys protection / goes long deterioration) and a natural yield-seeker (sells protection / goes short).</w:t>
      </w:r>
    </w:p>
    <w:p>
      <w:pPr>
        <w:pStyle w:val="Heading2"/>
      </w:pPr>
      <w:r>
        <w:rPr>
          <w:color w:val="8B1A1A"/>
        </w:rPr>
        <w:t>Natural protection buyers (long the index)</w:t>
      </w:r>
    </w:p>
    <w:p>
      <w:pPr>
        <w:pStyle w:val="ListBullet"/>
      </w:pPr>
      <w:r>
        <w:rPr>
          <w:b/>
        </w:rPr>
        <w:t xml:space="preserve">Subprime auto lenders and issuers — </w:t>
      </w:r>
      <w:r>
        <w:t>Santander Consumer, GM Financial, Exeter, DriveTime, Carvana. They carry warehouse, residual, and securitization-pipeline exposure to exactly this risk and currently have no clean, liquid macro hedge for it.</w:t>
      </w:r>
    </w:p>
    <w:p>
      <w:pPr>
        <w:pStyle w:val="ListBullet"/>
      </w:pPr>
      <w:r>
        <w:rPr>
          <w:b/>
        </w:rPr>
        <w:t xml:space="preserve">ABS investors in subordinate / residual tranches — </w:t>
      </w:r>
      <w:r>
        <w:t>holders of the mezzanine and equity of subprime auto deals seeking to hedge mark-to-market without selling illiquid cash bonds.</w:t>
      </w:r>
    </w:p>
    <w:p>
      <w:pPr>
        <w:pStyle w:val="ListBullet"/>
      </w:pPr>
      <w:r>
        <w:rPr>
          <w:b/>
        </w:rPr>
        <w:t xml:space="preserve">Floorplan and dealer financiers — </w:t>
      </w:r>
      <w:r>
        <w:t>lenders with concentrated subprime borrower exposure on the consumer side.</w:t>
      </w:r>
    </w:p>
    <w:p>
      <w:pPr>
        <w:pStyle w:val="Heading2"/>
      </w:pPr>
      <w:r>
        <w:rPr>
          <w:color w:val="8B1A1A"/>
        </w:rPr>
        <w:t>Natural protection sellers (short the index)</w:t>
      </w:r>
    </w:p>
    <w:p>
      <w:pPr>
        <w:pStyle w:val="ListBullet"/>
      </w:pPr>
      <w:r>
        <w:rPr>
          <w:b/>
        </w:rPr>
        <w:t xml:space="preserve">Credit hedge funds and RV desks — </w:t>
      </w:r>
      <w:r>
        <w:t>a transparent, liquid way to express a constructive subprime-auto view or run relative value against cash ABS, without warehousing bonds.</w:t>
      </w:r>
    </w:p>
    <w:p>
      <w:pPr>
        <w:pStyle w:val="ListBullet"/>
      </w:pPr>
      <w:r>
        <w:rPr>
          <w:b/>
        </w:rPr>
        <w:t xml:space="preserve">DeFi-native credit and RWA protocols — </w:t>
      </w:r>
      <w:r>
        <w:t>on-chain credit desks and real-world-asset platforms seeking verifiable real-world credit exposure with data they can audit.</w:t>
      </w:r>
    </w:p>
    <w:p>
      <w:pPr>
        <w:pStyle w:val="Heading2"/>
      </w:pPr>
      <w:r>
        <w:rPr>
          <w:color w:val="8B1A1A"/>
        </w:rPr>
        <w:t>First test-trade candidates</w:t>
      </w:r>
    </w:p>
    <w:p>
      <w:r>
        <w:t>The fastest-moving counterparties pair a crypto-forward risk appetite with genuine exposure. A practical seed pairing: one subprime auto lender or ABS residual holder with a hedging mandate on the long side, against a crypto-native credit fund or RWA protocol on the short side; settled monthly through an optimistic oracle, sized small, with the open-source calculator as the agreed reference. Oracle and settlement tooling (UMA, Chainlink) and the RWA-credit venues (Maple, Centrifuge, and similar) are the natural infrastructure partners for the pilot.</w:t>
      </w:r>
    </w:p>
    <w:p>
      <w:pPr>
        <w:pStyle w:val="Heading1"/>
      </w:pPr>
      <w:r>
        <w:rPr>
          <w:color w:val="8B1A1A"/>
        </w:rPr>
        <w:t>Current Status</w:t>
      </w:r>
    </w:p>
    <w:p>
      <w:r>
        <w:t>The v1 index engine — universe construction, per-trust monthly metrics, loan-level pooling, and the rolling-Z stress layer — is implemented and unit-tested. The next milestone is acquiring the full subprime constituent history from EDGAR and running the empirical validation against the NY Fed and HY-auto-spread benchmarks described in Section 4, after which a small on-chain test market can be scoped.</w:t>
      </w:r>
    </w:p>
    <w:p>
      <w:r>
        <w:rPr>
          <w:i/>
          <w:color w:val="808080"/>
          <w:sz w:val="16"/>
        </w:rPr>
        <w:t>Internal working memo prepared for project planning. Not investment advice and not an offer to transact.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