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serention--index-methodology--products"/>
    <w:p>
      <w:pPr>
        <w:pStyle w:val="Heading1"/>
      </w:pPr>
      <w:r>
        <w:t xml:space="preserve">Serention — Index Methodology &amp; Products</w:t>
      </w:r>
    </w:p>
    <w:p>
      <w:pPr>
        <w:pStyle w:val="FirstParagraph"/>
      </w:pPr>
      <w:r>
        <w:t xml:space="preserve">Serention turns public, loan-level subprime-auto disclosures into a monthly credit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and a tradeable, on-chain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that settles to it. This document describes how the</w:t>
      </w:r>
      <w:r>
        <w:t xml:space="preserve"> </w:t>
      </w:r>
      <w:r>
        <w:t xml:space="preserve">index is built and what products reference it.</w:t>
      </w:r>
    </w:p>
    <w:p>
      <w:pPr>
        <w:pStyle w:val="BlockText"/>
      </w:pPr>
      <w:r>
        <w:t xml:space="preserve">Research signals derived from public SEC ABS-EE filings and public macro series. Provided for</w:t>
      </w:r>
      <w:r>
        <w:t xml:space="preserve"> </w:t>
      </w:r>
      <w:r>
        <w:t xml:space="preserve">informational purposes only — not investment advice, an offer, or a solicitation. The on-chain</w:t>
      </w:r>
      <w:r>
        <w:t xml:space="preserve"> </w:t>
      </w:r>
      <w:r>
        <w:t xml:space="preserve">contracts are an unaudited</w:t>
      </w:r>
      <w:r>
        <w:t xml:space="preserve"> </w:t>
      </w:r>
      <w:r>
        <w:rPr>
          <w:b/>
          <w:bCs/>
        </w:rPr>
        <w:t xml:space="preserve">testnet</w:t>
      </w:r>
      <w:r>
        <w:t xml:space="preserve"> </w:t>
      </w:r>
      <w:r>
        <w:t xml:space="preserve">proof-of-concept and are not for real funds.</w:t>
      </w:r>
    </w:p>
    <w:p>
      <w:r>
        <w:pict>
          <v:rect style="width:0;height:1.5pt" o:hralign="center" o:hrstd="t" o:hr="t"/>
        </w:pict>
      </w:r>
    </w:p>
    <w:bookmarkStart w:id="9" w:name="X0071f6cf44b7785b6bcfd55b243cd8e0353e601"/>
    <w:p>
      <w:pPr>
        <w:pStyle w:val="Heading2"/>
      </w:pPr>
      <w:r>
        <w:t xml:space="preserve">1. What the index measures</w:t>
      </w:r>
    </w:p>
    <w:p>
      <w:pPr>
        <w:pStyle w:val="FirstParagraph"/>
      </w:pPr>
      <w:r>
        <w:t xml:space="preserve">A monthly, loan-level measure of how subprime auto borrowers are actually paying — built straight</w:t>
      </w:r>
      <w:r>
        <w:t xml:space="preserve"> </w:t>
      </w:r>
      <w:r>
        <w:t xml:space="preserve">from securitization tapes, not survey data. The headline series is the</w:t>
      </w:r>
      <w:r>
        <w:t xml:space="preserve"> </w:t>
      </w:r>
      <w:r>
        <w:rPr>
          <w:b/>
          <w:bCs/>
        </w:rPr>
        <w:t xml:space="preserve">Net-Loss Index (NLI)</w:t>
      </w:r>
      <w:r>
        <w:t xml:space="preserve">, a</w:t>
      </w:r>
      <w:r>
        <w:t xml:space="preserve"> </w:t>
      </w:r>
      <w:r>
        <w:rPr>
          <w:i/>
          <w:iCs/>
        </w:rPr>
        <w:t xml:space="preserve">leading</w:t>
      </w:r>
      <w:r>
        <w:t xml:space="preserve"> </w:t>
      </w:r>
      <w:r>
        <w:t xml:space="preserve">loss rate that the Net-Loss Future settles against; alongside it we publish the raw</w:t>
      </w:r>
      <w:r>
        <w:t xml:space="preserve"> </w:t>
      </w:r>
      <w:r>
        <w:t xml:space="preserve">balance-weighted credit metrics (delinquency, net loss, recovery, net yield).</w:t>
      </w:r>
    </w:p>
    <w:bookmarkEnd w:id="9"/>
    <w:bookmarkStart w:id="10" w:name="X742f52c7047f89bfa62f05ff0f44e8c9e55bfee"/>
    <w:p>
      <w:pPr>
        <w:pStyle w:val="Heading2"/>
      </w:pPr>
      <w:r>
        <w:t xml:space="preserve">2. Data source &amp; pool construction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Source.</w:t>
      </w:r>
      <w:r>
        <w:t xml:space="preserve"> </w:t>
      </w:r>
      <w:r>
        <w:t xml:space="preserve">Loan-level</w:t>
      </w:r>
      <w:r>
        <w:t xml:space="preserve"> </w:t>
      </w:r>
      <w:r>
        <w:rPr>
          <w:b/>
          <w:bCs/>
        </w:rPr>
        <w:t xml:space="preserve">SEC ABS-EE</w:t>
      </w:r>
      <w:r>
        <w:t xml:space="preserve"> </w:t>
      </w:r>
      <w:r>
        <w:t xml:space="preserve">filings from subprime auto securitizations. Loaded to</w:t>
      </w:r>
      <w:r>
        <w:t xml:space="preserve"> </w:t>
      </w:r>
      <w:r>
        <w:t xml:space="preserve">Postgres (</w:t>
      </w:r>
      <w:r>
        <w:rPr>
          <w:rStyle w:val="VerbatimChar"/>
        </w:rPr>
        <w:t xml:space="preserve">abs.loan_months</w:t>
      </w:r>
      <w:r>
        <w:t xml:space="preserve">, ~33M loan-months) and flagged</w:t>
      </w:r>
      <w:r>
        <w:t xml:space="preserve"> </w:t>
      </w:r>
      <w:r>
        <w:rPr>
          <w:rStyle w:val="VerbatimChar"/>
        </w:rPr>
        <w:t xml:space="preserve">in_index</w:t>
      </w:r>
      <w:r>
        <w:t xml:space="preserve"> </w:t>
      </w:r>
      <w:r>
        <w:t xml:space="preserve">per the scope below.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Scope.</w:t>
      </w:r>
      <w:r>
        <w:t xml:space="preserve"> </w:t>
      </w:r>
      <w:r>
        <w:t xml:space="preserve">Deals whose balance-weighted issuance FICO is</w:t>
      </w:r>
      <w:r>
        <w:t xml:space="preserve"> </w:t>
      </w:r>
      <w:r>
        <w:rPr>
          <w:b/>
          <w:bCs/>
        </w:rPr>
        <w:t xml:space="preserve">below 640</w:t>
      </w:r>
      <w:r>
        <w:t xml:space="preserve"> </w:t>
      </w:r>
      <w:r>
        <w:t xml:space="preserve">and whose original pool</w:t>
      </w:r>
      <w:r>
        <w:t xml:space="preserve"> </w:t>
      </w:r>
      <w:r>
        <w:t xml:space="preserve">topped</w:t>
      </w:r>
      <w:r>
        <w:t xml:space="preserve"> </w:t>
      </w:r>
      <w:r>
        <w:rPr>
          <w:b/>
          <w:bCs/>
        </w:rPr>
        <w:t xml:space="preserve">$200M</w:t>
      </w:r>
      <w:r>
        <w:t xml:space="preserve">. Constituents are drawn from staggered</w:t>
      </w:r>
      <w:r>
        <w:t xml:space="preserve"> </w:t>
      </w:r>
      <w:r>
        <w:rPr>
          <w:b/>
          <w:bCs/>
        </w:rPr>
        <w:t xml:space="preserve">2017–2024+</w:t>
      </w:r>
      <w:r>
        <w:t xml:space="preserve"> </w:t>
      </w:r>
      <w:r>
        <w:t xml:space="preserve">vintages across the major</w:t>
      </w:r>
      <w:r>
        <w:t xml:space="preserve"> </w:t>
      </w:r>
      <w:r>
        <w:t xml:space="preserve">subprime shelves (Santander Drive, Exeter, AmeriCredit, Bridgecrest, Carvana). History runs back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December 2016</w:t>
      </w:r>
      <w:r>
        <w:t xml:space="preserve">; the live pool holds up to</w:t>
      </w:r>
      <w:r>
        <w:t xml:space="preserve"> </w:t>
      </w:r>
      <w:r>
        <w:rPr>
          <w:b/>
          <w:bCs/>
        </w:rPr>
        <w:t xml:space="preserve">~12 deals</w:t>
      </w:r>
      <w:r>
        <w:t xml:space="preserve"> </w:t>
      </w:r>
      <w:r>
        <w:t xml:space="preserve">at a time.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Handling seasoning.</w:t>
      </w:r>
      <w:r>
        <w:t xml:space="preserve"> </w:t>
      </w:r>
      <w:r>
        <w:t xml:space="preserve">Subprime losses follow a hump as a deal ages, which would otherwise</w:t>
      </w:r>
      <w:r>
        <w:t xml:space="preserve"> </w:t>
      </w:r>
      <w:r>
        <w:t xml:space="preserve">dominate the signal. Two controls:</w:t>
      </w:r>
    </w:p>
    <w:p>
      <w:pPr>
        <w:pStyle w:val="Compact"/>
        <w:numPr>
          <w:ilvl w:val="1"/>
          <w:numId w:val="1002"/>
        </w:numPr>
      </w:pPr>
      <w:r>
        <w:t xml:space="preserve">The index</w:t>
      </w:r>
      <w:r>
        <w:t xml:space="preserve"> </w:t>
      </w:r>
      <w:r>
        <w:rPr>
          <w:b/>
          <w:bCs/>
        </w:rPr>
        <w:t xml:space="preserve">pools loans across many deals of staggered vintages and balance-weights them</w:t>
      </w:r>
      <w:r>
        <w:t xml:space="preserve">, so</w:t>
      </w:r>
      <w:r>
        <w:t xml:space="preserve"> </w:t>
      </w:r>
      <w:r>
        <w:t xml:space="preserve">the blended pool age stays roughly flat and the level reflects credit, not any one deal's loss</w:t>
      </w:r>
      <w:r>
        <w:t xml:space="preserve"> </w:t>
      </w:r>
      <w:r>
        <w:t xml:space="preserve">curve.</w:t>
      </w:r>
    </w:p>
    <w:p>
      <w:pPr>
        <w:pStyle w:val="Compact"/>
        <w:numPr>
          <w:ilvl w:val="1"/>
          <w:numId w:val="1002"/>
        </w:numPr>
      </w:pPr>
      <w:r>
        <w:t xml:space="preserve">A deal</w:t>
      </w:r>
      <w:r>
        <w:t xml:space="preserve"> </w:t>
      </w:r>
      <w:r>
        <w:rPr>
          <w:b/>
          <w:bCs/>
        </w:rPr>
        <w:t xml:space="preserve">exits the pool once its balance falls below 10% of issuance</w:t>
      </w:r>
      <w:r>
        <w:t xml:space="preserve">, dropping the</w:t>
      </w:r>
      <w:r>
        <w:t xml:space="preserve"> </w:t>
      </w:r>
      <w:r>
        <w:t xml:space="preserve">surviving-bad-loan tail of a nearly paid-down deal.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Pooling a metric.</w:t>
      </w:r>
      <w:r>
        <w:t xml:space="preserve"> </w:t>
      </w:r>
      <w:r>
        <w:t xml:space="preserve">Every metric is computed by summing the numerator and denominator balances</w:t>
      </w:r>
      <w:r>
        <w:t xml:space="preserve"> </w:t>
      </w:r>
      <w:r>
        <w:t xml:space="preserve">across the live deals, then dividing — so large deals carry proportionally more weight. Example</w:t>
      </w:r>
      <w:r>
        <w:t xml:space="preserve"> </w:t>
      </w:r>
      <w:r>
        <w:t xml:space="preserve">(30+ DPD): pooled = Σ(30+ DPD balance) ÷ Σ(active balance).</w:t>
      </w:r>
    </w:p>
    <w:bookmarkEnd w:id="10"/>
    <w:bookmarkStart w:id="11" w:name="X5c64dab470b9475159170df4bc65098b02aaab3"/>
    <w:p>
      <w:pPr>
        <w:pStyle w:val="Heading2"/>
      </w:pPr>
      <w:r>
        <w:t xml:space="preserve">3. The Net-Loss Index (NLI) — the settlement reference</w:t>
      </w:r>
    </w:p>
    <w:p>
      <w:pPr>
        <w:pStyle w:val="FirstParagraph"/>
      </w:pPr>
      <w:r>
        <w:t xml:space="preserve">The NLI is the</w:t>
      </w:r>
      <w:r>
        <w:t xml:space="preserve"> </w:t>
      </w:r>
      <w:r>
        <w:rPr>
          <w:b/>
          <w:bCs/>
        </w:rPr>
        <w:t xml:space="preserve">gross annualized net-loss rate, recognized early</w:t>
      </w:r>
      <w:r>
        <w:t xml:space="preserve">. Two design choices make it a</w:t>
      </w:r>
      <w:r>
        <w:t xml:space="preserve"> </w:t>
      </w:r>
      <w:r>
        <w:rPr>
          <w:i/>
          <w:iCs/>
        </w:rPr>
        <w:t xml:space="preserve">leading</w:t>
      </w:r>
      <w:r>
        <w:t xml:space="preserve"> </w:t>
      </w:r>
      <w:r>
        <w:t xml:space="preserve">indicator of realized losses: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Recognize loss at the 90+ DPD pipeline, not at charge-off.</w:t>
      </w:r>
      <w:r>
        <w:t xml:space="preserve"> </w:t>
      </w:r>
      <w:r>
        <w:t xml:space="preserve">Booked charge-offs trail real</w:t>
      </w:r>
      <w:r>
        <w:t xml:space="preserve"> </w:t>
      </w:r>
      <w:r>
        <w:t xml:space="preserve">losses by ~a year (a loan typically sits at 120+ DPD ~13 months before the loss is booked).</w:t>
      </w:r>
      <w:r>
        <w:t xml:space="preserve"> </w:t>
      </w:r>
      <w:r>
        <w:t xml:space="preserve">Reading loss off the moment a loan</w:t>
      </w:r>
      <w:r>
        <w:t xml:space="preserve"> </w:t>
      </w:r>
      <w:r>
        <w:rPr>
          <w:b/>
          <w:bCs/>
        </w:rPr>
        <w:t xml:space="preserve">enters 90+ DPD</w:t>
      </w:r>
      <w:r>
        <w:t xml:space="preserve"> </w:t>
      </w:r>
      <w:r>
        <w:t xml:space="preserve">removes that lag.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Scale by the empirical roll-to-charge-off (~0.81).</w:t>
      </w:r>
      <w:r>
        <w:t xml:space="preserve"> </w:t>
      </w:r>
      <w:r>
        <w:t xml:space="preserve">From the transition matrix over ~33M</w:t>
      </w:r>
      <w:r>
        <w:t xml:space="preserve"> </w:t>
      </w:r>
      <w:r>
        <w:t xml:space="preserve">loan-months (</w:t>
      </w:r>
      <w:r>
        <w:rPr>
          <w:rStyle w:val="VerbatimChar"/>
        </w:rPr>
        <w:t xml:space="preserve">csv/roll_matrix.csv</w:t>
      </w:r>
      <w:r>
        <w:t xml:space="preserve">): ~</w:t>
      </w:r>
      <w:r>
        <w:rPr>
          <w:b/>
          <w:bCs/>
        </w:rPr>
        <w:t xml:space="preserve">81%</w:t>
      </w:r>
      <w:r>
        <w:t xml:space="preserve"> </w:t>
      </w:r>
      <w:r>
        <w:t xml:space="preserve">of loans that reach 90+ DPD eventually charge off</w:t>
      </w:r>
      <w:r>
        <w:t xml:space="preserve"> </w:t>
      </w:r>
      <w:r>
        <w:t xml:space="preserve">(~</w:t>
      </w:r>
      <w:r>
        <w:rPr>
          <w:b/>
          <w:bCs/>
        </w:rPr>
        <w:t xml:space="preserve">94%</w:t>
      </w:r>
      <w:r>
        <w:t xml:space="preserve"> </w:t>
      </w:r>
      <w:r>
        <w:t xml:space="preserve">by 120+ DPD). Scaling 90+ balances by 0.81 converts "entering 90+" into expected loss.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Recoveries excluded.</w:t>
      </w:r>
      <w:r>
        <w:t xml:space="preserve"> </w:t>
      </w:r>
      <w:r>
        <w:t xml:space="preserve">They arrive with a long, uncertain lag, so they are not netted.</w:t>
      </w:r>
    </w:p>
    <w:p>
      <w:pPr>
        <w:pStyle w:val="FirstParagraph"/>
      </w:pPr>
      <w:r>
        <w:rPr>
          <w:b/>
          <w:bCs/>
        </w:rPr>
        <w:t xml:space="preserve">Formula</w:t>
      </w:r>
      <w:r>
        <w:t xml:space="preserve"> </w:t>
      </w:r>
      <w:r>
        <w:t xml:space="preserve">(computed in</w:t>
      </w:r>
      <w:r>
        <w:t xml:space="preserve"> </w:t>
      </w:r>
      <w:r>
        <w:rPr>
          <w:rStyle w:val="VerbatimChar"/>
        </w:rPr>
        <w:t xml:space="preserve">web/build_nli.py</w:t>
      </w:r>
      <w:r>
        <w:t xml:space="preserve">, persisted to</w:t>
      </w:r>
      <w:r>
        <w:t xml:space="preserve"> </w:t>
      </w:r>
      <w:r>
        <w:rPr>
          <w:rStyle w:val="VerbatimChar"/>
        </w:rPr>
        <w:t xml:space="preserve">abs.nli_monthly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NLI_t (%/yr) = 100 × 12 × 0.81 × (balance entering 90+ DPD in month t) / (beginning pool balance)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× 12</w:t>
      </w:r>
      <w:r>
        <w:t xml:space="preserve"> </w:t>
      </w:r>
      <w:r>
        <w:t xml:space="preserve">annualizes the monthly flow;</w:t>
      </w:r>
      <w:r>
        <w:t xml:space="preserve"> </w:t>
      </w:r>
      <w:r>
        <w:rPr>
          <w:rStyle w:val="VerbatimChar"/>
        </w:rPr>
        <w:t xml:space="preserve">× 0.81</w:t>
      </w:r>
      <w:r>
        <w:t xml:space="preserve"> </w:t>
      </w:r>
      <w:r>
        <w:t xml:space="preserve">is the roll factor;</w:t>
      </w:r>
      <w:r>
        <w:t xml:space="preserve"> </w:t>
      </w:r>
      <w:r>
        <w:rPr>
          <w:rStyle w:val="VerbatimChar"/>
        </w:rPr>
        <w:t xml:space="preserve">× 100</w:t>
      </w:r>
      <w:r>
        <w:t xml:space="preserve"> </w:t>
      </w:r>
      <w:r>
        <w:t xml:space="preserve">expresses it as a percent.</w:t>
      </w:r>
    </w:p>
    <w:p>
      <w:pPr>
        <w:pStyle w:val="Compact"/>
        <w:numPr>
          <w:ilvl w:val="0"/>
          <w:numId w:val="1004"/>
        </w:numPr>
      </w:pPr>
      <w:r>
        <w:t xml:space="preserve">"Entering 90+ DPD" = a loan at ≥90 DPD this month that was below 90 (or absent) in the prior</w:t>
      </w:r>
      <w:r>
        <w:t xml:space="preserve"> </w:t>
      </w:r>
      <w:r>
        <w:t xml:space="preserve">consecutive month — i.e. a</w:t>
      </w:r>
      <w:r>
        <w:t xml:space="preserve"> </w:t>
      </w:r>
      <w:r>
        <w:rPr>
          <w:i/>
          <w:iCs/>
        </w:rPr>
        <w:t xml:space="preserve">new</w:t>
      </w:r>
      <w:r>
        <w:t xml:space="preserve"> </w:t>
      </w:r>
      <w:r>
        <w:t xml:space="preserve">entrant, not a stock.</w:t>
      </w:r>
    </w:p>
    <w:p>
      <w:pPr>
        <w:pStyle w:val="Compact"/>
        <w:numPr>
          <w:ilvl w:val="0"/>
          <w:numId w:val="1004"/>
        </w:numPr>
      </w:pPr>
      <w:r>
        <w:t xml:space="preserve">Output:</w:t>
      </w:r>
      <w:r>
        <w:t xml:space="preserve"> </w:t>
      </w:r>
      <w:r>
        <w:rPr>
          <w:rStyle w:val="VerbatimChar"/>
        </w:rPr>
        <w:t xml:space="preserve">web/data/nli.json</w:t>
      </w:r>
      <w:r>
        <w:t xml:space="preserve"> </w:t>
      </w:r>
      <w:r>
        <w:t xml:space="preserve">(+</w:t>
      </w:r>
      <w:r>
        <w:t xml:space="preserve"> </w:t>
      </w:r>
      <w:r>
        <w:rPr>
          <w:rStyle w:val="VerbatimChar"/>
        </w:rPr>
        <w:t xml:space="preserve">csv/nli_monthly.csv</w:t>
      </w:r>
      <w:r>
        <w:t xml:space="preserve">). 113 months back to Dec 2016; latest read</w:t>
      </w:r>
      <w:r>
        <w:t xml:space="preserve"> </w:t>
      </w:r>
      <w:r>
        <w:t xml:space="preserve">(Apr 2026) ≈</w:t>
      </w:r>
      <w:r>
        <w:t xml:space="preserve"> </w:t>
      </w:r>
      <w:r>
        <w:rPr>
          <w:b/>
          <w:bCs/>
        </w:rPr>
        <w:t xml:space="preserve">13.3%/yr</w:t>
      </w:r>
      <w:r>
        <w:t xml:space="preserve">.</w:t>
      </w:r>
    </w:p>
    <w:bookmarkEnd w:id="11"/>
    <w:bookmarkStart w:id="12" w:name="X6f228729658cbeae3118e18e796ac24858b3331"/>
    <w:p>
      <w:pPr>
        <w:pStyle w:val="Heading2"/>
      </w:pPr>
      <w:r>
        <w:t xml:space="preserve">4. Supporting metrics</w:t>
      </w:r>
    </w:p>
    <w:p>
      <w:pPr>
        <w:pStyle w:val="FirstParagraph"/>
      </w:pPr>
      <w:r>
        <w:t xml:space="preserve">Recomputed monthly over the pooled universe and reported directly as percentages of the pool:</w:t>
      </w:r>
      <w:r>
        <w:t xml:space="preserve"> </w:t>
      </w:r>
      <w:r>
        <w:rPr>
          <w:b/>
          <w:bCs/>
        </w:rPr>
        <w:t xml:space="preserve">30+ and 60+ day delinquency, Current→30+ roll rate, annualized net loss, recovery rate</w:t>
      </w:r>
      <w:r>
        <w:t xml:space="preserve">, plus a</w:t>
      </w:r>
      <w:r>
        <w:t xml:space="preserve"> </w:t>
      </w:r>
      <w:r>
        <w:rPr>
          <w:b/>
          <w:bCs/>
        </w:rPr>
        <w:t xml:space="preserve">net-yield</w:t>
      </w:r>
      <w:r>
        <w:t xml:space="preserve"> </w:t>
      </w:r>
      <w:r>
        <w:t xml:space="preserve">series (cash and accrued). Rebuilt each month as new ABS-EE filings post. The COVID</w:t>
      </w:r>
      <w:r>
        <w:t xml:space="preserve"> </w:t>
      </w:r>
      <w:r>
        <w:t xml:space="preserve">accommodation window (Apr–Dec 2020) is flagged but kept in the series.</w:t>
      </w:r>
    </w:p>
    <w:p>
      <w:pPr>
        <w:pStyle w:val="BlockText"/>
      </w:pPr>
      <w:r>
        <w:t xml:space="preserve">Note: an earlier "stress index" (a rolling z-score composite of these metrics) has been retired in</w:t>
      </w:r>
      <w:r>
        <w:t xml:space="preserve"> </w:t>
      </w:r>
      <w:r>
        <w:t xml:space="preserve">favor of reporting the metrics and the NLI directly, in plain percentages.</w:t>
      </w:r>
    </w:p>
    <w:bookmarkEnd w:id="12"/>
    <w:bookmarkStart w:id="15" w:name="X889b8d3f43cfddecd33e93488b9af94c2ebb443"/>
    <w:p>
      <w:pPr>
        <w:pStyle w:val="Heading2"/>
      </w:pPr>
      <w:r>
        <w:t xml:space="preserve">5. Products</w:t>
      </w:r>
    </w:p>
    <w:bookmarkStart w:id="13" w:name="Xa10a91c8abed16a02032ffd2365385fa54acca3"/>
    <w:p>
      <w:pPr>
        <w:pStyle w:val="Heading3"/>
      </w:pPr>
      <w:r>
        <w:t xml:space="preserve">5.1 Net-Loss Future</w:t>
      </w:r>
      <w:r>
        <w:t xml:space="preserve"> </w:t>
      </w:r>
      <w:r>
        <w:rPr>
          <w:i/>
          <w:iCs/>
        </w:rPr>
        <w:t xml:space="preserve">(flagship)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dated, cash-settled monthly future</w:t>
      </w:r>
      <w:r>
        <w:t xml:space="preserve"> </w:t>
      </w:r>
      <w:r>
        <w:t xml:space="preserve">on the pool's net-loss rate (the NLI).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Payoff (linear / DV01).</w:t>
      </w:r>
      <w:r>
        <w:t xml:space="preserve"> </w:t>
      </w:r>
      <w:r>
        <w:rPr>
          <w:rStyle w:val="VerbatimChar"/>
        </w:rPr>
        <w:t xml:space="preserve">PnL = side × notional × (rate_settle − rate_entry) / 100</w:t>
      </w:r>
      <w:r>
        <w:t xml:space="preserve">. One point</w:t>
      </w:r>
      <w:r>
        <w:t xml:space="preserve"> </w:t>
      </w:r>
      <w:r>
        <w:t xml:space="preserve">(1% on the rate) equals</w:t>
      </w:r>
      <w:r>
        <w:t xml:space="preserve"> </w:t>
      </w:r>
      <w:r>
        <w:rPr>
          <w:b/>
          <w:bCs/>
        </w:rPr>
        <w:t xml:space="preserve">1% of notional</w:t>
      </w:r>
      <w:r>
        <w:t xml:space="preserve">. There is no division by the entry level — it is a</w:t>
      </w:r>
      <w:r>
        <w:t xml:space="preserve"> </w:t>
      </w:r>
      <w:r>
        <w:t xml:space="preserve">linear point payoff, not a percentage return.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Direction.</w:t>
      </w:r>
      <w:r>
        <w:t xml:space="preserve"> </w:t>
      </w:r>
      <w:r>
        <w:t xml:space="preserve">Go</w:t>
      </w:r>
      <w:r>
        <w:t xml:space="preserve"> </w:t>
      </w:r>
      <w:r>
        <w:rPr>
          <w:b/>
          <w:bCs/>
        </w:rPr>
        <w:t xml:space="preserve">long to gain when losses rise</w:t>
      </w:r>
      <w:r>
        <w:t xml:space="preserve"> </w:t>
      </w:r>
      <w:r>
        <w:t xml:space="preserve">(hedging an ABS book); short to fade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Settlement in arrears.</w:t>
      </w:r>
      <w:r>
        <w:t xml:space="preserve"> </w:t>
      </w:r>
      <w:r>
        <w:t xml:space="preserve">Each contract has an immutable settlement time set to the</w:t>
      </w:r>
      <w:r>
        <w:t xml:space="preserve"> </w:t>
      </w:r>
      <w:r>
        <w:rPr>
          <w:b/>
          <w:bCs/>
        </w:rPr>
        <w:t xml:space="preserve">ABS-EE print</w:t>
      </w:r>
      <w:r>
        <w:rPr>
          <w:b/>
          <w:bCs/>
        </w:rPr>
        <w:t xml:space="preserve"> </w:t>
      </w:r>
      <w:r>
        <w:rPr>
          <w:b/>
          <w:bCs/>
        </w:rPr>
        <w:t xml:space="preserve">date of its reference month</w:t>
      </w:r>
      <w:r>
        <w:t xml:space="preserve">; once that passes it settles to the</w:t>
      </w:r>
      <w:r>
        <w:t xml:space="preserve"> </w:t>
      </w:r>
      <w:r>
        <w:rPr>
          <w:b/>
          <w:bCs/>
        </w:rPr>
        <w:t xml:space="preserve">realized print</w:t>
      </w:r>
      <w:r>
        <w:t xml:space="preserve"> </w:t>
      </w:r>
      <w:r>
        <w:t xml:space="preserve">for that</w:t>
      </w:r>
      <w:r>
        <w:t xml:space="preserve"> </w:t>
      </w:r>
      <w:r>
        <w:t xml:space="preserve">month. Before settlement it is marked to market against the on-chain oracle.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Margining.</w:t>
      </w:r>
      <w:r>
        <w:t xml:space="preserve"> </w:t>
      </w:r>
      <w:r>
        <w:t xml:space="preserve">USDC-collateralized (testnet MockUSDC, 6 decimals). Initial margin 20% (2000 bps),</w:t>
      </w:r>
      <w:r>
        <w:t xml:space="preserve"> </w:t>
      </w:r>
      <w:r>
        <w:t xml:space="preserve">maintenance 10% (1000 bps); below maintenance the holder tops up to initial margin or is</w:t>
      </w:r>
      <w:r>
        <w:t xml:space="preserve"> </w:t>
      </w:r>
      <w:r>
        <w:t xml:space="preserve">liquidated (0.5% of notional to the liquidator).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strip = a forward loss curve.</w:t>
      </w:r>
      <w:r>
        <w:t xml:space="preserve"> </w:t>
      </w:r>
      <w:r>
        <w:t xml:space="preserve">Listing consecutive monthly series (e.g. Jun / Jul / Aug</w:t>
      </w:r>
      <w:r>
        <w:t xml:space="preserve"> </w:t>
      </w:r>
      <w:r>
        <w:t xml:space="preserve">2026) gives a forward curve of expected losses.</w:t>
      </w:r>
    </w:p>
    <w:bookmarkEnd w:id="13"/>
    <w:bookmarkStart w:id="14" w:name="Xb723b912fa63721b68debb0b2a338710b445d60"/>
    <w:p>
      <w:pPr>
        <w:pStyle w:val="Heading3"/>
      </w:pPr>
      <w:r>
        <w:t xml:space="preserve">5.2 Loss-pass-through protection</w:t>
      </w:r>
      <w:r>
        <w:t xml:space="preserve"> </w:t>
      </w:r>
      <w:r>
        <w:rPr>
          <w:i/>
          <w:iCs/>
        </w:rPr>
        <w:t xml:space="preserve">(design)</w:t>
      </w:r>
    </w:p>
    <w:p>
      <w:pPr>
        <w:pStyle w:val="FirstParagraph"/>
      </w:pPr>
      <w:r>
        <w:t xml:space="preserve">The Future hedges the</w:t>
      </w:r>
      <w:r>
        <w:t xml:space="preserve"> </w:t>
      </w:r>
      <w:r>
        <w:rPr>
          <w:i/>
          <w:iCs/>
        </w:rPr>
        <w:t xml:space="preserve">change</w:t>
      </w:r>
      <w:r>
        <w:t xml:space="preserve"> </w:t>
      </w:r>
      <w:r>
        <w:t xml:space="preserve">in the loss rate (capital-light, mark-to-market). Hedging the</w:t>
      </w:r>
      <w:r>
        <w:t xml:space="preserve"> </w:t>
      </w:r>
      <w:r>
        <w:rPr>
          <w:i/>
          <w:iCs/>
        </w:rPr>
        <w:t xml:space="preserve">level</w:t>
      </w:r>
      <w:r>
        <w:t xml:space="preserve"> </w:t>
      </w:r>
      <w:r>
        <w:t xml:space="preserve">— protecting against a tranche of cumulative loss — is a separate, premium-paid instrument</w:t>
      </w:r>
      <w:r>
        <w:t xml:space="preserve"> </w:t>
      </w:r>
      <w:r>
        <w:t xml:space="preserve">(tranched, CDS-PAUG-style) in which the protection writer must collateralize the full tranche width.</w:t>
      </w:r>
      <w:r>
        <w:t xml:space="preserve"> </w:t>
      </w:r>
      <w:r>
        <w:t xml:space="preserve">Not yet built.</w:t>
      </w:r>
    </w:p>
    <w:bookmarkEnd w:id="14"/>
    <w:bookmarkEnd w:id="15"/>
    <w:bookmarkStart w:id="16" w:name="Xbbb69ef881705614618bdf2422fa7a81a3a160b"/>
    <w:p>
      <w:pPr>
        <w:pStyle w:val="Heading2"/>
      </w:pPr>
      <w:r>
        <w:t xml:space="preserve">6. On-chain implementation (Sepolia testnet)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MockUSDC (6-dec, open faucet)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0x2A79d10E87ac92a185117ED2C0922d056421a06b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Net-loss rate oracle (AggregatorV3-style, rate × 1e8)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0xb1405f63aadf7d87d81dd6f18590bd7fd7d6e542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Net-Loss Future — Jun 2026 (settles 2026-07-22)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0xfc097ca716ebe8792364a397a11a36688c4a2620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Net-Loss Future — Jul 2026 (settles 2026-08-22)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0xb794d00bf66afcafde095552e57d51fa5f7836cc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Net-Loss Future — Aug 2026 (settles 2026-09-22)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0xe645295b7c4137f968efa596ef22adab085b7793</w:t>
            </w:r>
          </w:p>
        </w:tc>
      </w:tr>
    </w:tbl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Contract:</w:t>
      </w:r>
      <w:r>
        <w:t xml:space="preserve"> </w:t>
      </w:r>
      <w:r>
        <w:rPr>
          <w:rStyle w:val="VerbatimChar"/>
        </w:rPr>
        <w:t xml:space="preserve">contracts/src/NetLossFuture.sol</w:t>
      </w:r>
      <w:r>
        <w:t xml:space="preserve"> </w:t>
      </w:r>
      <w:r>
        <w:t xml:space="preserve">(Foundry; 8/8 tests in</w:t>
      </w:r>
      <w:r>
        <w:t xml:space="preserve"> </w:t>
      </w:r>
      <w:r>
        <w:rPr>
          <w:rStyle w:val="VerbatimChar"/>
        </w:rPr>
        <w:t xml:space="preserve">contracts/test/NetLossFuture.t.sol</w:t>
      </w:r>
      <w:r>
        <w:t xml:space="preserve">).</w:t>
      </w:r>
      <w:r>
        <w:t xml:space="preserve"> </w:t>
      </w:r>
      <w:r>
        <w:rPr>
          <w:rStyle w:val="VerbatimChar"/>
        </w:rPr>
        <w:t xml:space="preserve">SCALE = 1e10</w:t>
      </w:r>
      <w:r>
        <w:t xml:space="preserve"> </w:t>
      </w:r>
      <w:r>
        <w:t xml:space="preserve">converts</w:t>
      </w:r>
      <w:r>
        <w:t xml:space="preserve"> </w:t>
      </w:r>
      <w:r>
        <w:rPr>
          <w:rStyle w:val="VerbatimChar"/>
        </w:rPr>
        <w:t xml:space="preserve">rate(×1e8) × notional(USDC, 1e6)</w:t>
      </w:r>
      <w:r>
        <w:t xml:space="preserve"> </w:t>
      </w:r>
      <w:r>
        <w:t xml:space="preserve">into a 6-decimal PnL.</w:t>
      </w:r>
      <w:r>
        <w:t xml:space="preserve"> </w:t>
      </w:r>
      <w:r>
        <w:rPr>
          <w:rStyle w:val="VerbatimChar"/>
        </w:rPr>
        <w:t xml:space="preserve">settle(int256)</w:t>
      </w:r>
      <w:r>
        <w:t xml:space="preserve"> </w:t>
      </w:r>
      <w:r>
        <w:t xml:space="preserve">is owner-only and only callable at/after</w:t>
      </w:r>
      <w:r>
        <w:t xml:space="preserve"> </w:t>
      </w:r>
      <w:r>
        <w:rPr>
          <w:rStyle w:val="VerbatimChar"/>
        </w:rPr>
        <w:t xml:space="preserve">settlementTime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Oracle:</w:t>
      </w:r>
      <w:r>
        <w:t xml:space="preserve"> </w:t>
      </w:r>
      <w:r>
        <w:t xml:space="preserve">publishes the live NLI as</w:t>
      </w:r>
      <w:r>
        <w:t xml:space="preserve"> </w:t>
      </w:r>
      <w:r>
        <w:rPr>
          <w:rStyle w:val="VerbatimChar"/>
        </w:rPr>
        <w:t xml:space="preserve">rate × 1e8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latestRoundData</w:t>
      </w:r>
      <w:r>
        <w:t xml:space="preserve">.</w:t>
      </w:r>
    </w:p>
    <w:bookmarkEnd w:id="16"/>
    <w:bookmarkStart w:id="17" w:name="X35bc0d2e7492a7fac019629ee9ef38528207c2e"/>
    <w:p>
      <w:pPr>
        <w:pStyle w:val="Heading2"/>
      </w:pPr>
      <w:r>
        <w:t xml:space="preserve">7. Backtester</w:t>
      </w:r>
    </w:p>
    <w:p>
      <w:pPr>
        <w:pStyle w:val="FirstParagraph"/>
      </w:pPr>
      <w:r>
        <w:rPr>
          <w:rStyle w:val="VerbatimChar"/>
        </w:rPr>
        <w:t xml:space="preserve">web/backtest.html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web/assets/backtest.js</w:t>
      </w:r>
      <w:r>
        <w:t xml:space="preserve"> </w:t>
      </w:r>
      <w:r>
        <w:t xml:space="preserve">replay the dated Future over history: pick an</w:t>
      </w:r>
      <w:r>
        <w:t xml:space="preserve"> </w:t>
      </w:r>
      <w:r>
        <w:t xml:space="preserve">underlying (defaults to the NLI), an entry month, and a</w:t>
      </w:r>
      <w:r>
        <w:t xml:space="preserve"> </w:t>
      </w:r>
      <w:r>
        <w:rPr>
          <w:b/>
          <w:bCs/>
        </w:rPr>
        <w:t xml:space="preserve">settlement month</w:t>
      </w:r>
      <w:r>
        <w:t xml:space="preserve">; the tool applies the</w:t>
      </w:r>
      <w:r>
        <w:t xml:space="preserve"> </w:t>
      </w:r>
      <w:r>
        <w:t xml:space="preserve">linear DV01 payoff, marks to market monthly, models margin top-ups/calls, and reports per-side PnL,</w:t>
      </w:r>
      <w:r>
        <w:t xml:space="preserve"> </w:t>
      </w:r>
      <w:r>
        <w:t xml:space="preserve">IRR, return on capital, drawdown, and capital committed. Illustrative only.</w:t>
      </w:r>
    </w:p>
    <w:bookmarkEnd w:id="17"/>
    <w:bookmarkStart w:id="18" w:name="X752d2f7b09dd83b16f5e779d65f07f4c32e2e61"/>
    <w:p>
      <w:pPr>
        <w:pStyle w:val="Heading2"/>
      </w:pPr>
      <w:r>
        <w:t xml:space="preserve">8. Operations / pipeline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Script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index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web/build_nli.py</w:t>
            </w:r>
          </w:p>
        </w:tc>
        <w:tc>
          <w:tcPr/>
          <w:p>
            <w:pPr>
              <w:pStyle w:val="Compact"/>
            </w:pPr>
            <w:r>
              <w:t xml:space="preserve">one heavy LAG pass over</w:t>
            </w:r>
            <w:r>
              <w:t xml:space="preserve"> </w:t>
            </w:r>
            <w:r>
              <w:rPr>
                <w:rStyle w:val="VerbatimChar"/>
              </w:rPr>
              <w:t xml:space="preserve">abs.loan_months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abs.nli_monthly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nli.json</w:t>
            </w:r>
            <w:r>
              <w:t xml:space="preserve">, csv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Push oracle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push_nli.py</w:t>
            </w:r>
          </w:p>
        </w:tc>
        <w:tc>
          <w:tcPr/>
          <w:p>
            <w:pPr>
              <w:pStyle w:val="Compact"/>
            </w:pPr>
            <w:r>
              <w:t xml:space="preserve">reads latest NLI,</w:t>
            </w:r>
            <w:r>
              <w:t xml:space="preserve"> </w:t>
            </w:r>
            <w:r>
              <w:rPr>
                <w:rStyle w:val="VerbatimChar"/>
              </w:rPr>
              <w:t xml:space="preserve">setAnswer(round(nli×1e8))</w:t>
            </w:r>
            <w:r>
              <w:t xml:space="preserve"> </w:t>
            </w:r>
            <w:r>
              <w:t xml:space="preserve">on the oracle (idempotent)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Settle futures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settle_futures.py</w:t>
            </w:r>
          </w:p>
        </w:tc>
        <w:tc>
          <w:tcPr/>
          <w:p>
            <w:pPr>
              <w:pStyle w:val="Compact"/>
            </w:pPr>
            <w:r>
              <w:t xml:space="preserve">for each series in</w:t>
            </w:r>
            <w:r>
              <w:t xml:space="preserve"> </w:t>
            </w:r>
            <w:r>
              <w:rPr>
                <w:rStyle w:val="VerbatimChar"/>
              </w:rPr>
              <w:t xml:space="preserve">strip.json</w:t>
            </w:r>
            <w:r>
              <w:t xml:space="preserve">, if past</w:t>
            </w:r>
            <w:r>
              <w:t xml:space="preserve"> </w:t>
            </w:r>
            <w:r>
              <w:rPr>
                <w:rStyle w:val="VerbatimChar"/>
              </w:rPr>
              <w:t xml:space="preserve">settlementTime</w:t>
            </w:r>
            <w:r>
              <w:t xml:space="preserve"> </w:t>
            </w:r>
            <w:r>
              <w:t xml:space="preserve">and the reference month is in</w:t>
            </w:r>
            <w:r>
              <w:t xml:space="preserve"> </w:t>
            </w:r>
            <w:r>
              <w:rPr>
                <w:rStyle w:val="VerbatimChar"/>
              </w:rPr>
              <w:t xml:space="preserve">abs.nli_monthly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settle(int256)</w:t>
            </w:r>
            <w:r>
              <w:t xml:space="preserve"> </w:t>
            </w:r>
            <w:r>
              <w:t xml:space="preserve">to the realized print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run_monthly.sh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~/Library/LaunchAgents/fi.serention.netloss.plist</w:t>
            </w:r>
          </w:p>
        </w:tc>
        <w:tc>
          <w:tcPr/>
          <w:p>
            <w:pPr>
              <w:pStyle w:val="Compact"/>
            </w:pPr>
            <w:r>
              <w:t xml:space="preserve">runs the three steps monthly (24th, 07:00), after the ~22nd print</w:t>
            </w:r>
          </w:p>
        </w:tc>
      </w:tr>
    </w:tbl>
    <w:p>
      <w:pPr>
        <w:pStyle w:val="BodyText"/>
      </w:pPr>
      <w:r>
        <w:t xml:space="preserve">Ingesting</w:t>
      </w:r>
      <w:r>
        <w:t xml:space="preserve"> </w:t>
      </w:r>
      <w:r>
        <w:rPr>
          <w:b/>
          <w:bCs/>
        </w:rPr>
        <w:t xml:space="preserve">new</w:t>
      </w:r>
      <w:r>
        <w:t xml:space="preserve"> </w:t>
      </w:r>
      <w:r>
        <w:t xml:space="preserve">ABS-EE filings for a fresh month (</w:t>
      </w:r>
      <w:r>
        <w:rPr>
          <w:rStyle w:val="VerbatimChar"/>
        </w:rPr>
        <w:t xml:space="preserve">load_loans.py</w:t>
      </w:r>
      <w:r>
        <w:t xml:space="preserve">) is a separate, heavier</w:t>
      </w:r>
      <w:r>
        <w:t xml:space="preserve"> </w:t>
      </w:r>
      <w:r>
        <w:t xml:space="preserve">prerequisite; until a reference month's loan data is loaded,</w:t>
      </w:r>
      <w:r>
        <w:t xml:space="preserve"> </w:t>
      </w:r>
      <w:r>
        <w:rPr>
          <w:rStyle w:val="VerbatimChar"/>
        </w:rPr>
        <w:t xml:space="preserve">settle_futures.py</w:t>
      </w:r>
      <w:r>
        <w:t xml:space="preserve"> </w:t>
      </w:r>
      <w:r>
        <w:t xml:space="preserve">reports that series</w:t>
      </w:r>
      <w:r>
        <w:t xml:space="preserve"> </w:t>
      </w:r>
      <w:r>
        <w:t xml:space="preserve">as awaiting data rather than settling to stale figures.</w:t>
      </w:r>
    </w:p>
    <w:bookmarkEnd w:id="18"/>
    <w:bookmarkStart w:id="19" w:name="X56f6675a5b521fa1fcf88d5d6f257fe8b77b9e1"/>
    <w:p>
      <w:pPr>
        <w:pStyle w:val="Heading2"/>
      </w:pPr>
      <w:r>
        <w:t xml:space="preserve">9. Validation</w:t>
      </w:r>
    </w:p>
    <w:p>
      <w:pPr>
        <w:pStyle w:val="FirstParagraph"/>
      </w:pPr>
      <w:r>
        <w:t xml:space="preserve">Cross-checked against public macro and rating-agency series — co-movement and timing are the signal,</w:t>
      </w:r>
      <w:r>
        <w:t xml:space="preserve"> </w:t>
      </w:r>
      <w:r>
        <w:t xml:space="preserve">since definitions and levels differ: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NY Fed</w:t>
      </w:r>
      <w:r>
        <w:t xml:space="preserve"> </w:t>
      </w:r>
      <w:r>
        <w:t xml:space="preserve">subprime (&lt;620) 30+ delinquency flow and all-auto 90+ transition.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KBRA Non-Prime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Fitch Subprime</w:t>
      </w:r>
      <w:r>
        <w:t xml:space="preserve"> </w:t>
      </w:r>
      <w:r>
        <w:t xml:space="preserve">auto-ABS net-loss indices (logged from public monthly</w:t>
      </w:r>
      <w:r>
        <w:t xml:space="preserve"> </w:t>
      </w:r>
      <w:r>
        <w:t xml:space="preserve">disclosures). Our deeper &lt;640 cut runs a touch higher, as expected.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2026-06-24T02:57:08Z</dcterms:created>
  <dcterms:modified xsi:type="dcterms:W3CDTF">2026-06-24T02:57:08Z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