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31" w:line="259" w:lineRule="auto"/>
        <w:ind w:right="18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31" w:line="259" w:lineRule="auto"/>
        <w:ind w:right="1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INSTITUTO  NACIONAL DE EDUCACIÓN   </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tl w:val="0"/>
        </w:rPr>
      </w:r>
    </w:p>
    <w:p w:rsidR="00000000" w:rsidDel="00000000" w:rsidP="00000000" w:rsidRDefault="00000000" w:rsidRPr="00000000" w14:paraId="00000003">
      <w:pPr>
        <w:spacing w:after="113" w:line="356" w:lineRule="auto"/>
        <w:ind w:right="17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"Dr. Raúl Peña" </w:t>
      </w:r>
    </w:p>
    <w:p w:rsidR="00000000" w:rsidDel="00000000" w:rsidP="00000000" w:rsidRDefault="00000000" w:rsidRPr="00000000" w14:paraId="00000004">
      <w:pPr>
        <w:spacing w:after="113" w:line="356" w:lineRule="auto"/>
        <w:ind w:right="1775"/>
        <w:jc w:val="center"/>
        <w:rPr/>
      </w:pPr>
      <w:r w:rsidDel="00000000" w:rsidR="00000000" w:rsidRPr="00000000">
        <w:rPr>
          <w:rFonts w:ascii="Times New Roman" w:cs="Times New Roman" w:eastAsia="Times New Roman" w:hAnsi="Times New Roman"/>
          <w:b w:val="1"/>
          <w:sz w:val="24"/>
          <w:szCs w:val="24"/>
          <w:rtl w:val="0"/>
        </w:rPr>
        <w:t xml:space="preserve">                   Licenciatura en Educación Inicial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5">
      <w:pPr>
        <w:pStyle w:val="Heading1"/>
        <w:spacing w:before="400" w:line="276" w:lineRule="auto"/>
        <w:jc w:val="left"/>
        <w:rPr>
          <w:rFonts w:ascii="Times New Roman" w:cs="Times New Roman" w:eastAsia="Times New Roman" w:hAnsi="Times New Roman"/>
          <w:sz w:val="24"/>
          <w:szCs w:val="24"/>
        </w:rPr>
      </w:pPr>
      <w:bookmarkStart w:colFirst="0" w:colLast="0" w:name="_heading=h.mmhev95yue16" w:id="0"/>
      <w:bookmarkEnd w:id="0"/>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Estimulación de las habilidades  del lenguaje y la comunicación en niños con trastorno del espectro autista a través del juego en edades de 3 y 4 años”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w:t>
      </w:r>
      <w:r w:rsidDel="00000000" w:rsidR="00000000" w:rsidRPr="00000000">
        <w:rPr>
          <w:rFonts w:ascii="Times New Roman" w:cs="Times New Roman" w:eastAsia="Times New Roman" w:hAnsi="Times New Roman"/>
          <w:sz w:val="24"/>
          <w:szCs w:val="24"/>
          <w:rtl w:val="0"/>
        </w:rPr>
        <w:t xml:space="preserve"> Metodología de la investigación.</w:t>
      </w:r>
    </w:p>
    <w:p w:rsidR="00000000" w:rsidDel="00000000" w:rsidP="00000000" w:rsidRDefault="00000000" w:rsidRPr="00000000" w14:paraId="0000000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Adolfina Noemi Benitez. </w:t>
      </w:r>
    </w:p>
    <w:p w:rsidR="00000000" w:rsidDel="00000000" w:rsidP="00000000" w:rsidRDefault="00000000" w:rsidRPr="00000000" w14:paraId="0000000B">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Erika Lujan Bernal Alonso.</w:t>
      </w:r>
    </w:p>
    <w:p w:rsidR="00000000" w:rsidDel="00000000" w:rsidP="00000000" w:rsidRDefault="00000000" w:rsidRPr="00000000" w14:paraId="000000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Carrera: </w:t>
      </w:r>
      <w:r w:rsidDel="00000000" w:rsidR="00000000" w:rsidRPr="00000000">
        <w:rPr>
          <w:rFonts w:ascii="Times New Roman" w:cs="Times New Roman" w:eastAsia="Times New Roman" w:hAnsi="Times New Roman"/>
          <w:sz w:val="24"/>
          <w:szCs w:val="24"/>
          <w:rtl w:val="0"/>
        </w:rPr>
        <w:t xml:space="preserve">Licenciatura en Educación Inicial.</w:t>
      </w:r>
    </w:p>
    <w:p w:rsidR="00000000" w:rsidDel="00000000" w:rsidP="00000000" w:rsidRDefault="00000000" w:rsidRPr="00000000" w14:paraId="0000000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3º “ B” </w:t>
      </w:r>
      <w:r w:rsidDel="00000000" w:rsidR="00000000" w:rsidRPr="00000000">
        <w:rPr>
          <w:rtl w:val="0"/>
        </w:rPr>
      </w:r>
    </w:p>
    <w:p w:rsidR="00000000" w:rsidDel="00000000" w:rsidP="00000000" w:rsidRDefault="00000000" w:rsidRPr="00000000" w14:paraId="000000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Semestre:</w:t>
      </w:r>
      <w:r w:rsidDel="00000000" w:rsidR="00000000" w:rsidRPr="00000000">
        <w:rPr>
          <w:rFonts w:ascii="Times New Roman" w:cs="Times New Roman" w:eastAsia="Times New Roman" w:hAnsi="Times New Roman"/>
          <w:sz w:val="24"/>
          <w:szCs w:val="24"/>
          <w:rtl w:val="0"/>
        </w:rPr>
        <w:t xml:space="preserve"> Sexto.</w:t>
      </w:r>
    </w:p>
    <w:p w:rsidR="00000000" w:rsidDel="00000000" w:rsidP="00000000" w:rsidRDefault="00000000" w:rsidRPr="00000000" w14:paraId="0000000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Nieves Montiel.</w:t>
      </w:r>
    </w:p>
    <w:p w:rsidR="00000000" w:rsidDel="00000000" w:rsidP="00000000" w:rsidRDefault="00000000" w:rsidRPr="00000000" w14:paraId="00000010">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ASUNCIÓN-PARAGUAY</w:t>
      </w:r>
    </w:p>
    <w:p w:rsidR="00000000" w:rsidDel="00000000" w:rsidP="00000000" w:rsidRDefault="00000000" w:rsidRPr="00000000" w14:paraId="00000014">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2022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1.Capítulo I </w:t>
      </w:r>
    </w:p>
    <w:p w:rsidR="00000000" w:rsidDel="00000000" w:rsidP="00000000" w:rsidRDefault="00000000" w:rsidRPr="00000000" w14:paraId="00000020">
      <w:pPr>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Presentación de la Investigación   </w:t>
      </w:r>
    </w:p>
    <w:p w:rsidR="00000000" w:rsidDel="00000000" w:rsidP="00000000" w:rsidRDefault="00000000" w:rsidRPr="00000000" w14:paraId="00000021">
      <w:pPr>
        <w:spacing w:after="0" w:line="276" w:lineRule="auto"/>
        <w:ind w:left="720" w:firstLine="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sz w:val="24"/>
          <w:szCs w:val="24"/>
          <w:rtl w:val="0"/>
        </w:rPr>
        <w:t xml:space="preserve">En el presente Capítulo se presenta la línea de investigación y su vinculación con el tema  seguidamente el planteamiento del problema, las preguntas generales y específicas y como consecuencia el objetivo general y específico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1.2Planteamiento del Problema</w:t>
      </w:r>
    </w:p>
    <w:p w:rsidR="00000000" w:rsidDel="00000000" w:rsidP="00000000" w:rsidRDefault="00000000" w:rsidRPr="00000000" w14:paraId="00000023">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programa del Jardín de Infantes y Preescolar ,propone el desarrollo sistemático de las potencialidades humanas desde los primeros años de vida y reconociendo a los niños como sujetos de derecho, coordinando y articulando acciones pedagógicas tendientes a estimular el crecimiento y el desarrollo  y maduración biopsicosocial(MEC 2006).</w:t>
      </w:r>
    </w:p>
    <w:p w:rsidR="00000000" w:rsidDel="00000000" w:rsidP="00000000" w:rsidRDefault="00000000" w:rsidRPr="00000000" w14:paraId="000000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En los últimos años ha existido un gran aumento dentro de las necesidades específicas y el trastorno del espectro autista, este es un trastorno del desarrollo que aparece alrededor de los 3 años de vida y afecta el desarrollo cerebral normal de las habilidades de socialización y comunicación, se piensa que los niños y niñas que presentan este trastorno no pueden acudir a las instituciones educativas debido a las distintas </w:t>
      </w:r>
      <w:r w:rsidDel="00000000" w:rsidR="00000000" w:rsidRPr="00000000">
        <w:rPr>
          <w:rFonts w:ascii="Times New Roman" w:cs="Times New Roman" w:eastAsia="Times New Roman" w:hAnsi="Times New Roman"/>
          <w:sz w:val="24"/>
          <w:szCs w:val="24"/>
          <w:rtl w:val="0"/>
        </w:rPr>
        <w:t xml:space="preserve">deshabilidades</w:t>
      </w:r>
      <w:r w:rsidDel="00000000" w:rsidR="00000000" w:rsidRPr="00000000">
        <w:rPr>
          <w:rFonts w:ascii="Times New Roman" w:cs="Times New Roman" w:eastAsia="Times New Roman" w:hAnsi="Times New Roman"/>
          <w:sz w:val="24"/>
          <w:szCs w:val="24"/>
          <w:rtl w:val="0"/>
        </w:rPr>
        <w:t xml:space="preserve"> que pueden presentar durante su desarrollo. </w:t>
      </w:r>
      <w:r w:rsidDel="00000000" w:rsidR="00000000" w:rsidRPr="00000000">
        <w:rPr>
          <w:rFonts w:ascii="Times New Roman" w:cs="Times New Roman" w:eastAsia="Times New Roman" w:hAnsi="Times New Roman"/>
          <w:color w:val="ff0000"/>
          <w:sz w:val="24"/>
          <w:szCs w:val="24"/>
          <w:rtl w:val="0"/>
        </w:rPr>
        <w:t xml:space="preserve">fuente?</w:t>
      </w:r>
    </w:p>
    <w:p w:rsidR="00000000" w:rsidDel="00000000" w:rsidP="00000000" w:rsidRDefault="00000000" w:rsidRPr="00000000" w14:paraId="00000027">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términos generales vivimos en una sociedad donde existe muy poca información en lo que respecta el autismo y por este motivo se presentan distintas posturas y puntos de vistas,por lo mismo no se les permiten desarrollar al máximo sus habilidades, y por contrario se los excluye y le cierran las puertas impidiendo tanto su desarrollo social,cognitivo,emocional,etcétera</w:t>
      </w:r>
    </w:p>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efecto,se plantean las siguientes interrogantes.</w:t>
      </w:r>
    </w:p>
    <w:p w:rsidR="00000000" w:rsidDel="00000000" w:rsidP="00000000" w:rsidRDefault="00000000" w:rsidRPr="00000000" w14:paraId="0000002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Pregunta</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General </w:t>
      </w:r>
      <w:r w:rsidDel="00000000" w:rsidR="00000000" w:rsidRPr="00000000">
        <w:rPr>
          <w:rtl w:val="0"/>
        </w:rPr>
      </w:r>
    </w:p>
    <w:p w:rsidR="00000000" w:rsidDel="00000000" w:rsidP="00000000" w:rsidRDefault="00000000" w:rsidRPr="00000000" w14:paraId="0000002E">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qué manera se aplica el juego en el PEA para el desarrollo de la habilidad del lenguaje y la comunicación en niños del nivel inicial con trastorno del espectro autista ?</w:t>
      </w:r>
    </w:p>
    <w:p w:rsidR="00000000" w:rsidDel="00000000" w:rsidP="00000000" w:rsidRDefault="00000000" w:rsidRPr="00000000" w14:paraId="0000002F">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Preguntas específicas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Cuáles son las técnicas del juego que se utilizan en el aula del nivel inicial  para estimular las habilidad de la comunicación y lenguaje del niño con autismo?</w:t>
      </w:r>
    </w:p>
    <w:p w:rsidR="00000000" w:rsidDel="00000000" w:rsidP="00000000" w:rsidRDefault="00000000" w:rsidRPr="00000000" w14:paraId="00000032">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qué manera impactan las técnicas del juego en el aula del nivel inicial con niños del</w:t>
      </w:r>
    </w:p>
    <w:p w:rsidR="00000000" w:rsidDel="00000000" w:rsidP="00000000" w:rsidRDefault="00000000" w:rsidRPr="00000000" w14:paraId="0000003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espectro autista?</w:t>
      </w:r>
    </w:p>
    <w:p w:rsidR="00000000" w:rsidDel="00000000" w:rsidP="00000000" w:rsidRDefault="00000000" w:rsidRPr="00000000" w14:paraId="00000034">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Analizar el abordaje  de aplicación del juego  en el PEA para el desarrollo de la habilidad del lenguaje en niños del nivel inicial con TEA.</w:t>
      </w:r>
    </w:p>
    <w:p w:rsidR="00000000" w:rsidDel="00000000" w:rsidP="00000000" w:rsidRDefault="00000000" w:rsidRPr="00000000" w14:paraId="00000039">
      <w:pPr>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 </w:t>
      </w:r>
    </w:p>
    <w:p w:rsidR="00000000" w:rsidDel="00000000" w:rsidP="00000000" w:rsidRDefault="00000000" w:rsidRPr="00000000" w14:paraId="0000003A">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las técnicas del juego que se utiliza en el aula del nivel inicial para estimular las habilidades sociales,cognitivas y afectivas del niño con autismo.</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 manera que impactan las técnicas del juego en el aula del nivel inicial con niños del espectro autista.</w:t>
      </w:r>
      <w:r w:rsidDel="00000000" w:rsidR="00000000" w:rsidRPr="00000000">
        <w:rPr>
          <w:rtl w:val="0"/>
        </w:rPr>
      </w:r>
    </w:p>
    <w:p w:rsidR="00000000" w:rsidDel="00000000" w:rsidP="00000000" w:rsidRDefault="00000000" w:rsidRPr="00000000" w14:paraId="0000003C">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Marco Referencial</w:t>
      </w:r>
    </w:p>
    <w:p w:rsidR="00000000" w:rsidDel="00000000" w:rsidP="00000000" w:rsidRDefault="00000000" w:rsidRPr="00000000" w14:paraId="0000003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capítulo se presenta el marco conceptual,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el cual se refleja los puntos claves de la investigación ,además se describe el marco teórico,contextual, y marco legal del objeto de   estudio </w:t>
      </w:r>
    </w:p>
    <w:p w:rsidR="00000000" w:rsidDel="00000000" w:rsidP="00000000" w:rsidRDefault="00000000" w:rsidRPr="00000000" w14:paraId="0000003E">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Marco Conceptual </w:t>
      </w:r>
    </w:p>
    <w:p w:rsidR="00000000" w:rsidDel="00000000" w:rsidP="00000000" w:rsidRDefault="00000000" w:rsidRPr="00000000" w14:paraId="0000003F">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Trastorno del espectro autista </w:t>
      </w:r>
      <w:r w:rsidDel="00000000" w:rsidR="00000000" w:rsidRPr="00000000">
        <w:rPr>
          <w:rFonts w:ascii="Times New Roman" w:cs="Times New Roman" w:eastAsia="Times New Roman" w:hAnsi="Times New Roman"/>
          <w:sz w:val="24"/>
          <w:szCs w:val="24"/>
          <w:rtl w:val="0"/>
        </w:rPr>
        <w:t xml:space="preserve">constituye una alteración del neurodesarrollo (Rivière, 1997,2001).  Las investigaciones muestran que los niños con autismo tienen una distribución neurobiológica de la corteza cerebral diferente que imposibilita el desarrollo de las  habilidades sociales, cognitivas, comunicativas y problemas de conducta repetitivas con distintos niveles de gravedad que se presentan desde los primeros años de vida .</w:t>
      </w:r>
      <w:r w:rsidDel="00000000" w:rsidR="00000000" w:rsidRPr="00000000">
        <w:rPr>
          <w:rtl w:val="0"/>
        </w:rPr>
      </w:r>
    </w:p>
    <w:p w:rsidR="00000000" w:rsidDel="00000000" w:rsidP="00000000" w:rsidRDefault="00000000" w:rsidRPr="00000000" w14:paraId="00000041">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El lenguaje y la comunicación</w:t>
      </w:r>
      <w:r w:rsidDel="00000000" w:rsidR="00000000" w:rsidRPr="00000000">
        <w:rPr>
          <w:rFonts w:ascii="Times New Roman" w:cs="Times New Roman" w:eastAsia="Times New Roman" w:hAnsi="Times New Roman"/>
          <w:sz w:val="24"/>
          <w:szCs w:val="24"/>
          <w:rtl w:val="0"/>
        </w:rPr>
        <w:t xml:space="preserve">; en cuanto al desarrollo del lenguaje permite a los seres humanos adaptarse e integrarse en el medio que viven mediante la adquisición de valores,creencias,normas, en definitiva pautas que les permiten saber cómo comportarse en cada situación.</w:t>
      </w:r>
    </w:p>
    <w:p w:rsidR="00000000" w:rsidDel="00000000" w:rsidP="00000000" w:rsidRDefault="00000000" w:rsidRPr="00000000" w14:paraId="0000004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Juego como estrategia didáctica; </w:t>
      </w:r>
      <w:r w:rsidDel="00000000" w:rsidR="00000000" w:rsidRPr="00000000">
        <w:rPr>
          <w:rFonts w:ascii="Times New Roman" w:cs="Times New Roman" w:eastAsia="Times New Roman" w:hAnsi="Times New Roman"/>
          <w:sz w:val="24"/>
          <w:szCs w:val="24"/>
          <w:rtl w:val="0"/>
        </w:rPr>
        <w:t xml:space="preserve">el juego es fundamental para el desarrollo físico, intelectual, afectivo, social, emocional y moral en todas las edades. A través de él, los niños y niñas desarrollan habilidades, destrezas y conocimientos. También incide de manera muy positiva en el desarrollo de la psicomotricidad, da información acerca del mundo exterior, fomenta la génesis intelectual y ayuda al descubrimiento de sí mismo. Además, el juego supone un medio esencial de interacción con los iguales y, sobre todo, provoca el descubrimiento de nuevas sensaciones, sentimientos, emociones y deseos que van a estar presentes en muchos momentos del ciclo vital (Herranz, 2013).</w:t>
      </w:r>
    </w:p>
    <w:p w:rsidR="00000000" w:rsidDel="00000000" w:rsidP="00000000" w:rsidRDefault="00000000" w:rsidRPr="00000000" w14:paraId="0000004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Marco Teórico </w:t>
      </w:r>
      <w:r w:rsidDel="00000000" w:rsidR="00000000" w:rsidRPr="00000000">
        <w:rPr>
          <w:rtl w:val="0"/>
        </w:rPr>
      </w:r>
    </w:p>
    <w:p w:rsidR="00000000" w:rsidDel="00000000" w:rsidP="00000000" w:rsidRDefault="00000000" w:rsidRPr="00000000" w14:paraId="0000004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w:t>
      </w:r>
    </w:p>
    <w:p w:rsidR="00000000" w:rsidDel="00000000" w:rsidP="00000000" w:rsidRDefault="00000000" w:rsidRPr="00000000" w14:paraId="000000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término autismo fue creado por Eugen Bleuler (1857-1939), el cual proviene de dos palabras griegas “Autos” que significa uno mismo e “ismos” que hace referencia al modo de estar, este término creo confusiones de tal forma que se les elegía con esta terminología a pacientes con esquizofrenia, esto </w:t>
      </w:r>
      <w:r w:rsidDel="00000000" w:rsidR="00000000" w:rsidRPr="00000000">
        <w:rPr>
          <w:rFonts w:ascii="Times New Roman" w:cs="Times New Roman" w:eastAsia="Times New Roman" w:hAnsi="Times New Roman"/>
          <w:sz w:val="24"/>
          <w:szCs w:val="24"/>
          <w:rtl w:val="0"/>
        </w:rPr>
        <w:t xml:space="preserve">conllevó</w:t>
      </w:r>
      <w:r w:rsidDel="00000000" w:rsidR="00000000" w:rsidRPr="00000000">
        <w:rPr>
          <w:rFonts w:ascii="Times New Roman" w:cs="Times New Roman" w:eastAsia="Times New Roman" w:hAnsi="Times New Roman"/>
          <w:sz w:val="24"/>
          <w:szCs w:val="24"/>
          <w:rtl w:val="0"/>
        </w:rPr>
        <w:t xml:space="preserve"> a que posteriormente muchos psiquiatras infantiles utilicen el diagnóstico de esquizofrenia infantil, autismo y psicosis infantil (Quiroz et al., 2018).</w:t>
      </w:r>
    </w:p>
    <w:p w:rsidR="00000000" w:rsidDel="00000000" w:rsidP="00000000" w:rsidRDefault="00000000" w:rsidRPr="00000000" w14:paraId="0000004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primer caso de posible autismo, fue en el año 1504-1565, en el cual el alemán Johannes Mathesius describió la historia de un joven de 12 años que presentaba un severo cuadro de autismo, se pensaba que el muchacho no era más que una masa de carne implantada en un espíritu sin alma, poseído por el diablo, respecto al cual se pensó que debería morir asfixiado (López et al., 2010).</w:t>
      </w:r>
    </w:p>
    <w:p w:rsidR="00000000" w:rsidDel="00000000" w:rsidP="00000000" w:rsidRDefault="00000000" w:rsidRPr="00000000" w14:paraId="0000004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autismo comenzó a diagnosticarse hace poco tiempo, Leo Kanner lo describió por primera vez en el año 1943, a partir de ahí este trastorno comenzó a darse a conocer, cabe mencionar que ha estado presente durante toda la historia, sin embargo, había pasado descuidado o por otra parte se lo confundía con otros trastornos como el retraso mental (López et al., 2010). </w:t>
      </w:r>
    </w:p>
    <w:p w:rsidR="00000000" w:rsidDel="00000000" w:rsidP="00000000" w:rsidRDefault="00000000" w:rsidRPr="00000000" w14:paraId="0000004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Kanner continuó profundizando su estudio, al cual lo designó como "autismo infantil precoz", después de haber acumulado experiencia mediante la identificación personal de más de 100 niños y haber estudiado varios procedentes de colegas psiquiatras y pediatras, en los años que siguieron, por otra parte, se empezaron a identificar una gran 2 cantidad de pacientes en diversos países, pero nadie conocía el cuadro clínico tan a fondo como Kanner (Artigas y Paula, 2012). nadie podía comprender con mayor precisión cuáles debían ser los límites entre el autismo y otros trastornos, ya que el conocimiento del autismo estaba naciendo y era necesario no confundirlo con otros problemas, debido a que resultaría muy fraudulenta la investigación y el progreso en el conocimiento de la naturaleza del autismo (Artigas y Paula, 2012). Es por ello que Kanner establece síntomas para identificar este trastorno, después de haber estudiado 11 casos de niños de género masculino, donde su cuadro clínico estaba caracterizado por la anticipación de su aparición, puesto que se manifiesta desde el primer año de vida, una sintomatología marcada por el comportamiento, la soledad, estereotipias, retraso o ausencia del lenguaje verbal, afectividad, así también el autismo de Kanner está asociado a la epilepsia en un tercio de ellos o por otra parte, enfermedades neurológicas o genéticas, lo que ha conducido a distinguir un cuadro llamado “sindrómico” y otro “no sindrómico” (Garrabé, 2012).</w:t>
      </w:r>
    </w:p>
    <w:p w:rsidR="00000000" w:rsidDel="00000000" w:rsidP="00000000" w:rsidRDefault="00000000" w:rsidRPr="00000000" w14:paraId="0000004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día mundial sobre la concienciación del autismo ,se recuerda cada 2 de abril con el objetivo de poner de relieve la necesidad de contribuir a mejorar la calidad de vida de las personas con trastorno del espectro autista(TEA). </w:t>
      </w:r>
    </w:p>
    <w:p w:rsidR="00000000" w:rsidDel="00000000" w:rsidP="00000000" w:rsidRDefault="00000000" w:rsidRPr="00000000" w14:paraId="0000004D">
      <w:pPr>
        <w:spacing w:after="0" w:line="360"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sz w:val="24"/>
          <w:szCs w:val="24"/>
          <w:rtl w:val="0"/>
        </w:rPr>
        <w:t xml:space="preserve">      La ley n° 5.136 de la educación inclusiva,</w:t>
      </w:r>
      <w:r w:rsidDel="00000000" w:rsidR="00000000" w:rsidRPr="00000000">
        <w:rPr>
          <w:rFonts w:ascii="Times New Roman" w:cs="Times New Roman" w:eastAsia="Times New Roman" w:hAnsi="Times New Roman"/>
          <w:b w:val="1"/>
          <w:color w:val="2b2b2b"/>
          <w:sz w:val="24"/>
          <w:szCs w:val="24"/>
          <w:rtl w:val="0"/>
        </w:rPr>
        <w:t xml:space="preserve">Artículo 1°. </w:t>
      </w:r>
      <w:r w:rsidDel="00000000" w:rsidR="00000000" w:rsidRPr="00000000">
        <w:rPr>
          <w:rFonts w:ascii="Times New Roman" w:cs="Times New Roman" w:eastAsia="Times New Roman" w:hAnsi="Times New Roman"/>
          <w:color w:val="2b2b2b"/>
          <w:sz w:val="24"/>
          <w:szCs w:val="24"/>
          <w:rtl w:val="0"/>
        </w:rPr>
        <w:t xml:space="preserve">Esta ley tiene por objeto establecer las acciones correspondientes para la creación de un modelo educativo inclusivo dentro del sistema regular, que remueva las barreras que limiten el aprendizaje y la participación, facilitando la accesibilidad de los alumnos con necesidades específicas de apoyo educativo por medio de recursos humanos calificados, tecnologías adaptativas y un diseño universal.</w:t>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-Alteración de la comunicación (lenguaje comprensivo y expresivo).</w:t>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-Patrones de conducta restrictivos, repetitivos y estereotipados: rutinas, patrones de juego o intereses  restringidos, estereotipias motoras, destrezas imaginativas rígidas y restringidas. </w:t>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lo anterior, los niños diagnosticados con trastorno del espectro autista requieren de una educación inclusiva que los involucre en las actividades que propone la institución educativa, que atienda sus necesidades y potencie sus fortalezas de desarrollo humano. En el ámbito educativo, tanto en la edad preescolar como en la edad escolar se deben desarrollar habilidades como: esperar el turno, ofrecer ayuda, hablar amablemente, reconocer los propios sentimientos, tomar perspectivas, generar opciones para resolver situaciones problema y considerar las consecuencias de las acciones. “La educación hace viable la realización de la humanidad al hacerse sensible a las necesidades del otro, promoviendo la escucha activa y la posibilidad de ponerse en el lugar del otro para responder emocionalmente a las experiencias sociales (López-Calva, 2003).”</w:t>
      </w:r>
    </w:p>
    <w:p w:rsidR="00000000" w:rsidDel="00000000" w:rsidP="00000000" w:rsidRDefault="00000000" w:rsidRPr="00000000" w14:paraId="00000051">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Cuando se trabaja con un alumno con TEA es necesario ver qué dificultades presentan y cuál es el grado del mismo, basándonos en esas  necesidades e interés del niño.</w:t>
      </w:r>
    </w:p>
    <w:p w:rsidR="00000000" w:rsidDel="00000000" w:rsidP="00000000" w:rsidRDefault="00000000" w:rsidRPr="00000000" w14:paraId="00000052">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educación inclusiva significa reconocer la diferencia, dar respuesta a esa diferencia, proponer didácticas que respeten la dignidad de la persona humana y estimulan los procesos de aprendizaje.Para los niños con TEA, la vida en la escuela implica una negociación entre su forma particular de ser y las exigencias de la institución educativa para superar las barreras al aprendizaje, la participación, el mejoramiento de la calidad de vida y de esta manera se favorece la autonomía, el autocontrol y los procesos de autorregulación (Valdez, 2000).</w:t>
      </w:r>
    </w:p>
    <w:p w:rsidR="00000000" w:rsidDel="00000000" w:rsidP="00000000" w:rsidRDefault="00000000" w:rsidRPr="00000000" w14:paraId="00000053">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educación inclusiva debe ser vista como una posibilidad para innovar. La innovación educativa es entendida como un mundo de posibilidades que busca diversas rutas de aprendizaje y permite que el niño con trastorno del espectro autista domina diversos instrumentos y herramientas culturales. En este sentido, las prácticas pedagógicas deben dar respuesta de manera creativa al desafío que implica la respuesta educativa para estudiantes con TEA. Para lograr este objetivo es fundamental pensar específicamente en las necesidades del desarrollo psicológico particular de cada estudiante. Desde el ámbito de la educación inclusiva, la concepción en intervención del lenguaje en niños con trastorno del espectro autista se ha transformado, porque este ya no se centra en las dificultades, sino que se dirige a la introducción de diversos medios de acción para desarrollar habilidades específicas que facilitan la participación activa en el mundo social y cultural.</w:t>
      </w:r>
    </w:p>
    <w:p w:rsidR="00000000" w:rsidDel="00000000" w:rsidP="00000000" w:rsidRDefault="00000000" w:rsidRPr="00000000" w14:paraId="00000054">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3.Capítulo III </w:t>
      </w:r>
    </w:p>
    <w:p w:rsidR="00000000" w:rsidDel="00000000" w:rsidP="00000000" w:rsidRDefault="00000000" w:rsidRPr="00000000" w14:paraId="0000006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 </w:t>
      </w:r>
      <w:r w:rsidDel="00000000" w:rsidR="00000000" w:rsidRPr="00000000">
        <w:rPr>
          <w:rtl w:val="0"/>
        </w:rPr>
      </w:r>
    </w:p>
    <w:p w:rsidR="00000000" w:rsidDel="00000000" w:rsidP="00000000" w:rsidRDefault="00000000" w:rsidRPr="00000000" w14:paraId="0000006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Enfoque de investigación </w:t>
      </w:r>
    </w:p>
    <w:p w:rsidR="00000000" w:rsidDel="00000000" w:rsidP="00000000" w:rsidRDefault="00000000" w:rsidRPr="00000000" w14:paraId="0000006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a utilizar es la Cualitativa, porque permite alcanzar un análisis sistemático de información más subjetiva. A partir de ideas y opiniones sobre un determinado asunto, se abre el análisis no estadístico de los datos, que luego son interpretados de una forma subjetiva pero lógica y fundamentada.( lifeder,2020)</w:t>
      </w:r>
    </w:p>
    <w:p w:rsidR="00000000" w:rsidDel="00000000" w:rsidP="00000000" w:rsidRDefault="00000000" w:rsidRPr="00000000" w14:paraId="000000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también es importante destacar lo que menciona (Hernández Sampieri, Fernández Collado, &amp; Baptista Lucio, Metodología de la Investigación, 2006) respecto a la investigación cualitativa, que utiliza la recolección de datos sin medición numérica para descubrir o afinar preguntas de investigación en el proceso de interpretación.</w:t>
      </w:r>
    </w:p>
    <w:p w:rsidR="00000000" w:rsidDel="00000000" w:rsidP="00000000" w:rsidRDefault="00000000" w:rsidRPr="00000000" w14:paraId="0000006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Diseño de Investigación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investigación a utilizar  es el diseño </w:t>
      </w:r>
      <w:r w:rsidDel="00000000" w:rsidR="00000000" w:rsidRPr="00000000">
        <w:rPr>
          <w:rFonts w:ascii="Times New Roman" w:cs="Times New Roman" w:eastAsia="Times New Roman" w:hAnsi="Times New Roman"/>
          <w:sz w:val="24"/>
          <w:szCs w:val="24"/>
          <w:rtl w:val="0"/>
        </w:rPr>
        <w:t xml:space="preserve"> no emergente porque se  indagará el tema de investigación mediante métodos cualitativos de recogida y análisis de datos, pero que se recogerán los datos y luego se analizarán (Albert Gómez, 2006, p. 176).</w:t>
      </w:r>
    </w:p>
    <w:p w:rsidR="00000000" w:rsidDel="00000000" w:rsidP="00000000" w:rsidRDefault="00000000" w:rsidRPr="00000000" w14:paraId="0000006B">
      <w:pPr>
        <w:spacing w:after="0" w:line="36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b w:val="1"/>
          <w:sz w:val="24"/>
          <w:szCs w:val="24"/>
          <w:rtl w:val="0"/>
        </w:rPr>
        <w:t xml:space="preserve">Tipo de investigación </w:t>
      </w:r>
    </w:p>
    <w:p w:rsidR="00000000" w:rsidDel="00000000" w:rsidP="00000000" w:rsidRDefault="00000000" w:rsidRPr="00000000" w14:paraId="0000006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aquella que reseña las características o los rasgos de la situación o del fenómeno objeto en estudio(Bernal, 2010 p.122)</w:t>
      </w:r>
    </w:p>
    <w:p w:rsidR="00000000" w:rsidDel="00000000" w:rsidP="00000000" w:rsidRDefault="00000000" w:rsidRPr="00000000" w14:paraId="0000006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tipo de investigación es descriptiva ,en la que busca analizar la estimulación</w:t>
      </w:r>
      <w:r w:rsidDel="00000000" w:rsidR="00000000" w:rsidRPr="00000000">
        <w:rPr>
          <w:rFonts w:ascii="Times New Roman" w:cs="Times New Roman" w:eastAsia="Times New Roman" w:hAnsi="Times New Roman"/>
          <w:sz w:val="24"/>
          <w:szCs w:val="24"/>
          <w:rtl w:val="0"/>
        </w:rPr>
        <w:t xml:space="preserve"> de las habilidades del niño con trastorno del espectro autista a través del juego en edades de 3 y 4 años. </w:t>
      </w:r>
    </w:p>
    <w:p w:rsidR="00000000" w:rsidDel="00000000" w:rsidP="00000000" w:rsidRDefault="00000000" w:rsidRPr="00000000" w14:paraId="0000006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Técnica  e Instrumento de Recolección de datos </w:t>
      </w:r>
    </w:p>
    <w:p w:rsidR="00000000" w:rsidDel="00000000" w:rsidP="00000000" w:rsidRDefault="00000000" w:rsidRPr="00000000" w14:paraId="0000007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entenderá por técnica de investigación, el procedimiento o forma particular de obtener datos o </w:t>
      </w:r>
    </w:p>
    <w:p w:rsidR="00000000" w:rsidDel="00000000" w:rsidP="00000000" w:rsidRDefault="00000000" w:rsidRPr="00000000" w14:paraId="0000007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 Arias ,2006).Los instrumentos son las herramientas que sirven como apoyo para lograr el propósito del estudio. (Arias, 2020).</w:t>
      </w:r>
    </w:p>
    <w:p w:rsidR="00000000" w:rsidDel="00000000" w:rsidP="00000000" w:rsidRDefault="00000000" w:rsidRPr="00000000" w14:paraId="0000007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técnica de investigación a utilizar es la entrevista  y observación al docente del centro educativo</w:t>
      </w:r>
      <w:r w:rsidDel="00000000" w:rsidR="00000000" w:rsidRPr="00000000">
        <w:rPr>
          <w:rtl w:val="0"/>
        </w:rPr>
      </w:r>
    </w:p>
    <w:p w:rsidR="00000000" w:rsidDel="00000000" w:rsidP="00000000" w:rsidRDefault="00000000" w:rsidRPr="00000000" w14:paraId="0000007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instrumento a utilizar es la bitácora para registrar los acontecimientos diarios de los  individuos.</w:t>
      </w:r>
    </w:p>
    <w:p w:rsidR="00000000" w:rsidDel="00000000" w:rsidP="00000000" w:rsidRDefault="00000000" w:rsidRPr="00000000" w14:paraId="00000074">
      <w:pPr>
        <w:tabs>
          <w:tab w:val="left" w:pos="6751"/>
        </w:tabs>
        <w:spacing w:line="360" w:lineRule="auto"/>
        <w:rPr>
          <w:rFonts w:ascii="Times New Roman" w:cs="Times New Roman" w:eastAsia="Times New Roman" w:hAnsi="Times New Roman"/>
          <w:b w:val="1"/>
          <w:sz w:val="24"/>
          <w:szCs w:val="24"/>
        </w:rPr>
      </w:pPr>
      <w:bookmarkStart w:colFirst="0" w:colLast="0" w:name="_heading=h.6o1w5xjmm90n" w:id="1"/>
      <w:bookmarkEnd w:id="1"/>
      <w:r w:rsidDel="00000000" w:rsidR="00000000" w:rsidRPr="00000000">
        <w:rPr>
          <w:rFonts w:ascii="Times New Roman" w:cs="Times New Roman" w:eastAsia="Times New Roman" w:hAnsi="Times New Roman"/>
          <w:b w:val="1"/>
          <w:sz w:val="24"/>
          <w:szCs w:val="24"/>
          <w:rtl w:val="0"/>
        </w:rPr>
        <w:t xml:space="preserve">Población</w:t>
      </w:r>
    </w:p>
    <w:p w:rsidR="00000000" w:rsidDel="00000000" w:rsidP="00000000" w:rsidRDefault="00000000" w:rsidRPr="00000000" w14:paraId="00000075">
      <w:pPr>
        <w:tabs>
          <w:tab w:val="left" w:pos="6751"/>
        </w:tabs>
        <w:spacing w:line="360" w:lineRule="auto"/>
        <w:rPr>
          <w:rFonts w:ascii="Times New Roman" w:cs="Times New Roman" w:eastAsia="Times New Roman" w:hAnsi="Times New Roman"/>
          <w:b w:val="1"/>
          <w:sz w:val="24"/>
          <w:szCs w:val="24"/>
        </w:rPr>
      </w:pPr>
      <w:bookmarkStart w:colFirst="0" w:colLast="0" w:name="_heading=h.ru7o31zoafl" w:id="2"/>
      <w:bookmarkEnd w:id="2"/>
      <w:r w:rsidDel="00000000" w:rsidR="00000000" w:rsidRPr="00000000">
        <w:rPr>
          <w:rFonts w:ascii="Times New Roman" w:cs="Times New Roman" w:eastAsia="Times New Roman" w:hAnsi="Times New Roman"/>
          <w:sz w:val="24"/>
          <w:szCs w:val="24"/>
          <w:rtl w:val="0"/>
        </w:rPr>
        <w:t xml:space="preserve">Se llevará a cabo en un centro educativo de la ciudad de San Lorenzo.</w:t>
      </w:r>
      <w:r w:rsidDel="00000000" w:rsidR="00000000" w:rsidRPr="00000000">
        <w:rPr>
          <w:rtl w:val="0"/>
        </w:rPr>
      </w:r>
    </w:p>
    <w:p w:rsidR="00000000" w:rsidDel="00000000" w:rsidP="00000000" w:rsidRDefault="00000000" w:rsidRPr="00000000" w14:paraId="00000076">
      <w:pPr>
        <w:tabs>
          <w:tab w:val="left" w:pos="6751"/>
        </w:tabs>
        <w:spacing w:line="360" w:lineRule="auto"/>
        <w:rPr>
          <w:rFonts w:ascii="Times New Roman" w:cs="Times New Roman" w:eastAsia="Times New Roman" w:hAnsi="Times New Roman"/>
          <w:b w:val="1"/>
          <w:sz w:val="24"/>
          <w:szCs w:val="24"/>
        </w:rPr>
      </w:pPr>
      <w:bookmarkStart w:colFirst="0" w:colLast="0" w:name="_heading=h.wzotdwk5sdbv" w:id="3"/>
      <w:bookmarkEnd w:id="3"/>
      <w:r w:rsidDel="00000000" w:rsidR="00000000" w:rsidRPr="00000000">
        <w:rPr>
          <w:rFonts w:ascii="Times New Roman" w:cs="Times New Roman" w:eastAsia="Times New Roman" w:hAnsi="Times New Roman"/>
          <w:b w:val="1"/>
          <w:sz w:val="24"/>
          <w:szCs w:val="24"/>
          <w:rtl w:val="0"/>
        </w:rPr>
        <w:t xml:space="preserve">Unidad de análisis </w:t>
      </w:r>
    </w:p>
    <w:p w:rsidR="00000000" w:rsidDel="00000000" w:rsidP="00000000" w:rsidRDefault="00000000" w:rsidRPr="00000000" w14:paraId="00000077">
      <w:pPr>
        <w:tabs>
          <w:tab w:val="left" w:pos="6751"/>
        </w:tabs>
        <w:spacing w:line="360" w:lineRule="auto"/>
        <w:rPr>
          <w:rFonts w:ascii="Times New Roman" w:cs="Times New Roman" w:eastAsia="Times New Roman" w:hAnsi="Times New Roman"/>
          <w:sz w:val="24"/>
          <w:szCs w:val="24"/>
        </w:rPr>
      </w:pPr>
      <w:bookmarkStart w:colFirst="0" w:colLast="0" w:name="_heading=h.ddspw5o3z92b" w:id="4"/>
      <w:bookmarkEnd w:id="4"/>
      <w:r w:rsidDel="00000000" w:rsidR="00000000" w:rsidRPr="00000000">
        <w:rPr>
          <w:rFonts w:ascii="Times New Roman" w:cs="Times New Roman" w:eastAsia="Times New Roman" w:hAnsi="Times New Roman"/>
          <w:sz w:val="24"/>
          <w:szCs w:val="24"/>
          <w:rtl w:val="0"/>
        </w:rPr>
        <w:t xml:space="preserve">La unidad de análisis es aquel objeto de estudio de quién se producen los datos o la  información para el análisis del estudio. (Arias, 2020, p.62</w:t>
      </w:r>
      <w:r w:rsidDel="00000000" w:rsidR="00000000" w:rsidRPr="00000000">
        <w:rPr>
          <w:rtl w:val="0"/>
        </w:rPr>
      </w:r>
    </w:p>
    <w:p w:rsidR="00000000" w:rsidDel="00000000" w:rsidP="00000000" w:rsidRDefault="00000000" w:rsidRPr="00000000" w14:paraId="00000078">
      <w:pPr>
        <w:tabs>
          <w:tab w:val="left" w:pos="6751"/>
        </w:tabs>
        <w:spacing w:line="360" w:lineRule="auto"/>
        <w:rPr>
          <w:rFonts w:ascii="Times New Roman" w:cs="Times New Roman" w:eastAsia="Times New Roman" w:hAnsi="Times New Roman"/>
          <w:sz w:val="24"/>
          <w:szCs w:val="24"/>
        </w:rPr>
      </w:pPr>
      <w:bookmarkStart w:colFirst="0" w:colLast="0" w:name="_heading=h.3wp0i34xha1a" w:id="5"/>
      <w:bookmarkEnd w:id="5"/>
      <w:r w:rsidDel="00000000" w:rsidR="00000000" w:rsidRPr="00000000">
        <w:rPr>
          <w:rFonts w:ascii="Times New Roman" w:cs="Times New Roman" w:eastAsia="Times New Roman" w:hAnsi="Times New Roman"/>
          <w:sz w:val="24"/>
          <w:szCs w:val="24"/>
          <w:rtl w:val="0"/>
        </w:rPr>
        <w:t xml:space="preserve">La unidad de análisis de esta investigación la conformanUn niño con trastorno del espectro autista del jardín de infantes. </w:t>
      </w:r>
    </w:p>
    <w:p w:rsidR="00000000" w:rsidDel="00000000" w:rsidP="00000000" w:rsidRDefault="00000000" w:rsidRPr="00000000" w14:paraId="00000079">
      <w:pPr>
        <w:tabs>
          <w:tab w:val="left" w:pos="6751"/>
        </w:tabs>
        <w:spacing w:line="360" w:lineRule="auto"/>
        <w:rPr>
          <w:rFonts w:ascii="Times New Roman" w:cs="Times New Roman" w:eastAsia="Times New Roman" w:hAnsi="Times New Roman"/>
          <w:b w:val="1"/>
          <w:sz w:val="24"/>
          <w:szCs w:val="24"/>
        </w:rPr>
      </w:pPr>
      <w:bookmarkStart w:colFirst="0" w:colLast="0" w:name="_heading=h.puad8n8lcjnj" w:id="6"/>
      <w:bookmarkEnd w:id="6"/>
      <w:r w:rsidDel="00000000" w:rsidR="00000000" w:rsidRPr="00000000">
        <w:rPr>
          <w:rtl w:val="0"/>
        </w:rPr>
      </w:r>
    </w:p>
    <w:p w:rsidR="00000000" w:rsidDel="00000000" w:rsidP="00000000" w:rsidRDefault="00000000" w:rsidRPr="00000000" w14:paraId="0000007A">
      <w:pPr>
        <w:tabs>
          <w:tab w:val="left" w:pos="6751"/>
        </w:tabs>
        <w:spacing w:line="360" w:lineRule="auto"/>
        <w:rPr>
          <w:rFonts w:ascii="Times New Roman" w:cs="Times New Roman" w:eastAsia="Times New Roman" w:hAnsi="Times New Roman"/>
          <w:b w:val="1"/>
          <w:sz w:val="24"/>
          <w:szCs w:val="24"/>
        </w:rPr>
      </w:pPr>
      <w:bookmarkStart w:colFirst="0" w:colLast="0" w:name="_heading=h.2bk5k07us439" w:id="7"/>
      <w:bookmarkEnd w:id="7"/>
      <w:r w:rsidDel="00000000" w:rsidR="00000000" w:rsidRPr="00000000">
        <w:rPr>
          <w:rtl w:val="0"/>
        </w:rPr>
      </w:r>
    </w:p>
    <w:p w:rsidR="00000000" w:rsidDel="00000000" w:rsidP="00000000" w:rsidRDefault="00000000" w:rsidRPr="00000000" w14:paraId="0000007B">
      <w:pPr>
        <w:tabs>
          <w:tab w:val="left" w:pos="6751"/>
        </w:tabs>
        <w:spacing w:line="360" w:lineRule="auto"/>
        <w:rPr>
          <w:rFonts w:ascii="Times New Roman" w:cs="Times New Roman" w:eastAsia="Times New Roman" w:hAnsi="Times New Roman"/>
          <w:b w:val="1"/>
          <w:sz w:val="24"/>
          <w:szCs w:val="24"/>
        </w:rPr>
      </w:pPr>
      <w:bookmarkStart w:colFirst="0" w:colLast="0" w:name="_heading=h.lfppnpuhysng" w:id="8"/>
      <w:bookmarkEnd w:id="8"/>
      <w:r w:rsidDel="00000000" w:rsidR="00000000" w:rsidRPr="00000000">
        <w:rPr>
          <w:rtl w:val="0"/>
        </w:rPr>
      </w:r>
    </w:p>
    <w:p w:rsidR="00000000" w:rsidDel="00000000" w:rsidP="00000000" w:rsidRDefault="00000000" w:rsidRPr="00000000" w14:paraId="0000007C">
      <w:pPr>
        <w:tabs>
          <w:tab w:val="left" w:pos="6751"/>
        </w:tabs>
        <w:spacing w:line="360" w:lineRule="auto"/>
        <w:rPr>
          <w:rFonts w:ascii="Times New Roman" w:cs="Times New Roman" w:eastAsia="Times New Roman" w:hAnsi="Times New Roman"/>
          <w:b w:val="1"/>
          <w:sz w:val="24"/>
          <w:szCs w:val="24"/>
        </w:rPr>
      </w:pPr>
      <w:bookmarkStart w:colFirst="0" w:colLast="0" w:name="_heading=h.766phtarjc0" w:id="9"/>
      <w:bookmarkEnd w:id="9"/>
      <w:r w:rsidDel="00000000" w:rsidR="00000000" w:rsidRPr="00000000">
        <w:rPr>
          <w:rtl w:val="0"/>
        </w:rPr>
      </w:r>
    </w:p>
    <w:p w:rsidR="00000000" w:rsidDel="00000000" w:rsidP="00000000" w:rsidRDefault="00000000" w:rsidRPr="00000000" w14:paraId="0000007D">
      <w:pPr>
        <w:tabs>
          <w:tab w:val="left" w:pos="6751"/>
        </w:tabs>
        <w:spacing w:line="360" w:lineRule="auto"/>
        <w:rPr>
          <w:rFonts w:ascii="Times New Roman" w:cs="Times New Roman" w:eastAsia="Times New Roman" w:hAnsi="Times New Roman"/>
          <w:b w:val="1"/>
          <w:sz w:val="24"/>
          <w:szCs w:val="24"/>
        </w:rPr>
      </w:pPr>
      <w:bookmarkStart w:colFirst="0" w:colLast="0" w:name="_heading=h.9d3gyz18jvnp" w:id="10"/>
      <w:bookmarkEnd w:id="10"/>
      <w:r w:rsidDel="00000000" w:rsidR="00000000" w:rsidRPr="00000000">
        <w:rPr>
          <w:rtl w:val="0"/>
        </w:rPr>
      </w:r>
    </w:p>
    <w:p w:rsidR="00000000" w:rsidDel="00000000" w:rsidP="00000000" w:rsidRDefault="00000000" w:rsidRPr="00000000" w14:paraId="0000007E">
      <w:pPr>
        <w:tabs>
          <w:tab w:val="left" w:pos="6751"/>
        </w:tabs>
        <w:spacing w:line="360" w:lineRule="auto"/>
        <w:rPr>
          <w:rFonts w:ascii="Times New Roman" w:cs="Times New Roman" w:eastAsia="Times New Roman" w:hAnsi="Times New Roman"/>
          <w:b w:val="1"/>
          <w:sz w:val="24"/>
          <w:szCs w:val="24"/>
        </w:rPr>
      </w:pPr>
      <w:bookmarkStart w:colFirst="0" w:colLast="0" w:name="_heading=h.xolg9ow0rvkf" w:id="11"/>
      <w:bookmarkEnd w:id="11"/>
      <w:r w:rsidDel="00000000" w:rsidR="00000000" w:rsidRPr="00000000">
        <w:rPr>
          <w:rtl w:val="0"/>
        </w:rPr>
      </w:r>
    </w:p>
    <w:p w:rsidR="00000000" w:rsidDel="00000000" w:rsidP="00000000" w:rsidRDefault="00000000" w:rsidRPr="00000000" w14:paraId="0000007F">
      <w:pPr>
        <w:tabs>
          <w:tab w:val="left" w:pos="6751"/>
        </w:tabs>
        <w:spacing w:line="360" w:lineRule="auto"/>
        <w:rPr>
          <w:rFonts w:ascii="Times New Roman" w:cs="Times New Roman" w:eastAsia="Times New Roman" w:hAnsi="Times New Roman"/>
          <w:b w:val="1"/>
          <w:sz w:val="24"/>
          <w:szCs w:val="24"/>
        </w:rPr>
      </w:pPr>
      <w:bookmarkStart w:colFirst="0" w:colLast="0" w:name="_heading=h.xw865x8i54a4" w:id="12"/>
      <w:bookmarkEnd w:id="12"/>
      <w:r w:rsidDel="00000000" w:rsidR="00000000" w:rsidRPr="00000000">
        <w:rPr>
          <w:rtl w:val="0"/>
        </w:rPr>
      </w:r>
    </w:p>
    <w:p w:rsidR="00000000" w:rsidDel="00000000" w:rsidP="00000000" w:rsidRDefault="00000000" w:rsidRPr="00000000" w14:paraId="00000080">
      <w:pPr>
        <w:tabs>
          <w:tab w:val="left" w:pos="6751"/>
        </w:tabs>
        <w:spacing w:line="360" w:lineRule="auto"/>
        <w:rPr>
          <w:rFonts w:ascii="Times New Roman" w:cs="Times New Roman" w:eastAsia="Times New Roman" w:hAnsi="Times New Roman"/>
          <w:b w:val="1"/>
          <w:sz w:val="24"/>
          <w:szCs w:val="24"/>
        </w:rPr>
      </w:pPr>
      <w:bookmarkStart w:colFirst="0" w:colLast="0" w:name="_heading=h.gui1somzeiem" w:id="13"/>
      <w:bookmarkEnd w:id="13"/>
      <w:r w:rsidDel="00000000" w:rsidR="00000000" w:rsidRPr="00000000">
        <w:rPr>
          <w:rtl w:val="0"/>
        </w:rPr>
      </w:r>
    </w:p>
    <w:p w:rsidR="00000000" w:rsidDel="00000000" w:rsidP="00000000" w:rsidRDefault="00000000" w:rsidRPr="00000000" w14:paraId="00000081">
      <w:pPr>
        <w:tabs>
          <w:tab w:val="left" w:pos="6751"/>
        </w:tabs>
        <w:spacing w:line="360" w:lineRule="auto"/>
        <w:rPr>
          <w:rFonts w:ascii="Times New Roman" w:cs="Times New Roman" w:eastAsia="Times New Roman" w:hAnsi="Times New Roman"/>
          <w:b w:val="1"/>
          <w:sz w:val="24"/>
          <w:szCs w:val="24"/>
        </w:rPr>
      </w:pPr>
      <w:bookmarkStart w:colFirst="0" w:colLast="0" w:name="_heading=h.md0txwpts34" w:id="14"/>
      <w:bookmarkEnd w:id="14"/>
      <w:r w:rsidDel="00000000" w:rsidR="00000000" w:rsidRPr="00000000">
        <w:rPr>
          <w:rtl w:val="0"/>
        </w:rPr>
      </w:r>
    </w:p>
    <w:p w:rsidR="00000000" w:rsidDel="00000000" w:rsidP="00000000" w:rsidRDefault="00000000" w:rsidRPr="00000000" w14:paraId="00000082">
      <w:pPr>
        <w:tabs>
          <w:tab w:val="left" w:pos="6751"/>
        </w:tabs>
        <w:spacing w:line="360" w:lineRule="auto"/>
        <w:rPr>
          <w:rFonts w:ascii="Times New Roman" w:cs="Times New Roman" w:eastAsia="Times New Roman" w:hAnsi="Times New Roman"/>
          <w:b w:val="1"/>
          <w:sz w:val="24"/>
          <w:szCs w:val="24"/>
        </w:rPr>
      </w:pPr>
      <w:bookmarkStart w:colFirst="0" w:colLast="0" w:name="_heading=h.59xzbvxudptt" w:id="15"/>
      <w:bookmarkEnd w:id="15"/>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83">
      <w:pPr>
        <w:tabs>
          <w:tab w:val="left" w:pos="6751"/>
        </w:tabs>
        <w:spacing w:after="0" w:line="480" w:lineRule="auto"/>
        <w:rPr>
          <w:rFonts w:ascii="Times New Roman" w:cs="Times New Roman" w:eastAsia="Times New Roman" w:hAnsi="Times New Roman"/>
          <w:b w:val="1"/>
          <w:sz w:val="24"/>
          <w:szCs w:val="24"/>
        </w:rPr>
      </w:pPr>
      <w:bookmarkStart w:colFirst="0" w:colLast="0" w:name="_heading=h.k2crggwuggyz" w:id="16"/>
      <w:bookmarkEnd w:id="16"/>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84">
      <w:pPr>
        <w:tabs>
          <w:tab w:val="left" w:pos="6751"/>
        </w:tabs>
        <w:spacing w:after="0" w:line="480" w:lineRule="auto"/>
        <w:ind w:left="720"/>
        <w:rPr>
          <w:rFonts w:ascii="Times New Roman" w:cs="Times New Roman" w:eastAsia="Times New Roman" w:hAnsi="Times New Roman"/>
          <w:b w:val="1"/>
          <w:sz w:val="24"/>
          <w:szCs w:val="24"/>
        </w:rPr>
      </w:pPr>
      <w:bookmarkStart w:colFirst="0" w:colLast="0" w:name="_heading=h.qjv87j74lhnt" w:id="17"/>
      <w:bookmarkEnd w:id="17"/>
      <w:r w:rsidDel="00000000" w:rsidR="00000000" w:rsidRPr="00000000">
        <w:rPr>
          <w:rFonts w:ascii="Times New Roman" w:cs="Times New Roman" w:eastAsia="Times New Roman" w:hAnsi="Times New Roman"/>
          <w:sz w:val="24"/>
          <w:szCs w:val="24"/>
          <w:rtl w:val="0"/>
        </w:rPr>
        <w:t xml:space="preserve">López, C. (n.d.). El juego como estrategia para el desarrollo del lenguaje en un niño con Trastorno del Espectro Autista desde el ámbito de la educación inclusiva.</w:t>
      </w:r>
      <w:r w:rsidDel="00000000" w:rsidR="00000000" w:rsidRPr="00000000">
        <w:rPr>
          <w:rtl w:val="0"/>
        </w:rPr>
      </w:r>
    </w:p>
    <w:p w:rsidR="00000000" w:rsidDel="00000000" w:rsidP="00000000" w:rsidRDefault="00000000" w:rsidRPr="00000000" w14:paraId="00000085">
      <w:pPr>
        <w:tabs>
          <w:tab w:val="left" w:pos="6751"/>
        </w:tabs>
        <w:spacing w:after="0" w:line="480" w:lineRule="auto"/>
        <w:ind w:left="720"/>
        <w:rPr>
          <w:rFonts w:ascii="Times New Roman" w:cs="Times New Roman" w:eastAsia="Times New Roman" w:hAnsi="Times New Roman"/>
          <w:sz w:val="24"/>
          <w:szCs w:val="24"/>
        </w:rPr>
      </w:pPr>
      <w:bookmarkStart w:colFirst="0" w:colLast="0" w:name="_heading=h.o4quhw8eoiwq" w:id="18"/>
      <w:bookmarkEnd w:id="18"/>
      <w:r w:rsidDel="00000000" w:rsidR="00000000" w:rsidRPr="00000000">
        <w:rPr>
          <w:rFonts w:ascii="Times New Roman" w:cs="Times New Roman" w:eastAsia="Times New Roman" w:hAnsi="Times New Roman"/>
          <w:sz w:val="24"/>
          <w:szCs w:val="24"/>
          <w:rtl w:val="0"/>
        </w:rPr>
        <w:t xml:space="preserve">Ballesteros, A. (2018). </w:t>
      </w:r>
      <w:r w:rsidDel="00000000" w:rsidR="00000000" w:rsidRPr="00000000">
        <w:rPr>
          <w:rFonts w:ascii="Times New Roman" w:cs="Times New Roman" w:eastAsia="Times New Roman" w:hAnsi="Times New Roman"/>
          <w:i w:val="1"/>
          <w:sz w:val="24"/>
          <w:szCs w:val="24"/>
          <w:rtl w:val="0"/>
        </w:rPr>
        <w:t xml:space="preserve">El desarrollo del lenguaje y la comunicación a través del juego en niños con trastorno del espectro autista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tabs>
          <w:tab w:val="left" w:pos="6751"/>
        </w:tabs>
        <w:spacing w:after="0" w:line="480" w:lineRule="auto"/>
        <w:ind w:left="720"/>
        <w:rPr>
          <w:rFonts w:ascii="Times New Roman" w:cs="Times New Roman" w:eastAsia="Times New Roman" w:hAnsi="Times New Roman"/>
          <w:sz w:val="24"/>
          <w:szCs w:val="24"/>
        </w:rPr>
      </w:pPr>
      <w:bookmarkStart w:colFirst="0" w:colLast="0" w:name="_heading=h.6xobxa6cext3" w:id="19"/>
      <w:bookmarkEnd w:id="19"/>
      <w:r w:rsidDel="00000000" w:rsidR="00000000" w:rsidRPr="00000000">
        <w:rPr>
          <w:rFonts w:ascii="Times New Roman" w:cs="Times New Roman" w:eastAsia="Times New Roman" w:hAnsi="Times New Roman"/>
          <w:sz w:val="24"/>
          <w:szCs w:val="24"/>
          <w:rtl w:val="0"/>
        </w:rPr>
        <w:t xml:space="preserve">Villanueva, C. (2018, mayo-junio). Autismo y teoría de la mente. </w:t>
      </w:r>
      <w:r w:rsidDel="00000000" w:rsidR="00000000" w:rsidRPr="00000000">
        <w:rPr>
          <w:rFonts w:ascii="Times New Roman" w:cs="Times New Roman" w:eastAsia="Times New Roman" w:hAnsi="Times New Roman"/>
          <w:i w:val="1"/>
          <w:sz w:val="24"/>
          <w:szCs w:val="24"/>
          <w:rtl w:val="0"/>
        </w:rPr>
        <w:t xml:space="preserve">Desarrollando habilidades emocionales, neurocognitivas y sociales en niños con autismo</w:t>
      </w:r>
      <w:r w:rsidDel="00000000" w:rsidR="00000000" w:rsidRPr="00000000">
        <w:rPr>
          <w:rFonts w:ascii="Times New Roman" w:cs="Times New Roman" w:eastAsia="Times New Roman" w:hAnsi="Times New Roman"/>
          <w:sz w:val="24"/>
          <w:szCs w:val="24"/>
          <w:rtl w:val="0"/>
        </w:rPr>
        <w:t xml:space="preserve">, 43-59.</w:t>
      </w:r>
    </w:p>
    <w:p w:rsidR="00000000" w:rsidDel="00000000" w:rsidP="00000000" w:rsidRDefault="00000000" w:rsidRPr="00000000" w14:paraId="00000087">
      <w:pPr>
        <w:tabs>
          <w:tab w:val="left" w:pos="6751"/>
        </w:tabs>
        <w:spacing w:after="0" w:line="480" w:lineRule="auto"/>
        <w:ind w:left="720"/>
        <w:rPr>
          <w:rFonts w:ascii="Times New Roman" w:cs="Times New Roman" w:eastAsia="Times New Roman" w:hAnsi="Times New Roman"/>
          <w:sz w:val="24"/>
          <w:szCs w:val="24"/>
        </w:rPr>
      </w:pPr>
      <w:bookmarkStart w:colFirst="0" w:colLast="0" w:name="_heading=h.si53d4f2xuv1" w:id="20"/>
      <w:bookmarkEnd w:id="20"/>
      <w:r w:rsidDel="00000000" w:rsidR="00000000" w:rsidRPr="00000000">
        <w:rPr>
          <w:rFonts w:ascii="Times New Roman" w:cs="Times New Roman" w:eastAsia="Times New Roman" w:hAnsi="Times New Roman"/>
          <w:sz w:val="24"/>
          <w:szCs w:val="24"/>
          <w:rtl w:val="0"/>
        </w:rPr>
        <w:t xml:space="preserve">Gonzalez Moreno, C. (2018). El juego como estrategia del desarrollo del lenguaje en un niño con trastorno del espectro autista desde el ámbito de la educación inclusiva. </w:t>
      </w:r>
      <w:r w:rsidDel="00000000" w:rsidR="00000000" w:rsidRPr="00000000">
        <w:rPr>
          <w:rFonts w:ascii="Times New Roman" w:cs="Times New Roman" w:eastAsia="Times New Roman" w:hAnsi="Times New Roman"/>
          <w:i w:val="1"/>
          <w:sz w:val="24"/>
          <w:szCs w:val="24"/>
          <w:rtl w:val="0"/>
        </w:rPr>
        <w:t xml:space="preserve">IE Revista de investigación educativa de REDIECH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9-31.</w:t>
      </w:r>
    </w:p>
    <w:p w:rsidR="00000000" w:rsidDel="00000000" w:rsidP="00000000" w:rsidRDefault="00000000" w:rsidRPr="00000000" w14:paraId="00000088">
      <w:pPr>
        <w:tabs>
          <w:tab w:val="left" w:pos="6751"/>
        </w:tabs>
        <w:spacing w:after="0" w:line="480" w:lineRule="auto"/>
        <w:ind w:left="720"/>
        <w:rPr>
          <w:rFonts w:ascii="Times New Roman" w:cs="Times New Roman" w:eastAsia="Times New Roman" w:hAnsi="Times New Roman"/>
          <w:b w:val="1"/>
          <w:sz w:val="24"/>
          <w:szCs w:val="24"/>
        </w:rPr>
      </w:pPr>
      <w:bookmarkStart w:colFirst="0" w:colLast="0" w:name="_heading=h.jn49gzxnjnh5" w:id="21"/>
      <w:bookmarkEnd w:id="21"/>
      <w:r w:rsidDel="00000000" w:rsidR="00000000" w:rsidRPr="00000000">
        <w:rPr>
          <w:rtl w:val="0"/>
        </w:rPr>
      </w:r>
    </w:p>
    <w:sectPr>
      <w:headerReference r:id="rId7" w:type="default"/>
      <w:footerReference r:id="rId8" w:type="default"/>
      <w:pgSz w:h="15840" w:w="12240" w:orient="portrait"/>
      <w:pgMar w:bottom="1440.0000000000002" w:top="1440.0000000000002" w:left="1440.0000000000002" w:right="1440.00000000000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vo">
    <w:embedRegular w:fontKey="{00000000-0000-0000-0000-000000000000}" r:id="rId5" w:subsetted="0"/>
    <w:embe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color="000000" w:space="1" w:sz="4" w:val="single"/>
        <w:bottom w:color="000000" w:space="1" w:sz="4" w:val="single"/>
      </w:pBdr>
      <w:spacing w:after="0" w:line="240" w:lineRule="auto"/>
      <w:jc w:val="center"/>
      <w:rPr>
        <w:rFonts w:ascii="Arial Narrow" w:cs="Arial Narrow" w:eastAsia="Arial Narrow" w:hAnsi="Arial Narrow"/>
        <w:i w:val="1"/>
        <w:color w:val="404040"/>
        <w:sz w:val="12"/>
        <w:szCs w:val="12"/>
      </w:rPr>
    </w:pPr>
    <w:r w:rsidDel="00000000" w:rsidR="00000000" w:rsidRPr="00000000">
      <w:rPr>
        <w:rFonts w:ascii="Arial Narrow" w:cs="Arial Narrow" w:eastAsia="Arial Narrow" w:hAnsi="Arial Narrow"/>
        <w:i w:val="1"/>
        <w:color w:val="404040"/>
        <w:sz w:val="12"/>
        <w:szCs w:val="12"/>
        <w:rtl w:val="0"/>
      </w:rPr>
      <w:t xml:space="preserve">Visión: Constituirse en una institución líder en la construcción y validación de innovaciones educativas, con un enfoque personalista, ético e integrador, reconocida por su excelencia académica a nivel nacional, regional y mundial.</w:t>
    </w:r>
  </w:p>
  <w:p w:rsidR="00000000" w:rsidDel="00000000" w:rsidP="00000000" w:rsidRDefault="00000000" w:rsidRPr="00000000" w14:paraId="00000092">
    <w:pPr>
      <w:spacing w:after="0" w:line="240" w:lineRule="auto"/>
      <w:ind w:left="1843" w:right="850" w:firstLine="0"/>
      <w:jc w:val="center"/>
      <w:rPr>
        <w:rFonts w:ascii="Arial Narrow" w:cs="Arial Narrow" w:eastAsia="Arial Narrow" w:hAnsi="Arial Narrow"/>
        <w:color w:val="404040"/>
        <w:sz w:val="12"/>
        <w:szCs w:val="12"/>
      </w:rPr>
    </w:pPr>
    <w:r w:rsidDel="00000000" w:rsidR="00000000" w:rsidRPr="00000000">
      <w:rPr>
        <w:rFonts w:ascii="Arial Narrow" w:cs="Arial Narrow" w:eastAsia="Arial Narrow" w:hAnsi="Arial Narrow"/>
        <w:color w:val="404040"/>
        <w:sz w:val="12"/>
        <w:szCs w:val="12"/>
        <w:rtl w:val="0"/>
      </w:rPr>
      <w:t xml:space="preserve">INAES jehechaukapy: INAES mbo´ehaopav</w:t>
    </w:r>
    <w:r w:rsidDel="00000000" w:rsidR="00000000" w:rsidRPr="00000000">
      <w:rPr>
        <w:rFonts w:ascii="Arial" w:cs="Arial" w:eastAsia="Arial" w:hAnsi="Arial"/>
        <w:color w:val="404040"/>
        <w:sz w:val="12"/>
        <w:szCs w:val="12"/>
        <w:rtl w:val="0"/>
      </w:rPr>
      <w:t xml:space="preserve">ẽ</w:t>
    </w:r>
    <w:r w:rsidDel="00000000" w:rsidR="00000000" w:rsidRPr="00000000">
      <w:rPr>
        <w:rFonts w:ascii="Arial Narrow" w:cs="Arial Narrow" w:eastAsia="Arial Narrow" w:hAnsi="Arial Narrow"/>
        <w:color w:val="404040"/>
        <w:sz w:val="12"/>
        <w:szCs w:val="12"/>
        <w:rtl w:val="0"/>
      </w:rPr>
      <w:t xml:space="preserve"> omoakãrapu’ã, omoañetete ha omotenondéva tekombo’epy pyahu, oñangarekóva maymávare tapichaháicha, tekoporãite ha ñombyaty rupive, oñemomba’eguasúva hembiapo porãrasa rehe, ñane retã ha arapy tuichakue javevére.</w:t>
    </w:r>
  </w:p>
  <w:p w:rsidR="00000000" w:rsidDel="00000000" w:rsidP="00000000" w:rsidRDefault="00000000" w:rsidRPr="00000000" w14:paraId="00000093">
    <w:pPr>
      <w:tabs>
        <w:tab w:val="left" w:pos="9639"/>
      </w:tabs>
      <w:spacing w:after="0" w:line="240" w:lineRule="auto"/>
      <w:ind w:left="1843" w:firstLine="0"/>
      <w:jc w:val="center"/>
      <w:rPr>
        <w:rFonts w:ascii="Arial Narrow" w:cs="Arial Narrow" w:eastAsia="Arial Narrow" w:hAnsi="Arial Narrow"/>
        <w:color w:val="404040"/>
        <w:sz w:val="12"/>
        <w:szCs w:val="12"/>
      </w:rPr>
    </w:pPr>
    <w:r w:rsidDel="00000000" w:rsidR="00000000" w:rsidRPr="00000000">
      <w:rPr>
        <w:rtl w:val="0"/>
      </w:rPr>
    </w:r>
  </w:p>
  <w:p w:rsidR="00000000" w:rsidDel="00000000" w:rsidP="00000000" w:rsidRDefault="00000000" w:rsidRPr="00000000" w14:paraId="00000094">
    <w:pPr>
      <w:spacing w:after="0" w:lineRule="auto"/>
      <w:rPr>
        <w:i w:val="1"/>
        <w:color w:val="000000"/>
        <w:sz w:val="4"/>
        <w:szCs w:val="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2326005" cy="127635"/>
              <wp:effectExtent b="0" l="0" r="0" t="0"/>
              <wp:wrapNone/>
              <wp:docPr id="22" name=""/>
              <a:graphic>
                <a:graphicData uri="http://schemas.microsoft.com/office/word/2010/wordprocessingShape">
                  <wps:wsp>
                    <wps:cNvSpPr/>
                    <wps:cNvPr id="5" name="Shape 5"/>
                    <wps:spPr>
                      <a:xfrm>
                        <a:off x="4187760" y="3720945"/>
                        <a:ext cx="2316480" cy="118110"/>
                      </a:xfrm>
                      <a:prstGeom prst="rect">
                        <a:avLst/>
                      </a:prstGeom>
                      <a:gradFill>
                        <a:gsLst>
                          <a:gs pos="0">
                            <a:srgbClr val="FFFFFF"/>
                          </a:gs>
                          <a:gs pos="100000">
                            <a:srgbClr val="FF9393"/>
                          </a:gs>
                        </a:gsLst>
                        <a:lin ang="18900000" scaled="0"/>
                      </a:gradFill>
                      <a:ln>
                        <a:noFill/>
                      </a:ln>
                    </wps:spPr>
                    <wps:txbx>
                      <w:txbxContent>
                        <w:p w:rsidR="00000000" w:rsidDel="00000000" w:rsidP="00000000" w:rsidRDefault="00000000" w:rsidRPr="00000000">
                          <w:pPr>
                            <w:spacing w:after="0" w:before="0" w:line="275.9999942779541"/>
                            <w:ind w:left="0" w:right="141.00000381469727" w:firstLine="0"/>
                            <w:jc w:val="left"/>
                            <w:textDirection w:val="btLr"/>
                          </w:pPr>
                          <w:r w:rsidDel="00000000" w:rsidR="00000000" w:rsidRPr="00000000">
                            <w:rPr>
                              <w:rFonts w:ascii="Bookman Old Style" w:cs="Bookman Old Style" w:eastAsia="Bookman Old Style" w:hAnsi="Bookman Old Style"/>
                              <w:b w:val="1"/>
                              <w:i w:val="1"/>
                              <w:smallCaps w:val="0"/>
                              <w:strike w:val="0"/>
                              <w:color w:val="0d0d0d"/>
                              <w:sz w:val="12"/>
                              <w:vertAlign w:val="baseline"/>
                            </w:rPr>
                            <w:t xml:space="preserve">Instituto Nacional de Educación Superior  </w:t>
                          </w:r>
                          <w:r w:rsidDel="00000000" w:rsidR="00000000" w:rsidRPr="00000000">
                            <w:rPr>
                              <w:rFonts w:ascii="Bookman Old Style" w:cs="Bookman Old Style" w:eastAsia="Bookman Old Style" w:hAnsi="Bookman Old Style"/>
                              <w:b w:val="0"/>
                              <w:i w:val="1"/>
                              <w:smallCaps w:val="0"/>
                              <w:strike w:val="0"/>
                              <w:color w:val="0d0d0d"/>
                              <w:sz w:val="10"/>
                              <w:vertAlign w:val="baseline"/>
                            </w:rPr>
                            <w:t xml:space="preserve">Dr. Raúl Peña</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Bookman Old Style" w:cs="Bookman Old Style" w:eastAsia="Bookman Old Style" w:hAnsi="Bookman Old Style"/>
                              <w:b w:val="0"/>
                              <w:i w:val="1"/>
                              <w:smallCaps w:val="0"/>
                              <w:strike w:val="0"/>
                              <w:color w:val="000000"/>
                              <w:sz w:val="14"/>
                              <w:vertAlign w:val="baseline"/>
                            </w:rPr>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Narrow" w:cs="Arial Narrow" w:eastAsia="Arial Narrow" w:hAnsi="Arial Narrow"/>
                              <w:b w:val="1"/>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2326005" cy="127635"/>
              <wp:effectExtent b="0" l="0" r="0" t="0"/>
              <wp:wrapNone/>
              <wp:docPr id="2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326005" cy="127635"/>
                      </a:xfrm>
                      <a:prstGeom prst="rect"/>
                      <a:ln/>
                    </pic:spPr>
                  </pic:pic>
                </a:graphicData>
              </a:graphic>
            </wp:anchor>
          </w:drawing>
        </mc:Fallback>
      </mc:AlternateContent>
    </w:r>
  </w:p>
  <w:p w:rsidR="00000000" w:rsidDel="00000000" w:rsidP="00000000" w:rsidRDefault="00000000" w:rsidRPr="00000000" w14:paraId="00000095">
    <w:pPr>
      <w:spacing w:after="0" w:lineRule="auto"/>
      <w:ind w:right="-29"/>
      <w:jc w:val="right"/>
      <w:rPr>
        <w:rFonts w:ascii="Rosarivo" w:cs="Rosarivo" w:eastAsia="Rosarivo" w:hAnsi="Rosarivo"/>
        <w:color w:val="000000"/>
        <w:sz w:val="14"/>
        <w:szCs w:val="14"/>
      </w:rPr>
    </w:pPr>
    <w:r w:rsidDel="00000000" w:rsidR="00000000" w:rsidRPr="00000000">
      <w:rPr>
        <w:rFonts w:ascii="Rosarivo" w:cs="Rosarivo" w:eastAsia="Rosarivo" w:hAnsi="Rosarivo"/>
        <w:i w:val="1"/>
        <w:color w:val="000000"/>
        <w:sz w:val="14"/>
        <w:szCs w:val="14"/>
        <w:rtl w:val="0"/>
      </w:rPr>
      <w:t xml:space="preserve"> </w:t>
      <w:tab/>
      <w:tab/>
    </w:r>
    <w:r w:rsidDel="00000000" w:rsidR="00000000" w:rsidRPr="00000000">
      <w:rPr>
        <w:rFonts w:ascii="Rosarivo" w:cs="Rosarivo" w:eastAsia="Rosarivo" w:hAnsi="Rosarivo"/>
        <w:color w:val="000000"/>
        <w:sz w:val="14"/>
        <w:szCs w:val="14"/>
        <w:rtl w:val="0"/>
      </w:rPr>
      <w:t xml:space="preserve"> </w:t>
    </w:r>
    <w:r w:rsidDel="00000000" w:rsidR="00000000" w:rsidRPr="00000000">
      <w:rPr>
        <w:rFonts w:ascii="Rosarivo" w:cs="Rosarivo" w:eastAsia="Rosarivo" w:hAnsi="Rosarivo"/>
        <w:color w:val="000000"/>
        <w:sz w:val="12"/>
        <w:szCs w:val="12"/>
        <w:rtl w:val="0"/>
      </w:rPr>
      <w:t xml:space="preserve">Teléfono: 0962 324 734     </w:t>
    </w:r>
    <w:r w:rsidDel="00000000" w:rsidR="00000000" w:rsidRPr="00000000">
      <w:rPr>
        <w:rFonts w:ascii="Rosarivo" w:cs="Rosarivo" w:eastAsia="Rosarivo" w:hAnsi="Rosarivo"/>
        <w:color w:val="000000"/>
        <w:sz w:val="14"/>
        <w:szCs w:val="14"/>
        <w:rtl w:val="0"/>
      </w:rPr>
      <w:t xml:space="preserve"> www.inaes.edu.py   *   </w:t>
    </w:r>
    <w:r w:rsidDel="00000000" w:rsidR="00000000" w:rsidRPr="00000000">
      <w:rPr>
        <w:rFonts w:ascii="Rosarivo" w:cs="Rosarivo" w:eastAsia="Rosarivo" w:hAnsi="Rosarivo"/>
        <w:color w:val="000000"/>
        <w:sz w:val="12"/>
        <w:szCs w:val="12"/>
        <w:rtl w:val="0"/>
      </w:rPr>
      <w:t xml:space="preserve">Corr.Electr</w:t>
    </w:r>
    <w:r w:rsidDel="00000000" w:rsidR="00000000" w:rsidRPr="00000000">
      <w:rPr>
        <w:rFonts w:ascii="Rosarivo" w:cs="Rosarivo" w:eastAsia="Rosarivo" w:hAnsi="Rosarivo"/>
        <w:color w:val="000000"/>
        <w:sz w:val="14"/>
        <w:szCs w:val="14"/>
        <w:rtl w:val="0"/>
      </w:rPr>
      <w:t xml:space="preserve">.: </w:t>
    </w:r>
    <w:hyperlink r:id="rId2">
      <w:r w:rsidDel="00000000" w:rsidR="00000000" w:rsidRPr="00000000">
        <w:rPr>
          <w:rFonts w:ascii="Rosarivo" w:cs="Rosarivo" w:eastAsia="Rosarivo" w:hAnsi="Rosarivo"/>
          <w:color w:val="0000ff"/>
          <w:sz w:val="14"/>
          <w:szCs w:val="14"/>
          <w:u w:val="single"/>
          <w:rtl w:val="0"/>
        </w:rPr>
        <w:t xml:space="preserve">secretariageneral@inaesvirtual.edu.py</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1164590" cy="100330"/>
              <wp:effectExtent b="0" l="0" r="0" t="0"/>
              <wp:wrapNone/>
              <wp:docPr id="21" name=""/>
              <a:graphic>
                <a:graphicData uri="http://schemas.microsoft.com/office/word/2010/wordprocessingShape">
                  <wps:wsp>
                    <wps:cNvSpPr/>
                    <wps:cNvPr id="4" name="Shape 4"/>
                    <wps:spPr>
                      <a:xfrm>
                        <a:off x="4768468" y="3734598"/>
                        <a:ext cx="1155065" cy="908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1164590" cy="100330"/>
              <wp:effectExtent b="0" l="0" r="0" t="0"/>
              <wp:wrapNone/>
              <wp:docPr id="2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164590" cy="100330"/>
                      </a:xfrm>
                      <a:prstGeom prst="rect"/>
                      <a:ln/>
                    </pic:spPr>
                  </pic:pic>
                </a:graphicData>
              </a:graphic>
            </wp:anchor>
          </w:drawing>
        </mc:Fallback>
      </mc:AlternateContent>
    </w:r>
  </w:p>
  <w:p w:rsidR="00000000" w:rsidDel="00000000" w:rsidP="00000000" w:rsidRDefault="00000000" w:rsidRPr="00000000" w14:paraId="00000096">
    <w:pPr>
      <w:tabs>
        <w:tab w:val="right" w:pos="9073"/>
      </w:tabs>
      <w:spacing w:after="0" w:lineRule="auto"/>
      <w:ind w:right="-29"/>
      <w:jc w:val="right"/>
      <w:rPr>
        <w:rFonts w:ascii="Rosarivo" w:cs="Rosarivo" w:eastAsia="Rosarivo" w:hAnsi="Rosarivo"/>
        <w:color w:val="000000"/>
        <w:sz w:val="14"/>
        <w:szCs w:val="14"/>
      </w:rPr>
    </w:pPr>
    <w:r w:rsidDel="00000000" w:rsidR="00000000" w:rsidRPr="00000000">
      <w:rPr>
        <w:rFonts w:ascii="Rosarivo" w:cs="Rosarivo" w:eastAsia="Rosarivo" w:hAnsi="Rosarivo"/>
        <w:color w:val="000000"/>
        <w:sz w:val="14"/>
        <w:szCs w:val="14"/>
        <w:rtl w:val="0"/>
      </w:rPr>
      <w:tab/>
      <w:t xml:space="preserve">     Avda. Eusebio Ayala Km. 4,5 (Bº Hipódromo)   *  Asunción, PARAGUAY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2334260" cy="109220"/>
              <wp:effectExtent b="0" l="0" r="0" t="0"/>
              <wp:wrapNone/>
              <wp:docPr id="19" name=""/>
              <a:graphic>
                <a:graphicData uri="http://schemas.microsoft.com/office/word/2010/wordprocessingShape">
                  <wps:wsp>
                    <wps:cNvSpPr/>
                    <wps:cNvPr id="2" name="Shape 2"/>
                    <wps:spPr>
                      <a:xfrm>
                        <a:off x="4183633" y="3730153"/>
                        <a:ext cx="2324735" cy="99695"/>
                      </a:xfrm>
                      <a:prstGeom prst="rect">
                        <a:avLst/>
                      </a:prstGeom>
                      <a:gradFill>
                        <a:gsLst>
                          <a:gs pos="0">
                            <a:srgbClr val="FFFFFF"/>
                          </a:gs>
                          <a:gs pos="100000">
                            <a:srgbClr val="78A6DE"/>
                          </a:gs>
                        </a:gsLst>
                        <a:path path="circle">
                          <a:fillToRect b="100%" l="100%"/>
                        </a:path>
                        <a:tileRect r="-100%" t="-100%"/>
                      </a:gradFill>
                      <a:ln>
                        <a:noFill/>
                      </a:ln>
                    </wps:spPr>
                    <wps:txbx>
                      <w:txbxContent>
                        <w:p w:rsidR="00000000" w:rsidDel="00000000" w:rsidP="00000000" w:rsidRDefault="00000000" w:rsidRPr="00000000">
                          <w:pPr>
                            <w:spacing w:after="0" w:before="0" w:line="275.9999942779541"/>
                            <w:ind w:left="0" w:right="141.00000381469727" w:firstLine="0"/>
                            <w:jc w:val="left"/>
                            <w:textDirection w:val="btLr"/>
                          </w:pPr>
                          <w:r w:rsidDel="00000000" w:rsidR="00000000" w:rsidRPr="00000000">
                            <w:rPr>
                              <w:rFonts w:ascii="Bookman Old Style" w:cs="Bookman Old Style" w:eastAsia="Bookman Old Style" w:hAnsi="Bookman Old Style"/>
                              <w:b w:val="1"/>
                              <w:i w:val="1"/>
                              <w:smallCaps w:val="0"/>
                              <w:strike w:val="0"/>
                              <w:color w:val="0d0d0d"/>
                              <w:sz w:val="10"/>
                              <w:vertAlign w:val="baseline"/>
                            </w:rPr>
                            <w:t xml:space="preserve">Decreto Nº 31.003/68         *Ley Nº1692/01           *Ley Nº6.223/18</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Bookman Old Style" w:cs="Bookman Old Style" w:eastAsia="Bookman Old Style" w:hAnsi="Bookman Old Style"/>
                              <w:b w:val="1"/>
                              <w:i w:val="1"/>
                              <w:smallCaps w:val="0"/>
                              <w:strike w:val="0"/>
                              <w:color w:val="0d0d0d"/>
                              <w:sz w:val="1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2334260" cy="109220"/>
              <wp:effectExtent b="0" l="0" r="0" t="0"/>
              <wp:wrapNone/>
              <wp:docPr id="19"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2334260" cy="10922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174"/>
      </w:tabs>
      <w:spacing w:after="0" w:before="0" w:line="240" w:lineRule="auto"/>
      <w:ind w:left="0" w:right="0" w:firstLine="0"/>
      <w:jc w:val="both"/>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396255</wp:posOffset>
          </wp:positionH>
          <wp:positionV relativeFrom="paragraph">
            <wp:posOffset>-83476</wp:posOffset>
          </wp:positionV>
          <wp:extent cx="1664335" cy="615950"/>
          <wp:effectExtent b="0" l="0" r="0" t="0"/>
          <wp:wrapSquare wrapText="bothSides" distB="0" distT="0" distL="114300" distR="114300"/>
          <wp:docPr id="2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64335" cy="615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2686685</wp:posOffset>
          </wp:positionH>
          <wp:positionV relativeFrom="paragraph">
            <wp:posOffset>-76834</wp:posOffset>
          </wp:positionV>
          <wp:extent cx="1614170" cy="575310"/>
          <wp:effectExtent b="0" l="0" r="0" t="0"/>
          <wp:wrapSquare wrapText="bothSides" distB="0" distT="0" distL="114300" distR="114300"/>
          <wp:docPr id="2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614170" cy="5753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4525288</wp:posOffset>
          </wp:positionH>
          <wp:positionV relativeFrom="paragraph">
            <wp:posOffset>-60324</wp:posOffset>
          </wp:positionV>
          <wp:extent cx="1455420" cy="564515"/>
          <wp:effectExtent b="0" l="0" r="0" t="0"/>
          <wp:wrapSquare wrapText="bothSides" distB="0" distT="0" distL="114300" distR="114300"/>
          <wp:docPr id="2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455420" cy="564515"/>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174"/>
      </w:tabs>
      <w:spacing w:after="0" w:before="0" w:line="240" w:lineRule="auto"/>
      <w:ind w:left="0" w:right="0" w:firstLine="0"/>
      <w:jc w:val="both"/>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174"/>
      </w:tabs>
      <w:spacing w:after="0" w:before="0" w:line="240" w:lineRule="auto"/>
      <w:ind w:left="0" w:right="0" w:firstLine="0"/>
      <w:jc w:val="both"/>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174"/>
      </w:tabs>
      <w:spacing w:after="0" w:before="0" w:line="240" w:lineRule="auto"/>
      <w:ind w:left="0" w:right="0" w:firstLine="0"/>
      <w:jc w:val="both"/>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174"/>
      </w:tabs>
      <w:spacing w:after="0" w:before="0" w:line="240" w:lineRule="auto"/>
      <w:ind w:left="0" w:right="0" w:firstLine="0"/>
      <w:jc w:val="both"/>
      <w:rPr>
        <w:rFonts w:ascii="Calibri" w:cs="Calibri" w:eastAsia="Calibri" w:hAnsi="Calibri"/>
        <w:b w:val="0"/>
        <w:i w:val="0"/>
        <w:smallCaps w:val="0"/>
        <w:strike w:val="0"/>
        <w:color w:val="d0cece"/>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174"/>
      </w:tabs>
      <w:spacing w:after="0" w:before="0" w:line="240" w:lineRule="auto"/>
      <w:ind w:left="0" w:right="0" w:firstLine="0"/>
      <w:jc w:val="both"/>
      <w:rPr>
        <w:rFonts w:ascii="Calibri" w:cs="Calibri" w:eastAsia="Calibri" w:hAnsi="Calibri"/>
        <w:b w:val="0"/>
        <w:i w:val="0"/>
        <w:smallCaps w:val="0"/>
        <w:strike w:val="0"/>
        <w:color w:val="d0cece"/>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F">
    <w:pPr>
      <w:pBdr>
        <w:top w:color="000000" w:space="0" w:sz="4" w:val="single"/>
        <w:bottom w:color="000000" w:space="1" w:sz="4" w:val="single"/>
      </w:pBdr>
      <w:spacing w:after="0" w:line="240" w:lineRule="auto"/>
      <w:ind w:left="567" w:right="1134" w:firstLine="0"/>
      <w:jc w:val="center"/>
      <w:rPr>
        <w:rFonts w:ascii="Calibri" w:cs="Calibri" w:eastAsia="Calibri" w:hAnsi="Calibri"/>
        <w:i w:val="1"/>
        <w:color w:val="404040"/>
        <w:sz w:val="12"/>
        <w:szCs w:val="12"/>
      </w:rPr>
    </w:pPr>
    <w:r w:rsidDel="00000000" w:rsidR="00000000" w:rsidRPr="00000000">
      <w:rPr>
        <w:rFonts w:ascii="Calibri" w:cs="Calibri" w:eastAsia="Calibri" w:hAnsi="Calibri"/>
        <w:i w:val="1"/>
        <w:color w:val="404040"/>
        <w:sz w:val="12"/>
        <w:szCs w:val="12"/>
        <w:rtl w:val="0"/>
      </w:rPr>
      <w:t xml:space="preserve">Misión: Formar profesionales de la educación altamente calificados, acorde con las necesidades socioculturales y las exigencias éticas; realizar investigaciones y ejecutar programas de extensión, implementando las políticas nacionales, en concordancia con las regionales y mundiales</w:t>
    </w:r>
  </w:p>
  <w:p w:rsidR="00000000" w:rsidDel="00000000" w:rsidP="00000000" w:rsidRDefault="00000000" w:rsidRPr="00000000" w14:paraId="00000090">
    <w:pPr>
      <w:jc w:val="center"/>
      <w:rPr>
        <w:rFonts w:ascii="Calibri" w:cs="Calibri" w:eastAsia="Calibri" w:hAnsi="Calibri"/>
        <w:color w:val="404040"/>
        <w:sz w:val="12"/>
        <w:szCs w:val="12"/>
      </w:rPr>
    </w:pPr>
    <w:r w:rsidDel="00000000" w:rsidR="00000000" w:rsidRPr="00000000">
      <w:rPr>
        <w:rFonts w:ascii="Calibri" w:cs="Calibri" w:eastAsia="Calibri" w:hAnsi="Calibri"/>
        <w:color w:val="404040"/>
        <w:sz w:val="12"/>
        <w:szCs w:val="12"/>
        <w:rtl w:val="0"/>
      </w:rPr>
      <w:t xml:space="preserve">INAES, mbo´ehaopavẽ ombohekóva ñehekombo’e rypy’ũ, omba’apo mbarete; ombokatupyry hag̃ua hekopete mbo’eharakuérape, ñane retãme oñeikotevẽhaichaite, ha tekomomorãmby ojerureháicha avei, kuaapy pyahu ojejuhu hag̃ua, ohupytyka hag̃ua hembiapopy ha ikuaapy maymáva oikotevẽvape, omboguatakuévo opa tembiapo ñane retãme oñeisãmbyhýva, omboyke’ỹre ko arapy tuichakuére ojejapóva.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254000</wp:posOffset>
              </wp:positionV>
              <wp:extent cx="0" cy="12700"/>
              <wp:effectExtent b="0" l="0" r="0" t="0"/>
              <wp:wrapNone/>
              <wp:docPr id="20" name=""/>
              <a:graphic>
                <a:graphicData uri="http://schemas.microsoft.com/office/word/2010/wordprocessingShape">
                  <wps:wsp>
                    <wps:cNvCnPr/>
                    <wps:spPr>
                      <a:xfrm>
                        <a:off x="2125446" y="3780000"/>
                        <a:ext cx="6441108"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254000</wp:posOffset>
              </wp:positionV>
              <wp:extent cx="0" cy="12700"/>
              <wp:effectExtent b="0" l="0" r="0" t="0"/>
              <wp:wrapNone/>
              <wp:docPr id="20"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Y"/>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B15F4"/>
    <w:pPr>
      <w:spacing w:after="200" w:line="276" w:lineRule="auto"/>
    </w:pPr>
    <w:rPr>
      <w:rFonts w:ascii="Calibri" w:cs="Times New Roman" w:eastAsia="Calibri" w:hAnsi="Calibri"/>
      <w:lang w:val="es-PY"/>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E498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E4986"/>
  </w:style>
  <w:style w:type="paragraph" w:styleId="Piedepgina">
    <w:name w:val="footer"/>
    <w:basedOn w:val="Normal"/>
    <w:link w:val="PiedepginaCar"/>
    <w:uiPriority w:val="99"/>
    <w:unhideWhenUsed w:val="1"/>
    <w:rsid w:val="003E498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E4986"/>
  </w:style>
  <w:style w:type="character" w:styleId="Hipervnculo">
    <w:name w:val="Hyperlink"/>
    <w:uiPriority w:val="99"/>
    <w:unhideWhenUsed w:val="1"/>
    <w:rsid w:val="003E4986"/>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Rosarivo-regular.ttf"/><Relationship Id="rId6" Type="http://schemas.openxmlformats.org/officeDocument/2006/relationships/font" Target="fonts/Rosarivo-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mailto:secretariageneral@inaesvirtual.edu.py" TargetMode="External"/><Relationship Id="rId3" Type="http://schemas.openxmlformats.org/officeDocument/2006/relationships/image" Target="media/image6.pn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9ocDttLXni+RHkaI+UaLJShWg==">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2022-09-12T18:09:00Z</dcterms:created>
  <dc:creator>User</dc:creator>
</cp:coreProperties>
</file>