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p>
      <w:pPr/>
      <w:r>
        <w:t>2026-07-16 — Taxonomy semantics v2: material_type describes CONTENT, not anchoring history (ratified; re-baseline signed off). Re-typing pass on the eight-type taxonomy — eu_annex now means annex content in an EU-family instrument, FULL STOP, at every anchor tier, superseding the interim 'annex content that used to orphan' (a label defined by extractor history = named-≠-actual waiting to bite a future analyst). Sole delta: Schedule-mapped content in eur/eudn re-types uk_schedule → eu_annex whichever tier anchored it. Pre-check confirmed ALL EU-family Schedule content is annex (GDPR ANNEX 1/2, eur/1169 ANNEX I-17, eudn/532 ANNEX; no protocols/appendices), so the flip is unambiguous. Typing-only: anchoring / grain / boundaries / refs / headings byte-identical (verified old-vs-new — 0 non-type diffs; ref/heading re-keyed on the anchor TIER, not the type label, so re-typing tiers-1/2 annex content leaves its refs untouched). Rationale: eu_annex must be trustable at face value for the REUL-facing analysis. Committed SEPARATELY from the tier-3 fix (two auditable steps: verified-fix then semantic-migration).</w:t>
      </w:r>
    </w:p>
    <w:p>
      <w:pPr/>
      <w:r>
        <w:t>RE-BASELINE — signed off (Jethro). The documented reference becomes the EIGHT-type 7-Act count set — uk_body 727 / uk_schedule 842 / eu_article 106 / eu_recital 611 / uk_schedule_unnumbered 44 / eu_annex 20 / uk_body_tail 2 (total 2,352 sections, unchanged) — SUPERSEDING 727/862/106/611 (retained as the historical four-type baseline); uk_schedule moved 862 → 842 as its 20 EU-annex sections re-typed. Recorded in implementation_plan.md with the old four preserved as superseded. Pattern: named ≠ actual (#7) — a type defined by extractor history rather than content is exactly the trap the pattern names; fixed before bulk extraction locks thousands of records to the misnomer.</w:t>
      </w:r>
    </w:p>
    <w:p>
      <w:pPr/>
      <w:r>
        <w:t>2026-07-16 — Layer-1 taxonomy extended 5 → 8 material_types (ratified; tier-3 anchor BUILT &amp; VERIFIED). The item-8 old-drafting orphan fix (design note `_layer1_orphan_investigation.md` §C) is implemented. A third anchor tier catches schedule/annex prose-and-list content and bare-&lt;P&gt; body tail-clauses that tiers 1-2 drop to orphan, routing them into THREE NEW material_types: uk_schedule_unnumbered, eu_annex, uk_body_tail. Option (ii) chosen (new types, NOT re-baselining the four counters): the documented 727/862/106/611 are PROVABLY UNTOUCHED (verified old-vs-new on identical XML), and eu_annex is separately queryable for the REUL-facing analysis. Grain rule: per-entry (enumerated lists) / whole-form (statutory forms) / paragraph-block (prose). Verification (all four passed): baseline reproduces exactly (+44 uk_schedule_unnumbered, +2 uk_body_tail, orphans 2→0 on the 7-Act set; Explosives uk_body stays 51); round-3 pool 36 orphans → 0 re-homed (20-sentence→19 uk_schedule_unnumbered, 16-sentence→10 eu_annex); specimen refs match drafter numbering (MSA 5th-schedule para (1)-(9); eur/1169 annex headings); sizes sane (no mega/dust). NB numbered EU-annex content stays uk_schedule (tiers 1-2 frozen) — eu_annex is tier-3 EU-annex content only. Gap G29 closed DECIDED-BUILT; orphan-lane (G25) + anomalous-rate trigger remain for the residue; certification hook queued (size distributions per leg_type × material_type).</w:t>
      </w:r>
    </w:p>
    <w:p>
      <w:pPr/>
      <w:r>
        <w:t>SEVERITY CORRECTION on the record (this defect): the original problem was CONTEXT-QUALITY plus a lost subtree-cushion (orphans emitted per-sentence, no ref/heading, ungrouped), NOT lost recall — the flat fallback was already emitting every cue-bearing orphan sentence as a candidate. So this was a grouping/context-quality fix, not a recall recovery. Pattern: verify the premise before building on it (#9) — proving the four-counter invariant by running old-vs-new on identical XML, rather than trusting 'untouched by construction'.</w:t>
      </w:r>
    </w:p>
    <w:p>
      <w:pPr/>
      <w:r>
        <w:t>2026-07-15 — Capacity axis REDEFINED (constitutive; Jethro's). The economic/personal capacity tag now turns on whether the duty attaches to VOLUNTARY MARKET ACTIVITY on the burdened actor's side (exchange or production-for-exchange), either side, formal or informal — SUPERSEDING the activity-profile formulation. Side-specific COMPULSION carve-out: a scheme-compelled transaction (dog-chip fee, MOT, compulsory insurance) does not confer economic capacity on the compelled party (classify by the underlying activity → personal); the provider side is their trade → economic. Rationale: captures the informal economy (private / C2C sellers) without a trader/private-seller line, and the compulsion carve-out prevents state-compelled purchases inflating the economic count. Economic floor restated to include consumer-side transactors, with a business-side cut as its own line. Folded into rubric v2.6 §1; scope anchor + gaps.md G15 reshaped. Pattern: verify the premise before building on it (#9) — the eBay-seller and compelled-purchase edge cases forced the redefinition before the floor figure is trusted.</w:t>
      </w:r>
    </w:p>
    <w:p>
      <w:pPr/>
      <w:r>
        <w:t>2026-07-15 — Finding A: two constitutive rulings (Jethro's), from round 3. (1) Deeming distinction — interpretive deeming (labels for a scheme's purposes) stays excluded; substance-creating deeming (statutory implied/deemed contract terms) is a burden, re-attributed (CRA 2015 s.13 → 1 trader burden vs Commission Decision 2000/532 → 0). (2) Statutory private-law duties count, both sides — obligations with legal force count regardless of regulatory-vs-private-law statute, trader-vs-consumer side, mandatory-vs-displaceable-default (CRA s.25 consumer pay-at-contract-rate → 1, Cat 2, obligation, consumer, economic). Methodology disclosure: the measure counts statutory obligations as defined, not a pre-sorted 'regulation' subset. Folded into rubric v2.6 §4/§1. Pattern: one rule, multiple textual homes (#10) — the implied contract term is the same burden whether written as a deemed term or a direct duty; count it once, at the substance-creating provision.</w:t>
      </w:r>
    </w:p>
    <w:p>
      <w:pPr/>
      <w:r>
        <w:t>2026-07-15 — Rubric round 3 (stability gate against v2.5): 25 sections, 5 eras, 21 fresh instruments; 23/25 exact-or-within-range, one blocking finding (Finding A) resolved into v2.6. Regressions passed: chain-ordering (Factories s.110); amendment/N2 (HSWA Sch 1, fee payload); frontier four flavours (fired ML reg 74A; silent PHA 1875 s.183 / PHA 1936 byelaw-making; in-measure contrast FHW Sch); 'powers or duties' at FSMA s.333T; IBA consistency TDA s.24 = Wildlife s.14. Era prediction FALSIFIED — mid-century clean; both divergences from CRA 2015. Full record: _test_round_3_results.md; extraction Layer-1 findings: _test_round_3_extraction_findings.md (orphan anomaly under investigation, item 8). Pattern: sample ≠ systematic (#6) — the era-stratified prediction (old drafting = hard) was wrong; the hard cases were modern private-law.</w:t>
      </w:r>
    </w:p>
    <w:p>
      <w:pPr/>
      <w:r>
        <w:t>2026-07-14 — Deepest-visible-layer principle (frontier proxies). Scope Q&amp;A on byelaws and out-of-corpus instruments — NOT a trace failure — generalised the v2.4 non-legislative-target rule into a scope-conditional principle: count each burden once, at the deepest layer the measure can see. An in-measure compliance/contravention hook stays excluded (counted at its target); a statutory duty to comply with an out-of-measure binding instrument — permit/licence/notice, byelaw, regulator rulebook (FCA/PRA Handbooks the heavyweight) — is counted once as a frontier proxy for the invisible layer behind it. Counts are not additive across scope expansions: if scope later widens to an out-of-measure layer, its proxies re-classify to counted_at_source. Folded into rubric v2.5 §3, with schema tags frontier_hook / frontier_target_type (§2A + implementation plan); scope disclosure and the FSMA-2023 layer-migration growth caveat added to the coverage/scope methodology note; project_scope_anchor.md created.</w:t>
      </w:r>
    </w:p>
    <w:p>
      <w:pPr/>
      <w:r>
        <w:t>Pattern: “One rule, multiple textual homes” (#10) — count-at-source extended across the measure’s scope boundary. The frontier proxy is the count-at-source answer when the deeper home is invisible; the re-classification-on-expansion rule stops the same rule being counted in two scopes at once.</w:t>
      </w:r>
    </w:p>
    <w:p>
      <w:pPr/>
      <w:r>
        <w:t>2026-07-14 — Rubric dry-run round 2 (stability test): clean, 10/10. Ten fresh cold sections (_test_round_2_sections.md) drawn from unused sections of the seven extracted Acts (no Acts outside the seven are extracted; reserved set untouched). Mechanical = holistic 10/10, zero blockers. Regressions passed: Finding-1 single-act-vs-independent-constraint on reg 21(5); three-step permission/exemption on GDPR Art 9 (the (2)(d) straddler correctly routed to ambiguous-leaf review); amendment-machinery rule’s first live pass on ERA Sch 60 (Railways Act 1993 consequential amendments); Apple eudn state-addressee → zero private-actor burdens (public-body gate). Stopping rule stands: round 2 clean → v2.5 is the sign-off read target.</w:t>
      </w:r>
    </w:p>
    <w:p>
      <w:pPr/>
      <w:r>
        <w:t>Ripple flagged: reg 38(3) (round-1 dry-run set) pending cross-section resolution vs reg 36/37 under chain-ordering — annotated in _dryrun_sections.md. Pattern: “Sample ≠ systematic” (#6) — a clean round is reassurance, not proof; the reg 38(3) cross-section item is exactly the remainder to pull on.</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