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p>
      <w:pPr>
        <w:pStyle w:val="ListParagraph"/>
      </w:pPr>
      <w:r>
        <w:t>One rule, multiple textual homes. A single substantive rule can be written down in more than one place, so the same burden risks being counted twice or zero times depending which home the labeller lands on. Seen three times: IB double-meaning (defence vs primary prohibition) → enabling-power / SI compliance-hook double-count → amendment double-count (amending instruction vs consolidated target). A consolidated-plus-amending corpus makes this the project's characteristic failure surface; reach for count-at-source, and recognise the next instance by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tbl>
      <w:tblPr>
        <w:tblW w:type="auto" w:w="0"/>
        <w:tblLook w:firstColumn="1" w:firstRow="1" w:lastColumn="0" w:lastRow="0" w:noHBand="0" w:noVBand="1" w:val="04A0"/>
      </w:tblPr>
      <w:tblGrid>
        <w:gridCol w:w="9360"/>
      </w:tblGrid>
      <w:tr>
        <w:tc>
          <w:tcPr>
            <w:tcW w:type="dxa" w:w="9360"/>
          </w:tcPr>
          <w:p>
            <w:r>
              <w:t>is_amendment_insertion fires 0/1,084 — a live field promising amendment detection that detects nothing</w:t>
            </w:r>
          </w:p>
          <w:p>
            <w:r>
              <w:t>What: extract_candidates.py sets is_amendment_insertion via _in_amendment(), which tests find_parent(['Addition','ins','InF']) — it fires only when a whole section/Text node NESTS INSIDE an &lt;Addition&gt;. Real amendments are inline fragment insertions (the &lt;Addition&gt; sits inside the Text, not the reverse), so the flag fired on 0 of 1,084 candidate records across the 7-Act set despite 16,366 &lt;Addition&gt; nodes present (1,403 of them burden-bearing). The field name promises amendment-insertion detection; it delivers none.</w:t>
            </w:r>
          </w:p>
          <w:p>
            <w:r>
              <w:t>What prompted the catch: the 2026-07-05 amendment-provenance measurement (pricing introduced_by/introduced_year) counted Additions directly, found provenance ~100% recoverable, then cross-checked the record flag and found it flat zero.</w:t>
            </w:r>
          </w:p>
          <w:p>
            <w:r>
              <w:t>Why it matters now (raised stakes): the ratified §3 amendment-machinery rule (amendment = machinery, count at the consolidated target) NEEDS a working amendment detector, and this flag is the one field anyone would reach for. It also mis-grains provenance — 22.4% of amendment-touched sections carry &gt;1 amending instrument — so detection/attribution must be at the &lt;Addition&gt;-fragment grain, not the section flag.</w:t>
            </w:r>
          </w:p>
          <w:p>
            <w:r>
              <w:t>Resolution: logged as a bug, not fixed. No code change now. Before Stage 2 the field is either fixed (re-implemented at the &lt;Addition&gt;-fragment grain) or renamed/removed so nothing builds on a false signal. Tracked in docs/decision_tree_gaps.md (G3) as DECIDED-UNBUILT.</w:t>
            </w:r>
          </w:p>
          <w:p>
            <w:r>
              <w:t>Pattern: #3 (Named ≠ actual) — a live field named for a capability it does not have. Direct sibling of the section_ref 'unambiguous JOIN KEY' entry: both are locally-plausible identifiers/flags in extract_candidates.py that silently fail their advertised contract.</w:t>
            </w:r>
          </w:p>
        </w:tc>
      </w:tr>
    </w:tbl>
    <w:tbl>
      <w:tblPr>
        <w:tblW w:type="auto" w:w="0"/>
        <w:tblLook w:firstColumn="1" w:firstRow="1" w:lastColumn="0" w:lastRow="0" w:noHBand="0" w:noVBand="1" w:val="04A0"/>
      </w:tblPr>
      <w:tblGrid>
        <w:gridCol w:w="9360"/>
      </w:tblGrid>
      <w:tr>
        <w:tc>
          <w:tcPr>
            <w:tcW w:type="dxa" w:w="9360"/>
          </w:tcPr>
          <w:p>
            <w:r>
              <w:t>Amendment-provenance 100% is a test-set figure — corpus-wide coverage unconfirmed</w:t>
            </w:r>
          </w:p>
          <w:p>
            <w:r>
              <w:t>What: the 2026-07-05 measurement found introduced_by/introduced_year machine-recoverable for 1,403/1,403 burden-bearing &lt;Addition&gt; fragments and 2,374/2,374 Type-F textual-amendment commentaries — 100%. That is on the 7 verification Acts, which lean modern and CLML-clean.</w:t>
            </w:r>
          </w:p>
          <w:p>
            <w:r>
              <w:t>Calibration: pre-digital-era consolidations are where amendment annotation (the &lt;Commentary&gt;/&lt;Citation&gt; machinery provenance rides on) is thinnest, so corpus-wide coverage would plausibly sag below 100%. The 7-Act figure must not be reported as a corpus-wide rate.</w:t>
            </w:r>
          </w:p>
          <w:p>
            <w:r>
              <w:t>Methodology claim until confirmed: 'amendment provenance verified recoverable on the test set; corpus-wide coverage TBC.'</w:t>
            </w:r>
          </w:p>
          <w:p>
            <w:r>
              <w:t>Resolution / queued: a spot-check of amendment-provenance recoverability on OLDER CONSOLIDATIONS is QUEUED, not run. introduced_by/introduced_year stay nullable so labelling never stalls; the growth-over-time claim is hedged to the test set until the spot-check lands.</w:t>
            </w:r>
          </w:p>
          <w:p>
            <w:r>
              <w:t>Pattern: #2 (Sample ≠ systematic) / #4 (the headline glosses a remainder) — a 100% on a modern, clean sample glosses the older-consolidation tail where it would degrade.</w:t>
            </w:r>
          </w:p>
        </w:tc>
      </w:tr>
    </w:tbl>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