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FE9E3" w14:textId="77777777" w:rsidR="00F33557" w:rsidRDefault="00000000">
      <w:pPr>
        <w:spacing w:after="40"/>
      </w:pPr>
      <w:r>
        <w:rPr>
          <w:b/>
          <w:bCs/>
          <w:color w:val="2E5B8A"/>
          <w:sz w:val="40"/>
          <w:szCs w:val="40"/>
        </w:rPr>
        <w:t>UK Regulatory Burden</w:t>
      </w:r>
    </w:p>
    <w:p w14:paraId="698CA2B2" w14:textId="77777777" w:rsidR="00F33557" w:rsidRDefault="00000000">
      <w:pPr>
        <w:spacing w:after="160"/>
      </w:pPr>
      <w:r>
        <w:rPr>
          <w:b/>
          <w:bCs/>
          <w:color w:val="333333"/>
          <w:sz w:val="30"/>
          <w:szCs w:val="30"/>
        </w:rPr>
        <w:t>Decision &amp; Correction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EE06311"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FFF4E0"/>
            <w:tcMar>
              <w:top w:w="120" w:type="dxa"/>
              <w:left w:w="160" w:type="dxa"/>
              <w:bottom w:w="120" w:type="dxa"/>
              <w:right w:w="160" w:type="dxa"/>
            </w:tcMar>
          </w:tcPr>
          <w:p w14:paraId="534A82D2" w14:textId="7D7D87B3" w:rsidR="00F33557" w:rsidRDefault="00000000">
            <w:pPr>
              <w:spacing w:after="60"/>
            </w:pPr>
            <w:r>
              <w:rPr>
                <w:b/>
                <w:bCs/>
              </w:rPr>
              <w:t xml:space="preserve">Private working document. </w:t>
            </w:r>
            <w:r>
              <w:t>Keep local / git</w:t>
            </w:r>
            <w:r w:rsidR="00D817D2">
              <w:t>-</w:t>
            </w:r>
            <w:r w:rsidR="00927BD5">
              <w:t>c</w:t>
            </w:r>
            <w:r>
              <w:t>ignored — not for the public repo. The honest internal record of where the project changed direction, where errors were caught, and the recurring patterns behind them, so the next instance gets recognised early.</w:t>
            </w:r>
          </w:p>
          <w:p w14:paraId="6C898B4D" w14:textId="77777777" w:rsidR="00F33557" w:rsidRDefault="00000000">
            <w:pPr>
              <w:spacing w:after="60"/>
            </w:pPr>
            <w:r>
              <w:rPr>
                <w:i/>
                <w:iCs/>
              </w:rPr>
              <w:t>Framing: most entries are not failures. Many are course-corrections — the normal process of a research project discovering its own requirements. A few are genuine errors caught before they did damage. Both are recorded plainly, because the discipline of writing them down is what makes the patterns visible.</w:t>
            </w:r>
          </w:p>
          <w:p w14:paraId="73B20114" w14:textId="77777777" w:rsidR="00F33557" w:rsidRDefault="00000000">
            <w:pPr>
              <w:spacing w:after="60"/>
            </w:pPr>
            <w:r>
              <w:rPr>
                <w:b/>
                <w:bCs/>
              </w:rPr>
              <w:t xml:space="preserve">Note on figures: </w:t>
            </w:r>
            <w:r>
              <w:t>some figures in the older entries were reconstructed from memory and should be verified against project records during review; the 100%-retrieval entry's framing should be softened if the real history was more defensible than stated.</w:t>
            </w:r>
          </w:p>
        </w:tc>
      </w:tr>
    </w:tbl>
    <w:p w14:paraId="51452DF6" w14:textId="77777777" w:rsidR="00F33557" w:rsidRDefault="00F33557">
      <w:pPr>
        <w:spacing w:after="80"/>
      </w:pPr>
    </w:p>
    <w:p w14:paraId="66010557" w14:textId="77777777" w:rsidR="00F33557" w:rsidRDefault="00000000">
      <w:pPr>
        <w:pStyle w:val="Heading1"/>
      </w:pPr>
      <w:r>
        <w:t>The recurring patterns</w:t>
      </w:r>
    </w:p>
    <w:p w14:paraId="5036C5AD" w14:textId="77777777" w:rsidR="00F33557" w:rsidRDefault="00000000">
      <w:pPr>
        <w:spacing w:after="120"/>
      </w:pPr>
      <w:r>
        <w:rPr>
          <w:i/>
          <w:iCs/>
        </w:rPr>
        <w:t>The part worth re-reading. These cut across multiple entries. When something new feels like one of these, slow down and verify.</w:t>
      </w:r>
    </w:p>
    <w:p w14:paraId="604A6D57" w14:textId="77777777" w:rsidR="00F33557" w:rsidRDefault="00000000">
      <w:pPr>
        <w:pStyle w:val="ListParagraph"/>
        <w:numPr>
          <w:ilvl w:val="0"/>
          <w:numId w:val="2"/>
        </w:numPr>
        <w:spacing w:after="100"/>
      </w:pPr>
      <w:r>
        <w:rPr>
          <w:b/>
          <w:bCs/>
        </w:rPr>
        <w:t xml:space="preserve">Success signal ≠ verified reality. </w:t>
      </w:r>
      <w:r>
        <w:t>A log line, a “✓”, a completion message, or a clean summary is a claim that something happened — not proof. Verify the durable artifact from a fresh state: read the actual file, recount from the checkpoint, open the doc.</w:t>
      </w:r>
    </w:p>
    <w:p w14:paraId="2251873C" w14:textId="77777777" w:rsidR="00F33557" w:rsidRDefault="00000000">
      <w:pPr>
        <w:pStyle w:val="ListParagraph"/>
        <w:numPr>
          <w:ilvl w:val="0"/>
          <w:numId w:val="2"/>
        </w:numPr>
        <w:spacing w:after="100"/>
      </w:pPr>
      <w:r>
        <w:rPr>
          <w:b/>
          <w:bCs/>
        </w:rPr>
        <w:t xml:space="preserve">Sample ≠ systematic. </w:t>
      </w:r>
      <w:r>
        <w:t>A check that looks fine on the flagged/visible subset can hide a problem in the unflagged remainder. Test the set you're not worried about, not just the one you are.</w:t>
      </w:r>
    </w:p>
    <w:p w14:paraId="2CBDE077" w14:textId="77777777" w:rsidR="00F33557" w:rsidRDefault="00000000">
      <w:pPr>
        <w:pStyle w:val="ListParagraph"/>
        <w:numPr>
          <w:ilvl w:val="0"/>
          <w:numId w:val="2"/>
        </w:numPr>
        <w:spacing w:after="100"/>
      </w:pPr>
      <w:r>
        <w:rPr>
          <w:b/>
          <w:bCs/>
        </w:rPr>
        <w:t xml:space="preserve">Named ≠ actual. </w:t>
      </w:r>
      <w:r>
        <w:t>What a doc, plan, or assumption says is running/implemented — or what a verdict claims — is not necessarily what is true downstream. Confirm the code does what the spec claims, and that a verdict means what the next step needs it to mean.</w:t>
      </w:r>
    </w:p>
    <w:p w14:paraId="0B58FCA4" w14:textId="77777777" w:rsidR="00F33557" w:rsidRDefault="00000000">
      <w:pPr>
        <w:pStyle w:val="ListParagraph"/>
        <w:numPr>
          <w:ilvl w:val="0"/>
          <w:numId w:val="2"/>
        </w:numPr>
        <w:spacing w:after="100"/>
      </w:pPr>
      <w:r>
        <w:rPr>
          <w:b/>
          <w:bCs/>
        </w:rPr>
        <w:t xml:space="preserve">The headline glosses a remainder that matters. </w:t>
      </w:r>
      <w:r>
        <w:t>“98% covered”, “near-perfect subset”, “essentially all”, “recoverable” — the small leftover, or the generous verdict, is exactly where the consequential exceptions hide. Pull on it before rounding it away.</w:t>
      </w:r>
    </w:p>
    <w:p w14:paraId="6FE0D706" w14:textId="77777777" w:rsidR="00F33557" w:rsidRDefault="00000000">
      <w:pPr>
        <w:pStyle w:val="ListParagraph"/>
        <w:numPr>
          <w:ilvl w:val="0"/>
          <w:numId w:val="2"/>
        </w:numPr>
        <w:spacing w:after="100"/>
      </w:pPr>
      <w:r>
        <w:rPr>
          <w:b/>
          <w:bCs/>
        </w:rPr>
        <w:t xml:space="preserve">Verify the premise before building on it. </w:t>
      </w:r>
      <w:r>
        <w:t>A vivid example tempts over-generalisation. Having caught a real issue, measure its true scale against actual data before investing in a fix — the same example that reveals a bug can mislead you about how widespread it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B318526"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EAF1F8"/>
            <w:tcMar>
              <w:top w:w="120" w:type="dxa"/>
              <w:left w:w="160" w:type="dxa"/>
              <w:bottom w:w="120" w:type="dxa"/>
              <w:right w:w="160" w:type="dxa"/>
            </w:tcMar>
          </w:tcPr>
          <w:p w14:paraId="1FA5EAE8" w14:textId="77777777" w:rsidR="00F33557" w:rsidRDefault="00000000">
            <w:pPr>
              <w:spacing w:after="60"/>
            </w:pPr>
            <w:r>
              <w:rPr>
                <w:b/>
                <w:bCs/>
              </w:rPr>
              <w:t xml:space="preserve">A meta-note. </w:t>
            </w:r>
            <w:r>
              <w:t>Pulling on the small remainder (patterns 2 and 4) has produced multiple saves — the 100%-retrieval correction, the unflagged-sample validation finding, the best-collection-only near-miss, and the recoverable-vs-ingestable gap. And the “prove the premise before building” gate (pattern 5) prevented a disproportionate full canonicaliser build. These are deliberate practices worth keeping, and worth naming in the methodology as strengths, not luck.</w:t>
            </w:r>
          </w:p>
        </w:tc>
      </w:tr>
    </w:tbl>
    <w:p w14:paraId="75CDC57D" w14:textId="77777777" w:rsidR="00F33557" w:rsidRDefault="00000000">
      <w:pPr>
        <w:pStyle w:val="Heading1"/>
      </w:pPr>
      <w:r>
        <w:lastRenderedPageBreak/>
        <w:t>Entries</w:t>
      </w:r>
    </w:p>
    <w:p w14:paraId="721E3F92" w14:textId="77777777" w:rsidR="00F33557" w:rsidRDefault="00000000">
      <w:pPr>
        <w:spacing w:after="120"/>
      </w:pPr>
      <w:r>
        <w:rPr>
          <w:i/>
          <w:iCs/>
        </w:rPr>
        <w:t>Newest at top.</w:t>
      </w:r>
    </w:p>
    <w:tbl>
      <w:tblPr>
        <w:tblW w:type="auto" w:w="0"/>
        <w:tblLook w:firstColumn="1" w:firstRow="1" w:lastColumn="0" w:lastRow="0" w:noHBand="0" w:noVBand="1" w:val="04A0"/>
      </w:tblPr>
      <w:tblGrid>
        <w:gridCol w:w="9360"/>
      </w:tblGrid>
      <w:tr>
        <w:tc>
          <w:tcPr>
            <w:tcW w:type="dxa" w:w="9360"/>
          </w:tcPr>
          <w:p>
            <w:r>
              <w:t>TNA cross-check is corpus validation (Layer 0/1), not analytical validation</w:t>
            </w:r>
          </w:p>
          <w:p>
            <w:r>
              <w:t>Decision: the TNA Statutory Powers and Duties Dataset cross-check sits at Layer 0/1 as CORPUS validation — not at Layer 5, and not as external validation of the analysis. The validation story has two distinct legs. (a) Corpus validity — checked externally: against the TNA dataset (the cross-check subsystem) and via direct TNA correspondence on in-force definitions and identifier schemes. (b) Analytical validity — internal by design: dual-model independent labelling, human adjudication, held-out real-only validation, and periodic full-Act independent human classification.</w:t>
            </w:r>
          </w:p>
          <w:p>
            <w:r>
              <w:t>State plainly in any write-up: no external gold standard exists for the burden measure itself — it is the first of its kind — which is why the internal machinery and full methodological transparency carry the analytical-validity leg. TNA must NOT be described as validating the analysis anywhere.</w:t>
            </w:r>
          </w:p>
          <w:p>
            <w:r>
              <w:t>Reasoning: TNA is a section-level duty/power dataset over the same legislation, so it can corroborate what provisions exist (a corpus check) but it does not distinguish private from public actors and is structurally blind to non-operative-modality errors — so it cannot validate the burden classification. Keeping the two legs separate prevents overclaiming an external validation the measure does not have. (Revises the earlier open framing question — where the TNA cross-check sits in the layered architecture — for whenever the layered-architecture doc is written.)</w:t>
            </w:r>
          </w:p>
          <w:p>
            <w:r>
              <w:t>Pattern: #3 (Named ≠ actual) — a cross-check that looks like analytical validation is not; name the leg it actually supports.</w:t>
            </w:r>
          </w:p>
        </w:tc>
      </w:tr>
    </w:tbl>
    <w:tbl>
      <w:tblPr>
        <w:tblW w:type="auto" w:w="0"/>
        <w:tblLook w:firstColumn="1" w:firstRow="1" w:lastColumn="0" w:lastRow="0" w:noHBand="0" w:noVBand="1" w:val="04A0"/>
      </w:tblPr>
      <w:tblGrid>
        <w:gridCol w:w="9360"/>
      </w:tblGrid>
      <w:tr>
        <w:tc>
          <w:tcPr>
            <w:tcW w:type="dxa" w:w="9360"/>
          </w:tcPr>
          <w:p>
            <w:r>
              <w:t>The regulatory-burden primitive, the unit rule, and scope (definitional core)</w:t>
            </w:r>
          </w:p>
          <w:p>
            <w:r>
              <w:t>Decision — the primitive: a regulatory burden is one legally-binding requirement imposed on a private actor, defined ONCE; both polarities (an obligation to act, a prohibition from acting) are inherited from that single primitive rather than defined as separate things. Polarity is therefore an attribute, not a category. Reasoning: one primitive keeps the measure coherent and additive, and lets obligation/prohibition be recorded without fracturing the taxonomy.</w:t>
            </w:r>
          </w:p>
          <w:p>
            <w:r>
              <w:t>Unit of count: the distinct obligation, not the sentence — enumerated leaves that are genuinely distinct duties count each; a list of conditions/factors attached to a single duty counts once. Scope is broad (all private actors, including individuals in personal capacity) with an economic/personal capacity axis tagged conservatively (ambiguous used generously; the ambiguous pile deferred to phase 2/3). Count, not magnitude: an unweighted count of distinct obligations — a stated methodological limitation (RegData-style), not an omission. These three are fully stated in the rubric (§1); logged here as pointers so the definitional core is discoverable from the log.</w:t>
            </w:r>
          </w:p>
        </w:tc>
      </w:tr>
    </w:tbl>
    <w:tbl>
      <w:tblPr>
        <w:tblW w:type="auto" w:w="0"/>
        <w:tblLook w:firstColumn="1" w:firstRow="1" w:lastColumn="0" w:lastRow="0" w:noHBand="0" w:noVBand="1" w:val="04A0"/>
      </w:tblPr>
      <w:tblGrid>
        <w:gridCol w:w="9360"/>
      </w:tblGrid>
      <w:tr>
        <w:tc>
          <w:tcPr>
            <w:tcW w:type="dxa" w:w="9360"/>
          </w:tcPr>
          <w:p>
            <w:r>
              <w:t>Private/public partition via the statutory-source test</w:t>
            </w:r>
          </w:p>
          <w:p>
            <w:r>
              <w:t>Decision: a body is public (its obligations excluded) if it is statutorily created, exercises a public/regulatory function, and is accountable to a public regulator — regardless of how it is funded. Worked calls, from the reasoning that lived in conversation: the FSCS and the Financial Ombudsman Service are PUBLIC despite being levy-funded (funding source does not privatise a statutory regulator); a contracted-out firm performing public functions is PRIVATE (the burden falls on a non-state entity); a levy DUTY imposed on firms still COUNTS as a private-actor burden (the duty lands on the firm, even though the levy funds a public body).</w:t>
            </w:r>
          </w:p>
          <w:p>
            <w:r>
              <w:t>Reasoning: the source/status of the body — not its funding, nor who ultimately benefits — determines the partition. This stops levy-funded regulators being miscounted as private and keeps genuine duties on firms in scope. Fully stated in the rubric (§5D function test + hybrid-actor note); this entry records the reasoning and the three worked calls.</w:t>
            </w:r>
          </w:p>
        </w:tc>
      </w:tr>
    </w:tbl>
    <w:tbl>
      <w:tblPr>
        <w:tblW w:type="auto" w:w="0"/>
        <w:tblLook w:firstColumn="1" w:firstRow="1" w:lastColumn="0" w:lastRow="0" w:noHBand="0" w:noVBand="1" w:val="04A0"/>
      </w:tblPr>
      <w:tblGrid>
        <w:gridCol w:w="9360"/>
      </w:tblGrid>
      <w:tr>
        <w:tc>
          <w:tcPr>
            <w:tcW w:type="dxa" w:w="9360"/>
          </w:tcPr>
          <w:p>
            <w:r>
              <w:t>Enabling-power rule dissolves the IB split</w:t>
            </w:r>
          </w:p>
          <w:p>
            <w:r>
              <w:t>Decision: count a burden where the Act ITSELF imposes it. A bare power to make secondary legislation is NOT counted — the burden, if any, arrives with the regulations and is counted there. Compliance/contravention hooks (“contravenes section 4”, offence-for-breach cross-references) are NOT counted; they are counted at the primary provision they point to (count-at-source).</w:t>
            </w:r>
          </w:p>
          <w:p>
            <w:r>
              <w:t>Consequence: this resolves the rubric’s §7 open item — the Category-3 (Implied burden) dual-rationale split DISSOLVES. Enabling/reg-making powers are no longer routed to IB, so IB reverts to only the defence-revealed case. Reasoning: prevents double-counting the same burden at both the enabling Act and the resulting SI (both are in-corpus), and removes the incoherent two-concepts-under-one-label training risk for Cat 3. Supersedes rubric §5C/§7 — to fold into the next rubric revision.</w:t>
            </w:r>
          </w:p>
        </w:tc>
      </w:tr>
    </w:tbl>
    <w:tbl>
      <w:tblPr>
        <w:tblW w:type="auto" w:w="0"/>
        <w:tblLook w:firstColumn="1" w:firstRow="1" w:lastColumn="0" w:lastRow="0" w:noHBand="0" w:noVBand="1" w:val="04A0"/>
      </w:tblPr>
      <w:tblGrid>
        <w:gridCol w:w="9360"/>
      </w:tblGrid>
      <w:tr>
        <w:tc>
          <w:tcPr>
            <w:tcW w:type="dxa" w:w="9360"/>
          </w:tcPr>
          <w:p>
            <w:r>
              <w:t>Validation &amp; labelling strategy, and the layered design principle</w:t>
            </w:r>
          </w:p>
          <w:p>
            <w:r>
              <w:t>Decisions (newer strategy, not yet in the rubric): (1) Era-stratified validation + era-spread labelling — training and validation samples are spread across drafting eras (Victorian through modern) so the classifier is not tuned to one drafting style. (2) Rare-class handling is retrieval-first — actively retrieve real examples of rare categories; anchored-synthetic examples are a flagged LAST RESORT only, and NEVER placed in validation sets (validation must be real). (3) Whole-pipeline design principle: models for language patterns, deterministic rules for facts and structure, human review for the residue.</w:t>
            </w:r>
          </w:p>
          <w:p>
            <w:r>
              <w:t>Reasoning: era-spread controls drafting-style bias (the corpus spans centuries); retrieval-first keeps rare-class training honest and keeps validation trustworthy (synthetic data never scores the measure); the models/rules/review split puts each judgement where it is most reliable and auditable — the linguistic call to the model, facts/structure to deterministic rules, and only the genuine residue to human review.</w:t>
            </w:r>
          </w:p>
        </w:tc>
      </w:tr>
    </w:tbl>
    <w:tbl>
      <w:tblPr>
        <w:tblW w:type="auto" w:w="0"/>
        <w:tblLook w:firstColumn="1" w:firstRow="1" w:lastColumn="0" w:lastRow="0" w:noHBand="0" w:noVBand="1" w:val="04A0"/>
      </w:tblPr>
      <w:tblGrid>
        <w:gridCol w:w="9360"/>
      </w:tblGrid>
      <w:tr>
        <w:tc>
          <w:tcPr>
            <w:tcW w:type="dxa" w:w="9360"/>
          </w:tcPr>
          <w:p>
            <w:r>
              <w:t>Cat 5 naming resolved — numeric category IDs canonical, names presentational</w:t>
            </w:r>
          </w:p>
          <w:p>
            <w:r>
              <w:t>What: the shared bare word “Conditional” was a conflation risk between Cat 2 and Cat 5 (they differ only by who controls the trigger). Resolved two ways. (1) Canonical category tags in the label schema are numeric IDs (1–6), stable and rename-proof; the data, model, and pipeline key on the integer only. Human/LLM-facing names are a presentation layer over the IDs and may change per audience (e.g. at publication) with zero cost to data or model. (2) Rubric-facing names for the two conditional categories are renamed IB/IBA-style (shared family word + differentiator) to encode the trigger-control discriminator: Cat 2 = “Conditional burden (operational)” (trigger arises within the actor's own activities, whether or not deliberately caused); Cat 5 = “Conditional burden (regulator-triggered)” (external regulator's discretionary decision — notice, warrant, inspection). Contrast pair: a workplace death → Cat 2; a regulator's inspection demand → Cat 5.</w:t>
            </w:r>
          </w:p>
          <w:p>
            <w:r>
              <w:t>Rationale: bare “Conditional” shared by two categories invited mislabelling; the differentiated names fix that. Making numeric IDs canonical means any future rename — including audience-specific publication names — touches only the presentation layer, never the data or the trained model.</w:t>
            </w:r>
          </w:p>
          <w:p>
            <w:r>
              <w:t>Actions taken now: created the canonical mapping table category_mapping.md (ID → rubric name → one-line definition, all six categories + polarity values; states IDs-canonical / names-presentational); logged the two renames + Cat 2 anchoring line + the schema-mapping canonical-ID note to rubric_revision_notes.md for the next rubric pass. NOT done deliberately: the rubric document is NOT rebuilt now — the renames fold into the next revision alongside the lead's sign-off read, in one pass. Audit confirmed no live/planned code keys on old category-name strings (only the retired analyser.py does; extract_candidates.py emits no category label), so the numeric-ID decision is not undermined by a stray string identifier.</w:t>
            </w:r>
          </w:p>
          <w:p>
            <w:r>
              <w:t>Pattern: #3 (Named ≠ actual) — decouple the stable identifier from the mutable display name so a rename can never silently break a downstream match.</w:t>
            </w:r>
          </w:p>
        </w:tc>
      </w:tr>
    </w:tbl>
    <w:tbl>
      <w:tblPr>
        <w:tblW w:type="auto" w:w="0"/>
        <w:tblLook w:firstColumn="1" w:firstRow="1" w:lastColumn="0" w:lastRow="0" w:noHBand="0" w:noVBand="1" w:val="04A0"/>
      </w:tblPr>
      <w:tblGrid>
        <w:gridCol w:w="9360"/>
      </w:tblGrid>
      <w:tr>
        <w:tc>
          <w:tcPr>
            <w:tcW w:type="dxa" w:w="9360"/>
          </w:tcPr>
          <w:p>
            <w:r>
              <w:t>Extraction rebuilt to two-stage section-level — built and verified</w:t>
            </w:r>
          </w:p>
          <w:p>
            <w:r>
              <w:t>What: extract_candidates.py rewritten from per-sentence emission to one candidate per flagged SECTION. Section anchor = outermost P-level (UK sections / EU articles / schedule P-levels) ∪ innermost numbered Division/Para (EU recitals, schedule paragraphs), keyed on DOM node identity (section_index), NOT section_ref. Each section carries material_type (uk_body / uk_schedule / eu_article / eu_recital / orphan). Stage-1 flags a section if any cue fires anywhere in its subtree; the full assembled block (chapeau + leaves, markers preserved) is emitted with NO truncation, plus the leaves as a structured list.</w:t>
            </w:r>
          </w:p>
          <w:p>
            <w:r>
              <w:t>Verified (fresh 7-Act run): resolved-section counts reproduce the measured baseline exactly — 727 uk_body / 862 schedule / 106 eu_article / 611 eu_recital. 1,084 candidate records, all ids unique. 6,051 previously-dropped cue-less leaves now recovered inside their flagged sections (EP Regs reg 24 leaves (i) “cause the waste to be disposed of” and (ii) “prevent the entry of gaseous waste” confirmed present). Max assembled block 23,213 chars with zero truncation. 48 section_ref collisions correctly kept as distinct records via section_index.</w:t>
            </w:r>
          </w:p>
          <w:p>
            <w:r>
              <w:t>Scope: extraction only. The Stage-2 labelling layer (burden-set-per-section schema, set-vs-set agreement, label store / version-control) is ratified design but deliberately NOT built — it is the next step, and no real label is emitted until the store is in place.</w:t>
            </w:r>
          </w:p>
          <w:p>
            <w:r>
              <w:t>Pattern: #1 (verified the durable artifact from a fresh run — reproduced the baseline and recovered leaves against actual output, not a success message).</w:t>
            </w:r>
          </w:p>
        </w:tc>
      </w:tr>
    </w:tbl>
    <w:tbl>
      <w:tblPr>
        <w:tblW w:type="auto" w:w="0"/>
        <w:tblLook w:firstColumn="1" w:firstRow="1" w:lastColumn="0" w:lastRow="0" w:noHBand="0" w:noVBand="1" w:val="04A0"/>
      </w:tblPr>
      <w:tblGrid>
        <w:gridCol w:w="9360"/>
      </w:tblGrid>
      <w:tr>
        <w:tc>
          <w:tcPr>
            <w:tcW w:type="dxa" w:w="9360"/>
          </w:tcPr>
          <w:p>
            <w:r>
              <w:t>Two-stage recall: section-level flagging recovers 77.7% of dropped leaves — residual provisionally non-operative</w:t>
            </w:r>
          </w:p>
          <w:p>
            <w:r>
              <w:t>What: Stage-1 flagging at whole-section granularity (flag a section if anything in its DOM subtree fires a cue) recovers 6,051 of the 7,786 cue-less enumeration leaves that the current sentence-level extractor drops entirely (77.7%). The cue-less leaf rides in on its chapeau's cue. Residual: 1,735 cue-less leaves sit in 760 signal-less sections (0 cue anywhere in subtree).</w:t>
            </w:r>
          </w:p>
          <w:p>
            <w:r>
              <w:t>Status of the residual — PROVISIONAL, not labelling-confirmed: the residual is inferred non-operative from an eyeballed sample — definitions, short-title / extent / application, and especially amendment sections (“The X Act is amended as follows”). Of the 760 signal-less sections only 47 matched a broad operative backstop, and those were amendment cross-references (“offences in relation to…”) and interpretation stems (“unless the context otherwise requires”), i.e. not new private-actor burdens. Recorded as provisionally verified.</w:t>
            </w:r>
          </w:p>
          <w:p>
            <w:r>
              <w:t>To confirm during labelling: treat any signal-less section that turns out to hide a genuine private-actor duty as a check on this claim. If such sections appear above trace rate, the section-flag recall ceiling is lower than believed and Stage-1 needs a non-cue backstop.</w:t>
            </w:r>
          </w:p>
          <w:p>
            <w:r>
              <w:t>Pattern: #2 (Sample ≠ systematic — the residual is judged from the visible sample; the set we are NOT worried about must be tested during labelling).</w:t>
            </w:r>
          </w:p>
        </w:tc>
      </w:tr>
    </w:tbl>
    <w:tbl>
      <w:tblPr>
        <w:tblW w:type="auto" w:w="0"/>
        <w:tblLook w:firstColumn="1" w:firstRow="1" w:lastColumn="0" w:lastRow="0" w:noHBand="0" w:noVBand="1" w:val="04A0"/>
      </w:tblPr>
      <w:tblGrid>
        <w:gridCol w:w="9360"/>
      </w:tblGrid>
      <w:tr>
        <w:tc>
          <w:tcPr>
            <w:tcW w:type="dxa" w:w="9360"/>
          </w:tcPr>
          <w:p>
            <w:r>
              <w:t>Two hard constraints for two-stage implementation (do not lose these)</w:t>
            </w:r>
          </w:p>
          <w:p>
            <w:r>
              <w:t>What: confirmed by measurement on the 7 test Acts; both must hold in any implementation of the two-stage extractor.</w:t>
            </w:r>
          </w:p>
          <w:p>
            <w:r>
              <w:t>1. No truncation. The current emit() caps text at sentence[:2000]. 30% of flagged UK-body sections (and 38% of EU articles) exceed 2,000 chars. Whole-section assembly must remove or rework the cap, or it silently truncates exactly the large multi-duty sections the two-stage design exists to capture — undoing the recall fix.</w:t>
            </w:r>
          </w:p>
          <w:p>
            <w:r>
              <w:t>2. Key on DOM identity, not section_ref. Sectioning, the burden-set store, and the Stage-1→Stage-2 association must use DOM node identity. section_ref is non-unique (see the _ref_for entry), so keying on it would merge distinct provisions that share a ref string.</w:t>
            </w:r>
          </w:p>
          <w:p>
            <w:r>
              <w:t>Pattern: #1 (verify the durable artifact) and #3 (Named ≠ actual) — constraints proven against data and logged so they survive to implementation.</w:t>
            </w:r>
          </w:p>
        </w:tc>
      </w:tr>
    </w:tbl>
    <w:tbl>
      <w:tblPr>
        <w:tblW w:type="auto" w:w="0"/>
        <w:tblLook w:firstColumn="1" w:firstRow="1" w:lastColumn="0" w:lastRow="0" w:noHBand="0" w:noVBand="1" w:val="04A0"/>
      </w:tblPr>
      <w:tblGrid>
        <w:gridCol w:w="9360"/>
      </w:tblGrid>
      <w:tr>
        <w:tc>
          <w:tcPr>
            <w:tcW w:type="dxa" w:w="9360"/>
          </w:tcPr>
          <w:p>
            <w:r>
              <w:t>section_ref is not a unique key — _ref_for omits Schedule/Part/position</w:t>
            </w:r>
          </w:p>
          <w:p>
            <w:r>
              <w:t>What: extract_candidates._ref_for builds a provision ref from P-level Pnumbers only, with no Schedule / Part / document-position qualifier. Measured on the Environmental Permitting Regs 2016, the ref “24(1)” maps to five structurally different provisions (the body obligation “A must—”, a schedule activity-list, an amendment clause, and others). The docstring calling this ref “an unambiguous JOIN KEY” (extract_candidates.py:179) is false.</w:t>
            </w:r>
          </w:p>
          <w:p>
            <w:r>
              <w:t>What prompted the catch: A first pass at measuring the enumerated-leaf recall hole grouped chapeau→leaf by ref-string and over-counted dropped leaves by ~55% (3,757 vs the DOM-correct 2,408). Switching to DOM ancestry (find_parents over the P-levels), which is collision-proof, gave the true figure and exposed the collisions.</w:t>
            </w:r>
          </w:p>
          <w:p>
            <w:r>
              <w:t>Blast radius (scoped, not fixed): confined to extract_candidates.py and its outputs. (a) ref is a component of the candidate id {type}/{year}/{item}#{ref}#{hash} — id collisions are currently masked only by the 12-char sentence hash, not by ref. (b) the section_ref field in candidates.jsonl and candidates_index.csv. (c) definitions[].ref locators. (d) the dropped-dups ref. No SQL JOIN keys on it today. But any future label-store keyed on (item_url, section_ref), and the proposed Stage-1 section grouping, would inherit the ambiguity — both must key on DOM node identity, not section_ref.</w:t>
            </w:r>
          </w:p>
          <w:p>
            <w:r>
              <w:t>Resolution: Logged and scoped only; not fixed. All measurement work uses DOM ancestry. Fix deferred pending the two-stage architecture decision.</w:t>
            </w:r>
          </w:p>
          <w:p>
            <w:r>
              <w:t>Pattern: #3 (Named ≠ actual — a comment asserts “unambiguous JOIN KEY”; downstream it is not). Another instance of the identifier-scheme mismatch class (cf. the regnal chapter-code false-404 entry): a locally-built identifier silently fails to be globally unique across the document.</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8872D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D79CB4A" w14:textId="77777777" w:rsidR="00F33557" w:rsidRDefault="00000000">
            <w:pPr>
              <w:spacing w:after="80"/>
            </w:pPr>
            <w:r>
              <w:rPr>
                <w:b/>
                <w:bCs/>
                <w:color w:val="2E5B8A"/>
                <w:sz w:val="23"/>
                <w:szCs w:val="23"/>
              </w:rPr>
              <w:t>Scope-C anomaly: the uksi 796 — surprising, then explained</w:t>
            </w:r>
          </w:p>
          <w:p w14:paraId="1478841E" w14:textId="77777777" w:rsidR="00F33557" w:rsidRDefault="00000000">
            <w:pPr>
              <w:spacing w:after="70"/>
            </w:pPr>
            <w:r>
              <w:rPr>
                <w:b/>
                <w:bCs/>
              </w:rPr>
              <w:t xml:space="preserve">What: </w:t>
            </w:r>
            <w:r>
              <w:t>796 post-1990 UK Statutory Instruments showed as PDF-only shells / not-ingestable — surprising, because modern UK SIs are normally fully digitised, and they sit in the Scope-C (91.6%) headline most relevant to the burden measure.</w:t>
            </w:r>
          </w:p>
          <w:p w14:paraId="6E712925" w14:textId="77777777" w:rsidR="00F33557" w:rsidRDefault="00000000">
            <w:pPr>
              <w:spacing w:after="70"/>
            </w:pPr>
            <w:r>
              <w:rPr>
                <w:b/>
                <w:bCs/>
              </w:rPr>
              <w:t xml:space="preserve">What prompted the catch: </w:t>
            </w:r>
            <w:r>
              <w:t>Pulling on the one anomaly in an otherwise-expected gap composition (NI + retained-EU dominating was expected; modern uksi shells were not). Characterised the 796 and spot-checked against canonical pages.</w:t>
            </w:r>
          </w:p>
          <w:p w14:paraId="06445DC4" w14:textId="77777777" w:rsidR="00F33557" w:rsidRDefault="00000000">
            <w:pPr>
              <w:spacing w:after="70"/>
            </w:pPr>
            <w:r>
              <w:rPr>
                <w:b/>
                <w:bCs/>
              </w:rPr>
              <w:t xml:space="preserve">Resolution: </w:t>
            </w:r>
            <w:r>
              <w:t>Confirmed (8/8 spot-checks PDF-only, 0 provisions) as genuine local-effect instruments — trunk-road/traffic orders, diocesan endowment, air-navigation orders. Formally uksi (delegated SIs) but locally-scoped, so by the same logic that excuses local/private Acts they don't impose general-class burden. Scope-C 91.6% holds, not understated.</w:t>
            </w:r>
          </w:p>
          <w:p w14:paraId="07CDDC48" w14:textId="77777777" w:rsidR="00F33557" w:rsidRDefault="00000000">
            <w:pPr>
              <w:spacing w:after="70"/>
            </w:pPr>
            <w:r>
              <w:rPr>
                <w:b/>
                <w:bCs/>
              </w:rPr>
              <w:t xml:space="preserve">Pattern: </w:t>
            </w:r>
            <w:r>
              <w:t>#4 (the surprising remainder in the core population) and #1 (verified by spot-check, not assumed).</w:t>
            </w:r>
          </w:p>
        </w:tc>
      </w:tr>
    </w:tbl>
    <w:p w14:paraId="30AACD9E"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4ADEDE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39EF7B3" w14:textId="011925F4" w:rsidR="00F33557" w:rsidRDefault="00000000">
            <w:pPr>
              <w:spacing w:after="80"/>
            </w:pPr>
            <w:r>
              <w:rPr>
                <w:b/>
                <w:bCs/>
                <w:color w:val="2E5B8A"/>
                <w:sz w:val="23"/>
                <w:szCs w:val="23"/>
              </w:rPr>
              <w:t xml:space="preserve">Recoverable ≠ </w:t>
            </w:r>
            <w:r w:rsidR="00D817D2">
              <w:rPr>
                <w:b/>
                <w:bCs/>
                <w:color w:val="2E5B8A"/>
                <w:sz w:val="23"/>
                <w:szCs w:val="23"/>
              </w:rPr>
              <w:t>ingestible</w:t>
            </w:r>
            <w:r>
              <w:rPr>
                <w:b/>
                <w:bCs/>
                <w:color w:val="2E5B8A"/>
                <w:sz w:val="23"/>
                <w:szCs w:val="23"/>
              </w:rPr>
              <w:t>: the 2,344 → 423 gap (and AKN vs CLML)</w:t>
            </w:r>
          </w:p>
          <w:p w14:paraId="24914494" w14:textId="77777777" w:rsidR="00F33557" w:rsidRDefault="00000000">
            <w:pPr>
              <w:spacing w:after="70"/>
            </w:pPr>
            <w:r>
              <w:rPr>
                <w:b/>
                <w:bCs/>
              </w:rPr>
              <w:t xml:space="preserve">What: </w:t>
            </w:r>
            <w:r>
              <w:t>The sweep flagged 2,344 items 'recoverable', implying a corpus lift toward ~71,800. In fact only 423 became net-new CLML Tier-1 text on ingest; 386 were already in the corpus, and 1,535 were digitised-but-not-CLML-ingestable (Akoma Ntoso or PDF-only), predominantly uksi (755) + nisr (425).</w:t>
            </w:r>
          </w:p>
          <w:p w14:paraId="74009E3B" w14:textId="77777777" w:rsidR="00F33557" w:rsidRDefault="00000000">
            <w:pPr>
              <w:spacing w:after="70"/>
            </w:pPr>
            <w:r>
              <w:rPr>
                <w:b/>
                <w:bCs/>
              </w:rPr>
              <w:t xml:space="preserve">What prompted the catch: </w:t>
            </w:r>
            <w:r>
              <w:t>A full dry-run of the ingest (not the skewed alphabetical sample) to measure real yield. Surfaced that 'recoverable' was a sweep verdict based on data.akn content, while the pipeline ingests CLML (data.xml), which is empty for those items.</w:t>
            </w:r>
          </w:p>
          <w:p w14:paraId="56C32DAD" w14:textId="77777777" w:rsidR="00F33557" w:rsidRDefault="00000000">
            <w:pPr>
              <w:spacing w:after="70"/>
            </w:pPr>
            <w:r>
              <w:rPr>
                <w:b/>
                <w:bCs/>
              </w:rPr>
              <w:t xml:space="preserve">Resolution: </w:t>
            </w:r>
            <w:r>
              <w:t>Headline set to the real post-ingest figure (69,462 → 69,885, +423), NOT the speculative ~71,800. The 1,535 AKN/PDF items deferred to phase 2 as a counted, named category (AKN-parser / OCR routes flagged), consistent with the existing phase-2 target list. Decision: don't build AKN parsing now for a peripheral, mostly local-effect / retained-EU set.</w:t>
            </w:r>
          </w:p>
          <w:p w14:paraId="18BC2396" w14:textId="77777777" w:rsidR="00F33557" w:rsidRDefault="00000000">
            <w:pPr>
              <w:spacing w:after="70"/>
            </w:pPr>
            <w:r>
              <w:rPr>
                <w:b/>
                <w:bCs/>
              </w:rPr>
              <w:t xml:space="preserve">Pattern: </w:t>
            </w:r>
            <w:r>
              <w:t>#3 (a 'recoverable' verdict didn't mean 'ingestable' downstream) and #4 (the generous headline figure glossed the 1,535 remainder).</w:t>
            </w:r>
          </w:p>
        </w:tc>
      </w:tr>
    </w:tbl>
    <w:p w14:paraId="1F8BE061"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E25DF9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42BA495" w14:textId="77777777" w:rsidR="00F33557" w:rsidRDefault="00000000">
            <w:pPr>
              <w:spacing w:after="80"/>
            </w:pPr>
            <w:r>
              <w:rPr>
                <w:b/>
                <w:bCs/>
                <w:color w:val="2E5B8A"/>
                <w:sz w:val="23"/>
                <w:szCs w:val="23"/>
              </w:rPr>
              <w:t>Extrapolated figures corrected by the exhaustive count</w:t>
            </w:r>
          </w:p>
          <w:p w14:paraId="2955BC93" w14:textId="77777777" w:rsidR="00F33557" w:rsidRDefault="00000000">
            <w:pPr>
              <w:spacing w:after="70"/>
            </w:pPr>
            <w:r>
              <w:rPr>
                <w:b/>
                <w:bCs/>
              </w:rPr>
              <w:t xml:space="preserve">What: </w:t>
            </w:r>
            <w:r>
              <w:t>The coverage note carried extrapolated Tier-2 (shell, 15,895) and Tier-3 (not-digitised 404, 34,484) figures. The finished exhaustion sweep, aggregated exhaustively across all 50,765 items, gave real figures materially different: shells ~29,872 (later 31,407 incl. deferred) and 404s 18,505 — i.e. the extrapolation overstated hard-404 'not digitised' by ~16k and understated PDF-only shells by ~14k.</w:t>
            </w:r>
          </w:p>
          <w:p w14:paraId="59302213" w14:textId="77777777" w:rsidR="00F33557" w:rsidRDefault="00000000">
            <w:pPr>
              <w:spacing w:after="70"/>
            </w:pPr>
            <w:r>
              <w:rPr>
                <w:b/>
                <w:bCs/>
              </w:rPr>
              <w:t xml:space="preserve">What prompted the catch: </w:t>
            </w:r>
            <w:r>
              <w:t>Holding the note's figures as provisional (banners + inline punch-list) pending the real aggregation, rather than publishing the extrapolations as settled.</w:t>
            </w:r>
          </w:p>
          <w:p w14:paraId="26982877" w14:textId="77777777" w:rsidR="00F33557" w:rsidRDefault="00000000">
            <w:pPr>
              <w:spacing w:after="70"/>
            </w:pPr>
            <w:r>
              <w:rPr>
                <w:b/>
                <w:bCs/>
              </w:rPr>
              <w:t xml:space="preserve">Resolution: </w:t>
            </w:r>
            <w:r>
              <w:t>Real figures replaced the extrapolations at finalisation; tiers reconcile exactly to 119,841. The corrected story is materially STRONGER — the gap is mostly digitised-as-</w:t>
            </w:r>
            <w:r>
              <w:lastRenderedPageBreak/>
              <w:t>PDF, not genuinely absent. 'Confirmed unrecoverable' types corrected from 8 to 6 (uksro/gbla dropped off, having recoverable/incomplete items). Validation evidence added: false-404 0/487 (CI 0–0.8%), shell control 50/50.</w:t>
            </w:r>
          </w:p>
          <w:p w14:paraId="365536D8" w14:textId="77777777" w:rsidR="00F33557" w:rsidRDefault="00000000">
            <w:pPr>
              <w:spacing w:after="70"/>
            </w:pPr>
            <w:r>
              <w:rPr>
                <w:b/>
                <w:bCs/>
              </w:rPr>
              <w:t xml:space="preserve">Pattern: </w:t>
            </w:r>
            <w:r>
              <w:t>#1 (extrapolation treated provisionally, not as verified reality) — had the extrapolated figures been published they'd have understated digitisation by ~16k.</w:t>
            </w:r>
          </w:p>
        </w:tc>
      </w:tr>
    </w:tbl>
    <w:p w14:paraId="0DFFD657"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B116B2B"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ACE6E7F" w14:textId="77777777" w:rsidR="00F33557" w:rsidRDefault="00000000">
            <w:pPr>
              <w:spacing w:after="80"/>
            </w:pPr>
            <w:r>
              <w:rPr>
                <w:b/>
                <w:bCs/>
                <w:color w:val="2E5B8A"/>
                <w:sz w:val="23"/>
                <w:szCs w:val="23"/>
              </w:rPr>
              <w:t>Checkpoint verification at sweep completion (durable artifact, not the log line)</w:t>
            </w:r>
          </w:p>
          <w:p w14:paraId="4C71BC07" w14:textId="77777777" w:rsidR="00F33557" w:rsidRDefault="00000000">
            <w:pPr>
              <w:spacing w:after="70"/>
            </w:pPr>
            <w:r>
              <w:rPr>
                <w:b/>
                <w:bCs/>
              </w:rPr>
              <w:t xml:space="preserve">What: </w:t>
            </w:r>
            <w:r>
              <w:t>The exhaustion sweep reported 'Session complete — 50,764 items'. Expected universe was 50,765 — one short.</w:t>
            </w:r>
          </w:p>
          <w:p w14:paraId="424733BB" w14:textId="77777777" w:rsidR="00F33557" w:rsidRDefault="00000000">
            <w:pPr>
              <w:spacing w:after="70"/>
            </w:pPr>
            <w:r>
              <w:rPr>
                <w:b/>
                <w:bCs/>
              </w:rPr>
              <w:t xml:space="preserve">What prompted the catch: </w:t>
            </w:r>
            <w:r>
              <w:t>Treating the completion log as a claim, not proof: verifying the durable Drive checkpoint (md5 681772dd… / 84,799,488 bytes / 355,343 probes / PRAGMA integrity ok) from a fresh state, and diffing to name the missing item rather than assuming it benign.</w:t>
            </w:r>
          </w:p>
          <w:p w14:paraId="409868F2" w14:textId="77777777" w:rsidR="00F33557" w:rsidRDefault="00000000">
            <w:pPr>
              <w:spacing w:after="70"/>
            </w:pPr>
            <w:r>
              <w:rPr>
                <w:b/>
                <w:bCs/>
              </w:rPr>
              <w:t xml:space="preserve">Resolution: </w:t>
            </w:r>
            <w:r>
              <w:t>The missing item (City of Glasgow Union Railway Partition Act 1896, a ukla) was fully probed — the gap was a roll-up that didn't fire on an item ending in HTTP 500, NOT data loss. Re-probed for a real verdict (shell), not an assumed 404. Crucially, the aggregator reads from probe_results (complete: 0 never-probed), not the item_summary side-table, so no item was ever lost from the figures.</w:t>
            </w:r>
          </w:p>
          <w:p w14:paraId="31FEE7DA" w14:textId="77777777" w:rsidR="00F33557" w:rsidRDefault="00000000">
            <w:pPr>
              <w:spacing w:after="70"/>
            </w:pPr>
            <w:r>
              <w:rPr>
                <w:b/>
                <w:bCs/>
              </w:rPr>
              <w:t xml:space="preserve">Pattern: </w:t>
            </w:r>
            <w:r>
              <w:t>#1 (verify the durable artifact from a fresh state) and #3 (don't assume the verdict of an item you didn't definitively probe — it was a shell, not the 404 an assumption would have given).</w:t>
            </w:r>
          </w:p>
        </w:tc>
      </w:tr>
    </w:tbl>
    <w:p w14:paraId="0649035A"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A791D0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A12460C" w14:textId="77777777" w:rsidR="00F33557" w:rsidRDefault="00000000">
            <w:pPr>
              <w:spacing w:after="80"/>
            </w:pPr>
            <w:r>
              <w:rPr>
                <w:b/>
                <w:bCs/>
                <w:color w:val="2E5B8A"/>
                <w:sz w:val="23"/>
                <w:szCs w:val="23"/>
              </w:rPr>
              <w:t>Identifier-scheme false-404s: a real bug, then a near over-correction</w:t>
            </w:r>
          </w:p>
          <w:p w14:paraId="6A161698" w14:textId="77777777" w:rsidR="00F33557" w:rsidRDefault="00000000">
            <w:pPr>
              <w:spacing w:after="70"/>
            </w:pPr>
            <w:r>
              <w:rPr>
                <w:b/>
                <w:bCs/>
              </w:rPr>
              <w:t xml:space="preserve">What: </w:t>
            </w:r>
            <w:r>
              <w:t>Two-sided. (a) Genuine bug: National Archives cite some pre-modern Acts by name-slug (aep/Hen3/52/stat-marlbr) while legislation.gov.uk serves them under chapter-coded URIs (aep/Hen3c23/52/23); the disjoint schemes made famous statutes (Magna Carta, Marlborough) wrongly verdict 'not digitised' and wrongly miss the corpus matcher. (b) Near over-correction: a pattern-match estimated the bug at ~61% of the frontier (~31k items), nearly triggering a disproportionate full canonicaliser build.</w:t>
            </w:r>
          </w:p>
          <w:p w14:paraId="6C6DB60F" w14:textId="77777777" w:rsidR="00F33557" w:rsidRDefault="00000000">
            <w:pPr>
              <w:spacing w:after="70"/>
            </w:pPr>
            <w:r>
              <w:rPr>
                <w:b/>
                <w:bCs/>
              </w:rPr>
              <w:t xml:space="preserve">What prompted the catches: </w:t>
            </w:r>
            <w:r>
              <w:t>(a) Spot-checking the first 'not_digitised' medieval item revealed the false-404. (b) The 'validate the premise before building' gate — checking the 31k against actual corpus data — showed the chapter-code bug only bites the medieval aep-style statutes; numeric-regnal items (ukla/Geo3/41/100) share the corpus scheme and are genuine gaps, not scheme casualties.</w:t>
            </w:r>
          </w:p>
          <w:p w14:paraId="47EE4C6B" w14:textId="77777777" w:rsidR="00F33557" w:rsidRDefault="00000000">
            <w:pPr>
              <w:spacing w:after="70"/>
            </w:pPr>
            <w:r>
              <w:rPr>
                <w:b/>
                <w:bCs/>
              </w:rPr>
              <w:t xml:space="preserve">Resolution: </w:t>
            </w:r>
            <w:r>
              <w:t>Scope corrected from ~61%/31k to ~0.3%/140. Built a targeted 17-statute / 44-row slug-override patch (not a full canonicaliser); 2 review items web-confirmed as genuine gaps. Methodology note documents the limitation with the strict 'not ingested ≠ not digitised' distinction. Also corrected our OWN earlier mis-diagnosis: the Geo5/15-16/20 ranged-year was NOT the bug — the unreconciled chapter-code token was.</w:t>
            </w:r>
          </w:p>
          <w:p w14:paraId="1BF67F2A" w14:textId="77777777" w:rsidR="00F33557" w:rsidRDefault="00000000">
            <w:pPr>
              <w:spacing w:after="70"/>
            </w:pPr>
            <w:r>
              <w:rPr>
                <w:b/>
                <w:bCs/>
              </w:rPr>
              <w:t xml:space="preserve">Pattern: </w:t>
            </w:r>
            <w:r>
              <w:t>#3 (named ≠ actual — a 'not digitised' verdict that was false) AND #5 (verify the premise before building — a vivid example, Magna Carta, tempted a 61% over-generalisation that real data corrected to 0.3%). Both directions of error in one episode: nearly missing the bug, then nearly over-investing in it.</w:t>
            </w:r>
          </w:p>
        </w:tc>
      </w:tr>
    </w:tbl>
    <w:p w14:paraId="735AE31D"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4E9049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0C7C660" w14:textId="77777777" w:rsidR="00F33557" w:rsidRDefault="00000000">
            <w:pPr>
              <w:spacing w:after="80"/>
            </w:pPr>
            <w:r>
              <w:rPr>
                <w:b/>
                <w:bCs/>
                <w:color w:val="2E5B8A"/>
                <w:sz w:val="23"/>
                <w:szCs w:val="23"/>
              </w:rPr>
              <w:lastRenderedPageBreak/>
              <w:t>Source-priority near-miss: “best-collection only” reversed</w:t>
            </w:r>
          </w:p>
          <w:p w14:paraId="0B1207A7" w14:textId="77777777" w:rsidR="00F33557" w:rsidRDefault="00000000">
            <w:pPr>
              <w:spacing w:after="70"/>
            </w:pPr>
            <w:r>
              <w:rPr>
                <w:b/>
                <w:bCs/>
              </w:rPr>
              <w:t xml:space="preserve">What: </w:t>
            </w:r>
            <w:r>
              <w:t>Nearly simplified the corpus parse source to best-collection alone, dropping revised-current, on the basis that revised-current is a 99.9% subset of best-collection.</w:t>
            </w:r>
          </w:p>
          <w:p w14:paraId="4DBC3CAD" w14:textId="77777777" w:rsidR="00F33557" w:rsidRDefault="00000000">
            <w:pPr>
              <w:spacing w:after="70"/>
            </w:pPr>
            <w:r>
              <w:rPr>
                <w:b/>
                <w:bCs/>
              </w:rPr>
              <w:t xml:space="preserve">What prompted the catch: </w:t>
            </w:r>
            <w:r>
              <w:t>Checking the small remainder rather than accepting “near-perfect subset.” Two findings reversed it: (a) 7 in-force retained-EU items exist only in revised-current — best-collection-only would have orphaned them; (b) best-collection holds only as-made text for ~51k SIs, and ~5,822 have a revised version only in revised-current, ~27% materially different — so best-collection-only would have silently served pre-amendment text for a chunk of the SI corpus.</w:t>
            </w:r>
          </w:p>
          <w:p w14:paraId="4970A83A" w14:textId="77777777" w:rsidR="00F33557" w:rsidRDefault="00000000">
            <w:pPr>
              <w:spacing w:after="70"/>
            </w:pPr>
            <w:r>
              <w:rPr>
                <w:b/>
                <w:bCs/>
              </w:rPr>
              <w:t xml:space="preserve">Resolution: </w:t>
            </w:r>
            <w:r>
              <w:t>Reversed to revised-current PRIMARY → best-collection's revised where RC lacks it → made/enacted only where no revision exists. Read variants from files, not the stale index.</w:t>
            </w:r>
          </w:p>
          <w:p w14:paraId="01F2A678" w14:textId="77777777" w:rsidR="00F33557" w:rsidRDefault="00000000">
            <w:pPr>
              <w:spacing w:after="70"/>
            </w:pPr>
            <w:r>
              <w:rPr>
                <w:b/>
                <w:bCs/>
              </w:rPr>
              <w:t xml:space="preserve">Pattern: </w:t>
            </w:r>
            <w:r>
              <w:t>#4 (the headline glosses a remainder that matters) and #2 (the SI staleness was invisible until the non-obvious subset was checked).</w:t>
            </w:r>
          </w:p>
        </w:tc>
      </w:tr>
    </w:tbl>
    <w:p w14:paraId="0A60E04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6E7467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4188FE13" w14:textId="77777777" w:rsidR="00F33557" w:rsidRDefault="00000000">
            <w:pPr>
              <w:spacing w:after="80"/>
            </w:pPr>
            <w:r>
              <w:rPr>
                <w:b/>
                <w:bCs/>
                <w:color w:val="2E5B8A"/>
                <w:sz w:val="23"/>
                <w:szCs w:val="23"/>
              </w:rPr>
              <w:t>The pipeline reframe (a redesign, not a mistake)</w:t>
            </w:r>
          </w:p>
          <w:p w14:paraId="3F880987" w14:textId="77777777" w:rsidR="00F33557" w:rsidRDefault="00000000">
            <w:pPr>
              <w:spacing w:after="70"/>
            </w:pPr>
            <w:r>
              <w:rPr>
                <w:b/>
                <w:bCs/>
              </w:rPr>
              <w:t xml:space="preserve">What: </w:t>
            </w:r>
            <w:r>
              <w:t>Stopped trying to fix the rule-based classifier. Recognised the architecture should be: high-recall candidate-extraction pipeline → Claude + Gemini independently classify against the rubric → human adjudicates disagreements → validated labels train Legal-BERT (the production classifier).</w:t>
            </w:r>
          </w:p>
          <w:p w14:paraId="60E245B9" w14:textId="77777777" w:rsidR="00F33557" w:rsidRDefault="00000000">
            <w:pPr>
              <w:spacing w:after="70"/>
            </w:pPr>
            <w:r>
              <w:rPr>
                <w:b/>
                <w:bCs/>
              </w:rPr>
              <w:t xml:space="preserve">What prompted it: </w:t>
            </w:r>
            <w:r>
              <w:t>Asking what actually transfers to the production model. The rule-based classifier's keyword/spaCy internals are disposable; Legal-BERT learns from the training labels, not from analyser.py's code. So effort belonged on the rubric, the training data, the candidate filter's recall, and the eval set — not on polishing a classifier being retired.</w:t>
            </w:r>
          </w:p>
          <w:p w14:paraId="6399C78F" w14:textId="77777777" w:rsidR="00F33557" w:rsidRDefault="00000000">
            <w:pPr>
              <w:spacing w:after="70"/>
            </w:pPr>
            <w:r>
              <w:rPr>
                <w:b/>
                <w:bCs/>
              </w:rPr>
              <w:t xml:space="preserve">Resolution: </w:t>
            </w:r>
            <w:r>
              <w:t>Built extract_candidates.py (pipeline only); retired the classification layer. Dropped, as consequences: the trf upgrade, the Cat 2/Cat 5 classifier fixes, the tag migration.</w:t>
            </w:r>
          </w:p>
          <w:p w14:paraId="1D89B4BC" w14:textId="77777777" w:rsidR="00F33557" w:rsidRDefault="00000000">
            <w:pPr>
              <w:spacing w:after="70"/>
            </w:pPr>
            <w:r>
              <w:rPr>
                <w:b/>
                <w:bCs/>
              </w:rPr>
              <w:t xml:space="preserve">Pattern: </w:t>
            </w:r>
            <w:r>
              <w:t>A clean course-correction. The lesson: identify the disposable-vs-transferable boundary early, before investing in interim tooling.</w:t>
            </w:r>
          </w:p>
        </w:tc>
      </w:tr>
    </w:tbl>
    <w:p w14:paraId="31874F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1BEF41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F12D566" w14:textId="77777777" w:rsidR="00F33557" w:rsidRDefault="00000000">
            <w:pPr>
              <w:spacing w:after="80"/>
            </w:pPr>
            <w:r>
              <w:rPr>
                <w:b/>
                <w:bCs/>
                <w:color w:val="2E5B8A"/>
                <w:sz w:val="23"/>
                <w:szCs w:val="23"/>
              </w:rPr>
              <w:t>Candidate-filter recall gaps (caught by empirical ground-truth check)</w:t>
            </w:r>
          </w:p>
          <w:p w14:paraId="009185C5" w14:textId="77777777" w:rsidR="00F33557" w:rsidRDefault="00000000">
            <w:pPr>
              <w:spacing w:after="70"/>
            </w:pPr>
            <w:r>
              <w:rPr>
                <w:b/>
                <w:bCs/>
              </w:rPr>
              <w:t xml:space="preserve">What: </w:t>
            </w:r>
            <w:r>
              <w:t>The candidate filter was precision-tuned and silently dropped genuine burdens in several places; the cue inventory had real holes (rights/entitlements, void/contracting-out, Victorian “shall forfeit”, “comply with”, “require X to”, enforcement-submit).</w:t>
            </w:r>
          </w:p>
          <w:p w14:paraId="69C596A1" w14:textId="77777777" w:rsidR="00F33557" w:rsidRDefault="00000000">
            <w:pPr>
              <w:spacing w:after="70"/>
            </w:pPr>
            <w:r>
              <w:rPr>
                <w:b/>
                <w:bCs/>
              </w:rPr>
              <w:t xml:space="preserve">What prompted the catch: </w:t>
            </w:r>
            <w:r>
              <w:t>Running the filter over ground-truth Acts where the full burden set was already known, and confirming it surfaced all of them — rather than reasoning about completeness introspectively. The introspective cue audit alone would have shipped with at least four silent holes.</w:t>
            </w:r>
          </w:p>
          <w:p w14:paraId="5C3083F1" w14:textId="77777777" w:rsidR="00F33557" w:rsidRDefault="00000000">
            <w:pPr>
              <w:spacing w:after="70"/>
            </w:pPr>
            <w:r>
              <w:rPr>
                <w:b/>
                <w:bCs/>
              </w:rPr>
              <w:t xml:space="preserve">Resolution: </w:t>
            </w:r>
            <w:r>
              <w:t>Converted precision-drops to “surface and flag”; added the missing cues; established that the candidate filter must be high-recall (over-inclusion is safe; silent drops are uncorrectable false negatives that set the project's measurement ceiling).</w:t>
            </w:r>
          </w:p>
          <w:p w14:paraId="4C42979B" w14:textId="77777777" w:rsidR="00F33557" w:rsidRDefault="00000000">
            <w:pPr>
              <w:spacing w:after="70"/>
            </w:pPr>
            <w:r>
              <w:rPr>
                <w:b/>
                <w:bCs/>
              </w:rPr>
              <w:t xml:space="preserve">Pattern: </w:t>
            </w:r>
            <w:r>
              <w:t>#2 (recall can't be measured from what surfaces — you need ground truth of what should surface).</w:t>
            </w:r>
          </w:p>
        </w:tc>
      </w:tr>
    </w:tbl>
    <w:p w14:paraId="05A70D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6409BAED"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4CEAC7E" w14:textId="77777777" w:rsidR="00F33557" w:rsidRDefault="00000000">
            <w:pPr>
              <w:spacing w:after="80"/>
            </w:pPr>
            <w:r>
              <w:rPr>
                <w:b/>
                <w:bCs/>
                <w:color w:val="2E5B8A"/>
                <w:sz w:val="23"/>
                <w:szCs w:val="23"/>
              </w:rPr>
              <w:t>Missing categories in the code</w:t>
            </w:r>
          </w:p>
          <w:p w14:paraId="37BC44BA" w14:textId="77777777" w:rsidR="00F33557" w:rsidRDefault="00000000">
            <w:pPr>
              <w:spacing w:after="70"/>
            </w:pPr>
            <w:r>
              <w:rPr>
                <w:b/>
                <w:bCs/>
              </w:rPr>
              <w:t xml:space="preserve">What: </w:t>
            </w:r>
            <w:r>
              <w:t>Two of the six taxonomy categories were not implemented. Cat 2 (conditional direct) was absent, silently absorbed into direct. Cat 5 (conditional burden) existed as a tag but caught the wrong thing — purpose-clause/“is to” statements, several of which the rubric excludes as non-operative.</w:t>
            </w:r>
          </w:p>
          <w:p w14:paraId="4CA55D39" w14:textId="77777777" w:rsidR="00F33557" w:rsidRDefault="00000000">
            <w:pPr>
              <w:spacing w:after="70"/>
            </w:pPr>
            <w:r>
              <w:rPr>
                <w:b/>
                <w:bCs/>
              </w:rPr>
              <w:t xml:space="preserve">What prompted the catch: </w:t>
            </w:r>
            <w:r>
              <w:t>A counting diagnostic, run for a different reason (the tag-migration scope), surfaced it incidentally.</w:t>
            </w:r>
          </w:p>
          <w:p w14:paraId="7EF642BF" w14:textId="77777777" w:rsidR="00F33557" w:rsidRDefault="00000000">
            <w:pPr>
              <w:spacing w:after="70"/>
            </w:pPr>
            <w:r>
              <w:rPr>
                <w:b/>
                <w:bCs/>
              </w:rPr>
              <w:t xml:space="preserve">Resolution: </w:t>
            </w:r>
            <w:r>
              <w:t>Largely mooted by the reframe — the candidate filter only needs to surface these sentences; the LLM+human layer assigns the category. No keyword heuristic needed for judgement categories.</w:t>
            </w:r>
          </w:p>
          <w:p w14:paraId="486BA0EF" w14:textId="77777777" w:rsidR="00F33557" w:rsidRDefault="00000000">
            <w:pPr>
              <w:spacing w:after="70"/>
            </w:pPr>
            <w:r>
              <w:rPr>
                <w:b/>
                <w:bCs/>
              </w:rPr>
              <w:t xml:space="preserve">Pattern: </w:t>
            </w:r>
            <w:r>
              <w:t>#3 (the rubric and the code had silently diverged; the code didn't express the taxonomy the docs described).</w:t>
            </w:r>
          </w:p>
        </w:tc>
      </w:tr>
    </w:tbl>
    <w:p w14:paraId="64550896"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06C698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D375150" w14:textId="77777777" w:rsidR="00F33557" w:rsidRDefault="00000000">
            <w:pPr>
              <w:spacing w:after="80"/>
            </w:pPr>
            <w:r>
              <w:rPr>
                <w:b/>
                <w:bCs/>
                <w:color w:val="2E5B8A"/>
                <w:sz w:val="23"/>
                <w:szCs w:val="23"/>
              </w:rPr>
              <w:t>Count column undercount</w:t>
            </w:r>
          </w:p>
          <w:p w14:paraId="3E373657" w14:textId="77777777" w:rsidR="00F33557" w:rsidRDefault="00000000">
            <w:pPr>
              <w:spacing w:after="70"/>
            </w:pPr>
            <w:r>
              <w:rPr>
                <w:b/>
                <w:bCs/>
              </w:rPr>
              <w:t xml:space="preserve">What: </w:t>
            </w:r>
            <w:r>
              <w:t>private_actor_count summed only the Direct leaf, not the parent (direct + implied + conditional) — understating the parent by ~2.6% on the benchmark — and the column name implied “total private actor burden” when it meant “direct only.” Also a double-count trap: implied_burden_count already includes implied_burden_active.</w:t>
            </w:r>
          </w:p>
          <w:p w14:paraId="672C7DFF" w14:textId="77777777" w:rsidR="00F33557" w:rsidRDefault="00000000">
            <w:pPr>
              <w:spacing w:after="70"/>
            </w:pPr>
            <w:r>
              <w:rPr>
                <w:b/>
                <w:bCs/>
              </w:rPr>
              <w:t xml:space="preserve">What prompted the catch: </w:t>
            </w:r>
            <w:r>
              <w:t>Read-only investigation of what the count columns actually summed, before committing to a naming decision.</w:t>
            </w:r>
          </w:p>
          <w:p w14:paraId="30EA8A09" w14:textId="77777777" w:rsidR="00F33557" w:rsidRDefault="00000000">
            <w:pPr>
              <w:spacing w:after="70"/>
            </w:pPr>
            <w:r>
              <w:rPr>
                <w:b/>
                <w:bCs/>
              </w:rPr>
              <w:t xml:space="preserve">Resolution: </w:t>
            </w:r>
            <w:r>
              <w:t>Add a genuine parent-total column (respecting the no-double-count formula); rename the Direct-leaf column honestly. (Queued; mostly mooted by the reframe since the classification output is retired.)</w:t>
            </w:r>
          </w:p>
          <w:p w14:paraId="30BE526A" w14:textId="77777777" w:rsidR="00F33557" w:rsidRDefault="00000000">
            <w:pPr>
              <w:spacing w:after="70"/>
            </w:pPr>
            <w:r>
              <w:rPr>
                <w:b/>
                <w:bCs/>
              </w:rPr>
              <w:t xml:space="preserve">Pattern: </w:t>
            </w:r>
            <w:r>
              <w:t>#3 (named ≠ actual — verify what an aggregate computes, not what it's called).</w:t>
            </w:r>
          </w:p>
        </w:tc>
      </w:tr>
    </w:tbl>
    <w:p w14:paraId="2A1827CC"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E2E55C"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BBB7DD8" w14:textId="77777777" w:rsidR="00F33557" w:rsidRDefault="00000000">
            <w:pPr>
              <w:spacing w:after="80"/>
            </w:pPr>
            <w:r>
              <w:rPr>
                <w:b/>
                <w:bCs/>
                <w:color w:val="2E5B8A"/>
                <w:sz w:val="23"/>
                <w:szCs w:val="23"/>
              </w:rPr>
              <w:t>spaCy model assumption (sm vs trf)</w:t>
            </w:r>
          </w:p>
          <w:p w14:paraId="62D7C546" w14:textId="77777777" w:rsidR="00F33557" w:rsidRDefault="00000000">
            <w:pPr>
              <w:spacing w:after="70"/>
            </w:pPr>
            <w:r>
              <w:rPr>
                <w:b/>
                <w:bCs/>
              </w:rPr>
              <w:t xml:space="preserve">What: </w:t>
            </w:r>
            <w:r>
              <w:t>Briefly assumed/asserted the classifier was running the transformer parser (trf) when the rule-based analyser used en_core_web_sm. (Clarified: trf was always the next-phase / Legal-BERT plan, not the current rule-based setup.)</w:t>
            </w:r>
          </w:p>
          <w:p w14:paraId="0AB7E760" w14:textId="77777777" w:rsidR="00F33557" w:rsidRDefault="00000000">
            <w:pPr>
              <w:spacing w:after="70"/>
            </w:pPr>
            <w:r>
              <w:rPr>
                <w:b/>
                <w:bCs/>
              </w:rPr>
              <w:t xml:space="preserve">Resolution: </w:t>
            </w:r>
            <w:r>
              <w:t>Made the model a single configurable constant; ultimately mooted by the reframe (rule-based subject resolution retired).</w:t>
            </w:r>
          </w:p>
          <w:p w14:paraId="4C33F24A" w14:textId="77777777" w:rsidR="00F33557" w:rsidRDefault="00000000">
            <w:pPr>
              <w:spacing w:after="70"/>
            </w:pPr>
            <w:r>
              <w:rPr>
                <w:b/>
                <w:bCs/>
              </w:rPr>
              <w:t xml:space="preserve">Pattern: </w:t>
            </w:r>
            <w:r>
              <w:t>#3 (confirm what's actually running vs what's specified).</w:t>
            </w:r>
          </w:p>
        </w:tc>
      </w:tr>
    </w:tbl>
    <w:p w14:paraId="3E85EA84"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93D20A9"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282999A" w14:textId="77777777" w:rsidR="00F33557" w:rsidRDefault="00000000">
            <w:pPr>
              <w:spacing w:after="80"/>
            </w:pPr>
            <w:r>
              <w:rPr>
                <w:b/>
                <w:bCs/>
                <w:color w:val="2E5B8A"/>
                <w:sz w:val="23"/>
                <w:szCs w:val="23"/>
              </w:rPr>
              <w:t>Classifier over-identification finding</w:t>
            </w:r>
          </w:p>
          <w:p w14:paraId="574B8601" w14:textId="77777777" w:rsidR="00F33557" w:rsidRDefault="00000000">
            <w:pPr>
              <w:spacing w:after="70"/>
            </w:pPr>
            <w:r>
              <w:rPr>
                <w:b/>
                <w:bCs/>
              </w:rPr>
              <w:t xml:space="preserve">What: </w:t>
            </w:r>
            <w:r>
              <w:t>TNA cross-check validation found the rule-based classifier over-identifies private-actor burden, dominated by non-operative modality errors. Estimated ~60% over-identification — but explicitly PRELIMINARY (small unflagged sample, wide CI).</w:t>
            </w:r>
          </w:p>
          <w:p w14:paraId="0760C522" w14:textId="77777777" w:rsidR="00F33557" w:rsidRDefault="00000000">
            <w:pPr>
              <w:spacing w:after="70"/>
            </w:pPr>
            <w:r>
              <w:rPr>
                <w:b/>
                <w:bCs/>
              </w:rPr>
              <w:t xml:space="preserve">What prompted the catch: </w:t>
            </w:r>
            <w:r>
              <w:t>Reviewing the unflagged sample, not just the flagged set. Also found: the TNA cross-check is structurally blind to non-operative modality errors (no public-</w:t>
            </w:r>
            <w:r>
              <w:lastRenderedPageBreak/>
              <w:t>body row to disagree with), so it understates the true error — and TNA's own Claude-generated dataset shared the same blind spot.</w:t>
            </w:r>
          </w:p>
          <w:p w14:paraId="26776AFE" w14:textId="77777777" w:rsidR="00F33557" w:rsidRDefault="00000000">
            <w:pPr>
              <w:spacing w:after="70"/>
            </w:pPr>
            <w:r>
              <w:rPr>
                <w:b/>
                <w:bCs/>
              </w:rPr>
              <w:t xml:space="preserve">Resolution: </w:t>
            </w:r>
            <w:r>
              <w:t>Recorded as a preliminary qualitative finding only — never as an established figure. Motivates the trained classifier and the high-recall + human-validation design.</w:t>
            </w:r>
          </w:p>
          <w:p w14:paraId="4E504A3F" w14:textId="77777777" w:rsidR="00F33557" w:rsidRDefault="00000000">
            <w:pPr>
              <w:spacing w:after="70"/>
            </w:pPr>
            <w:r>
              <w:rPr>
                <w:b/>
                <w:bCs/>
              </w:rPr>
              <w:t xml:space="preserve">Pattern: </w:t>
            </w:r>
            <w:r>
              <w:t>#2 (sample ≠ systematic; the trusted set needed checking too) and a circularity lesson: a model-generated cross-check can share the classifier's blind spot.</w:t>
            </w:r>
          </w:p>
        </w:tc>
      </w:tr>
    </w:tbl>
    <w:p w14:paraId="391AE210"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A59906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75F6497" w14:textId="77777777" w:rsidR="00F33557" w:rsidRDefault="00000000">
            <w:pPr>
              <w:spacing w:after="80"/>
            </w:pPr>
            <w:r>
              <w:rPr>
                <w:b/>
                <w:bCs/>
                <w:color w:val="2E5B8A"/>
                <w:sz w:val="23"/>
                <w:szCs w:val="23"/>
              </w:rPr>
              <w:t>Colab persistence failures</w:t>
            </w:r>
          </w:p>
          <w:p w14:paraId="01A2DA76" w14:textId="77777777" w:rsidR="00F33557" w:rsidRDefault="00000000">
            <w:pPr>
              <w:spacing w:after="70"/>
            </w:pPr>
            <w:r>
              <w:rPr>
                <w:b/>
                <w:bCs/>
              </w:rPr>
              <w:t xml:space="preserve">What: </w:t>
            </w:r>
            <w:r>
              <w:t>Snapshots logged “promoted ✓” but did not durably reach Drive; FUSE-mount writes didn't persist. Lost exhaustion-sweep progress twice (June 3–4), once from ~139,659 back to ~120,829.</w:t>
            </w:r>
          </w:p>
          <w:p w14:paraId="5FA3A008" w14:textId="77777777" w:rsidR="00F33557" w:rsidRDefault="00000000">
            <w:pPr>
              <w:spacing w:after="70"/>
            </w:pPr>
            <w:r>
              <w:rPr>
                <w:b/>
                <w:bCs/>
              </w:rPr>
              <w:t xml:space="preserve">Resolution: </w:t>
            </w:r>
            <w:r>
              <w:t>Rebuilt the sweep as a resumable system using Drive REST API uploads verified by md5 comparison — not FUSE mounts. Standalone auditor to verify durability from a fresh state.</w:t>
            </w:r>
          </w:p>
          <w:p w14:paraId="233F3178" w14:textId="77777777" w:rsidR="00F33557" w:rsidRDefault="00000000">
            <w:pPr>
              <w:spacing w:after="70"/>
            </w:pPr>
            <w:r>
              <w:rPr>
                <w:b/>
                <w:bCs/>
              </w:rPr>
              <w:t xml:space="preserve">Pattern: </w:t>
            </w:r>
            <w:r>
              <w:t>#1 (success signal ≠ verified reality — the “✓” was not durable persistence).</w:t>
            </w:r>
          </w:p>
        </w:tc>
      </w:tr>
    </w:tbl>
    <w:p w14:paraId="69048D2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475475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6EA85960" w14:textId="77777777" w:rsidR="00F33557" w:rsidRDefault="00000000">
            <w:pPr>
              <w:spacing w:after="80"/>
            </w:pPr>
            <w:r>
              <w:rPr>
                <w:b/>
                <w:bCs/>
                <w:color w:val="2E5B8A"/>
                <w:sz w:val="23"/>
                <w:szCs w:val="23"/>
              </w:rPr>
              <w:t>The 100%-retrieval overclaim</w:t>
            </w:r>
          </w:p>
          <w:p w14:paraId="4B799EE7" w14:textId="77777777" w:rsidR="00F33557" w:rsidRDefault="00000000">
            <w:pPr>
              <w:spacing w:after="70"/>
            </w:pPr>
            <w:r>
              <w:rPr>
                <w:b/>
                <w:bCs/>
              </w:rPr>
              <w:t xml:space="preserve">What: </w:t>
            </w:r>
            <w:r>
              <w:t>A “100% retrieval” / completeness claim was published before full validation. (Verify and soften this framing if the real history was more defensible.)</w:t>
            </w:r>
          </w:p>
          <w:p w14:paraId="13D1D478" w14:textId="77777777" w:rsidR="00F33557" w:rsidRDefault="00000000">
            <w:pPr>
              <w:spacing w:after="70"/>
            </w:pPr>
            <w:r>
              <w:rPr>
                <w:b/>
                <w:bCs/>
              </w:rPr>
              <w:t xml:space="preserve">What prompted the catch: </w:t>
            </w:r>
            <w:r>
              <w:t>A former DBT colleague (who worked on the legislation.gov.uk digitisation programme) pushed back on the gap between in-force and digitised figures.</w:t>
            </w:r>
          </w:p>
          <w:p w14:paraId="73D0BD2F" w14:textId="77777777" w:rsidR="00F33557" w:rsidRDefault="00000000">
            <w:pPr>
              <w:spacing w:after="70"/>
            </w:pPr>
            <w:r>
              <w:rPr>
                <w:b/>
                <w:bCs/>
              </w:rPr>
              <w:t xml:space="preserve">Resolution: </w:t>
            </w:r>
            <w:r>
              <w:t>Launched the systematic exhaustion sweep across seven endpoint types to establish, defensibly, what is recoverable vs structurally absent. The honest framing: exhaustive probing with stated results, not an absolute completeness claim.</w:t>
            </w:r>
          </w:p>
          <w:p w14:paraId="29F699C1" w14:textId="77777777" w:rsidR="00F33557" w:rsidRDefault="00000000">
            <w:pPr>
              <w:spacing w:after="70"/>
            </w:pPr>
            <w:r>
              <w:rPr>
                <w:b/>
                <w:bCs/>
              </w:rPr>
              <w:t xml:space="preserve">Pattern: </w:t>
            </w:r>
            <w:r>
              <w:t>#1 (a figure published before verification) — the original instance that named the discipline for everything after.</w:t>
            </w:r>
          </w:p>
        </w:tc>
      </w:tr>
    </w:tbl>
    <w:p w14:paraId="523DF632" w14:textId="77777777" w:rsidR="00F33557" w:rsidRDefault="00000000">
      <w:pPr>
        <w:pStyle w:val="Heading1"/>
      </w:pPr>
      <w:r>
        <w:t>How to use this log</w:t>
      </w:r>
    </w:p>
    <w:p w14:paraId="2E1ABB1A" w14:textId="77777777" w:rsidR="00F33557" w:rsidRDefault="00000000">
      <w:pPr>
        <w:pStyle w:val="ListParagraph"/>
        <w:numPr>
          <w:ilvl w:val="0"/>
          <w:numId w:val="3"/>
        </w:numPr>
        <w:spacing w:after="60"/>
      </w:pPr>
      <w:r>
        <w:t>Add an entry when a direction changes, an error is caught, or a decision is reversed. Date it; newest at top.</w:t>
      </w:r>
    </w:p>
    <w:p w14:paraId="52888D3D" w14:textId="77777777" w:rsidR="00F33557" w:rsidRDefault="00000000">
      <w:pPr>
        <w:pStyle w:val="ListParagraph"/>
        <w:numPr>
          <w:ilvl w:val="0"/>
          <w:numId w:val="3"/>
        </w:numPr>
        <w:spacing w:after="60"/>
      </w:pPr>
      <w:r>
        <w:t xml:space="preserve">Always fill the </w:t>
      </w:r>
      <w:r>
        <w:rPr>
          <w:b/>
          <w:bCs/>
        </w:rPr>
        <w:t>pattern</w:t>
      </w:r>
      <w:r>
        <w:t xml:space="preserve"> field — that's the transferable value.</w:t>
      </w:r>
    </w:p>
    <w:p w14:paraId="5B9F5139" w14:textId="77777777" w:rsidR="00F33557" w:rsidRDefault="00000000">
      <w:pPr>
        <w:pStyle w:val="ListParagraph"/>
        <w:numPr>
          <w:ilvl w:val="0"/>
          <w:numId w:val="3"/>
        </w:numPr>
        <w:spacing w:after="60"/>
      </w:pPr>
      <w:r>
        <w:t>Keep the tone factual. “Here's what changed and what it taught us,” not self-criticism.</w:t>
      </w:r>
    </w:p>
    <w:p w14:paraId="09FBDF69" w14:textId="77777777" w:rsidR="00F33557" w:rsidRDefault="00000000">
      <w:pPr>
        <w:pStyle w:val="ListParagraph"/>
        <w:numPr>
          <w:ilvl w:val="0"/>
          <w:numId w:val="3"/>
        </w:numPr>
        <w:spacing w:after="60"/>
      </w:pPr>
      <w:r>
        <w:t>Review the patterns section before major decisions (a corpus run, a published figure, a simplification that rests on “essentially all”, a build justified by one vivid example).</w:t>
      </w:r>
    </w:p>
    <w:sectPr w:rsidR="00F335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4894"/>
    <w:multiLevelType w:val="hybridMultilevel"/>
    <w:tmpl w:val="48566BE2"/>
    <w:lvl w:ilvl="0" w:tplc="2A8CBBB6">
      <w:start w:val="1"/>
      <w:numFmt w:val="bullet"/>
      <w:lvlText w:val="●"/>
      <w:lvlJc w:val="left"/>
      <w:pPr>
        <w:ind w:left="720" w:hanging="360"/>
      </w:pPr>
    </w:lvl>
    <w:lvl w:ilvl="1" w:tplc="A6B4D81C">
      <w:start w:val="1"/>
      <w:numFmt w:val="bullet"/>
      <w:lvlText w:val="○"/>
      <w:lvlJc w:val="left"/>
      <w:pPr>
        <w:ind w:left="1440" w:hanging="360"/>
      </w:pPr>
    </w:lvl>
    <w:lvl w:ilvl="2" w:tplc="4788902C">
      <w:start w:val="1"/>
      <w:numFmt w:val="bullet"/>
      <w:lvlText w:val="■"/>
      <w:lvlJc w:val="left"/>
      <w:pPr>
        <w:ind w:left="2160" w:hanging="360"/>
      </w:pPr>
    </w:lvl>
    <w:lvl w:ilvl="3" w:tplc="8618A95A">
      <w:start w:val="1"/>
      <w:numFmt w:val="bullet"/>
      <w:lvlText w:val="●"/>
      <w:lvlJc w:val="left"/>
      <w:pPr>
        <w:ind w:left="2880" w:hanging="360"/>
      </w:pPr>
    </w:lvl>
    <w:lvl w:ilvl="4" w:tplc="55F86AB0">
      <w:start w:val="1"/>
      <w:numFmt w:val="bullet"/>
      <w:lvlText w:val="○"/>
      <w:lvlJc w:val="left"/>
      <w:pPr>
        <w:ind w:left="3600" w:hanging="360"/>
      </w:pPr>
    </w:lvl>
    <w:lvl w:ilvl="5" w:tplc="7E5AB62C">
      <w:start w:val="1"/>
      <w:numFmt w:val="bullet"/>
      <w:lvlText w:val="■"/>
      <w:lvlJc w:val="left"/>
      <w:pPr>
        <w:ind w:left="4320" w:hanging="360"/>
      </w:pPr>
    </w:lvl>
    <w:lvl w:ilvl="6" w:tplc="5D0CFD82">
      <w:start w:val="1"/>
      <w:numFmt w:val="bullet"/>
      <w:lvlText w:val="●"/>
      <w:lvlJc w:val="left"/>
      <w:pPr>
        <w:ind w:left="5040" w:hanging="360"/>
      </w:pPr>
    </w:lvl>
    <w:lvl w:ilvl="7" w:tplc="2F9825BA">
      <w:start w:val="1"/>
      <w:numFmt w:val="bullet"/>
      <w:lvlText w:val="●"/>
      <w:lvlJc w:val="left"/>
      <w:pPr>
        <w:ind w:left="5760" w:hanging="360"/>
      </w:pPr>
    </w:lvl>
    <w:lvl w:ilvl="8" w:tplc="B7C0B2CE">
      <w:start w:val="1"/>
      <w:numFmt w:val="bullet"/>
      <w:lvlText w:val="●"/>
      <w:lvlJc w:val="left"/>
      <w:pPr>
        <w:ind w:left="6480" w:hanging="360"/>
      </w:pPr>
    </w:lvl>
  </w:abstractNum>
  <w:abstractNum w:abstractNumId="1" w15:restartNumberingAfterBreak="0">
    <w:nsid w:val="6ABF7E41"/>
    <w:multiLevelType w:val="hybridMultilevel"/>
    <w:tmpl w:val="CB809FD6"/>
    <w:lvl w:ilvl="0" w:tplc="6D1C3134">
      <w:start w:val="1"/>
      <w:numFmt w:val="bullet"/>
      <w:lvlText w:val="•"/>
      <w:lvlJc w:val="left"/>
      <w:pPr>
        <w:ind w:left="720" w:hanging="360"/>
      </w:pPr>
    </w:lvl>
    <w:lvl w:ilvl="1" w:tplc="FB4AE482">
      <w:numFmt w:val="decimal"/>
      <w:lvlText w:val=""/>
      <w:lvlJc w:val="left"/>
    </w:lvl>
    <w:lvl w:ilvl="2" w:tplc="EA4055B6">
      <w:numFmt w:val="decimal"/>
      <w:lvlText w:val=""/>
      <w:lvlJc w:val="left"/>
    </w:lvl>
    <w:lvl w:ilvl="3" w:tplc="B7FA93A0">
      <w:numFmt w:val="decimal"/>
      <w:lvlText w:val=""/>
      <w:lvlJc w:val="left"/>
    </w:lvl>
    <w:lvl w:ilvl="4" w:tplc="FB22EA4C">
      <w:numFmt w:val="decimal"/>
      <w:lvlText w:val=""/>
      <w:lvlJc w:val="left"/>
    </w:lvl>
    <w:lvl w:ilvl="5" w:tplc="2C682156">
      <w:numFmt w:val="decimal"/>
      <w:lvlText w:val=""/>
      <w:lvlJc w:val="left"/>
    </w:lvl>
    <w:lvl w:ilvl="6" w:tplc="5E92A410">
      <w:numFmt w:val="decimal"/>
      <w:lvlText w:val=""/>
      <w:lvlJc w:val="left"/>
    </w:lvl>
    <w:lvl w:ilvl="7" w:tplc="83FAA0B4">
      <w:numFmt w:val="decimal"/>
      <w:lvlText w:val=""/>
      <w:lvlJc w:val="left"/>
    </w:lvl>
    <w:lvl w:ilvl="8" w:tplc="AADC4740">
      <w:numFmt w:val="decimal"/>
      <w:lvlText w:val=""/>
      <w:lvlJc w:val="left"/>
    </w:lvl>
  </w:abstractNum>
  <w:abstractNum w:abstractNumId="2" w15:restartNumberingAfterBreak="0">
    <w:nsid w:val="78EE0B72"/>
    <w:multiLevelType w:val="hybridMultilevel"/>
    <w:tmpl w:val="9CAE5E70"/>
    <w:lvl w:ilvl="0" w:tplc="700CDCCC">
      <w:start w:val="1"/>
      <w:numFmt w:val="decimal"/>
      <w:lvlText w:val="%1."/>
      <w:lvlJc w:val="left"/>
      <w:pPr>
        <w:ind w:left="720" w:hanging="360"/>
      </w:pPr>
    </w:lvl>
    <w:lvl w:ilvl="1" w:tplc="F910725E">
      <w:numFmt w:val="decimal"/>
      <w:lvlText w:val=""/>
      <w:lvlJc w:val="left"/>
    </w:lvl>
    <w:lvl w:ilvl="2" w:tplc="EDCC44C8">
      <w:numFmt w:val="decimal"/>
      <w:lvlText w:val=""/>
      <w:lvlJc w:val="left"/>
    </w:lvl>
    <w:lvl w:ilvl="3" w:tplc="3304ACAC">
      <w:numFmt w:val="decimal"/>
      <w:lvlText w:val=""/>
      <w:lvlJc w:val="left"/>
    </w:lvl>
    <w:lvl w:ilvl="4" w:tplc="EDA092C2">
      <w:numFmt w:val="decimal"/>
      <w:lvlText w:val=""/>
      <w:lvlJc w:val="left"/>
    </w:lvl>
    <w:lvl w:ilvl="5" w:tplc="CB3C4F64">
      <w:numFmt w:val="decimal"/>
      <w:lvlText w:val=""/>
      <w:lvlJc w:val="left"/>
    </w:lvl>
    <w:lvl w:ilvl="6" w:tplc="1FC6412C">
      <w:numFmt w:val="decimal"/>
      <w:lvlText w:val=""/>
      <w:lvlJc w:val="left"/>
    </w:lvl>
    <w:lvl w:ilvl="7" w:tplc="91328EF0">
      <w:numFmt w:val="decimal"/>
      <w:lvlText w:val=""/>
      <w:lvlJc w:val="left"/>
    </w:lvl>
    <w:lvl w:ilvl="8" w:tplc="1DD4D352">
      <w:numFmt w:val="decimal"/>
      <w:lvlText w:val=""/>
      <w:lvlJc w:val="left"/>
    </w:lvl>
  </w:abstractNum>
  <w:num w:numId="1" w16cid:durableId="356547301">
    <w:abstractNumId w:val="0"/>
    <w:lvlOverride w:ilvl="0">
      <w:startOverride w:val="1"/>
    </w:lvlOverride>
  </w:num>
  <w:num w:numId="2" w16cid:durableId="2010132211">
    <w:abstractNumId w:val="2"/>
    <w:lvlOverride w:ilvl="0">
      <w:startOverride w:val="1"/>
    </w:lvlOverride>
  </w:num>
  <w:num w:numId="3" w16cid:durableId="18886461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557"/>
    <w:rsid w:val="0030718E"/>
    <w:rsid w:val="00927BD5"/>
    <w:rsid w:val="00C47480"/>
    <w:rsid w:val="00D817D2"/>
    <w:rsid w:val="00F3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5941"/>
  <w15:docId w15:val="{5F3A581E-857E-4ED5-8FCE-BC1B72EA7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2E5B8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2471</Words>
  <Characters>14088</Characters>
  <Application>Microsoft Office Word</Application>
  <DocSecurity>0</DocSecurity>
  <Lines>117</Lines>
  <Paragraphs>33</Paragraphs>
  <ScaleCrop>false</ScaleCrop>
  <Company/>
  <LinksUpToDate>false</LinksUpToDate>
  <CharactersWithSpaces>16526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Jethro Elsden</cp:lastModifiedBy>
  <cp:revision>4</cp:revision>
  <dcterms:created xsi:type="dcterms:W3CDTF">2026-06-15T21:34:00Z</dcterms:created>
  <dcterms:modified xsi:type="dcterms:W3CDTF">2026-06-15T21:41:00Z</dcterms:modified>
</cp:coreProperties>
</file>