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0FE9E3" w14:textId="77777777" w:rsidR="00F33557" w:rsidRDefault="00000000">
      <w:pPr>
        <w:spacing w:after="40"/>
      </w:pPr>
      <w:r>
        <w:rPr>
          <w:b/>
          <w:bCs/>
          <w:color w:val="2E5B8A"/>
          <w:sz w:val="40"/>
          <w:szCs w:val="40"/>
        </w:rPr>
        <w:t>UK Regulatory Burden</w:t>
      </w:r>
    </w:p>
    <w:p w14:paraId="698CA2B2" w14:textId="77777777" w:rsidR="00F33557" w:rsidRDefault="00000000">
      <w:pPr>
        <w:spacing w:after="160"/>
      </w:pPr>
      <w:r>
        <w:rPr>
          <w:b/>
          <w:bCs/>
          <w:color w:val="333333"/>
          <w:sz w:val="30"/>
          <w:szCs w:val="30"/>
        </w:rPr>
        <w:t>Decision &amp; Correction Log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0EE06311" w14:textId="77777777">
        <w:tblPrEx>
          <w:tblCellMar>
            <w:top w:w="0" w:type="dxa"/>
            <w:bottom w:w="0" w:type="dxa"/>
          </w:tblCellMar>
        </w:tblPrEx>
        <w:tc>
          <w:tcPr>
            <w:tcW w:w="9360" w:type="dxa"/>
            <w:tcBorders>
              <w:top w:val="single" w:sz="4" w:space="0" w:color="2E5B8A"/>
              <w:left w:val="single" w:sz="4" w:space="0" w:color="2E5B8A"/>
              <w:bottom w:val="single" w:sz="4" w:space="0" w:color="2E5B8A"/>
              <w:right w:val="single" w:sz="4" w:space="0" w:color="2E5B8A"/>
            </w:tcBorders>
            <w:shd w:val="clear" w:color="auto" w:fill="FFF4E0"/>
            <w:tcMar>
              <w:top w:w="120" w:type="dxa"/>
              <w:left w:w="160" w:type="dxa"/>
              <w:bottom w:w="120" w:type="dxa"/>
              <w:right w:w="160" w:type="dxa"/>
            </w:tcMar>
          </w:tcPr>
          <w:p w14:paraId="534A82D2" w14:textId="7D7D87B3" w:rsidR="00F33557" w:rsidRDefault="00000000">
            <w:pPr>
              <w:spacing w:after="60"/>
            </w:pPr>
            <w:r>
              <w:rPr>
                <w:b/>
                <w:bCs/>
              </w:rPr>
              <w:t xml:space="preserve">Private working document. </w:t>
            </w:r>
            <w:r>
              <w:t>Keep local / git</w:t>
            </w:r>
            <w:r w:rsidR="00D817D2">
              <w:t>-</w:t>
            </w:r>
            <w:r w:rsidR="00927BD5">
              <w:t>c</w:t>
            </w:r>
            <w:r>
              <w:t>ignored — not for the public repo. The honest internal record of where the project changed direction, where errors were caught, and the recurring patterns behind them, so the next instance gets recognised early.</w:t>
            </w:r>
          </w:p>
          <w:p w14:paraId="6C898B4D" w14:textId="77777777" w:rsidR="00F33557" w:rsidRDefault="00000000">
            <w:pPr>
              <w:spacing w:after="60"/>
            </w:pPr>
            <w:r>
              <w:rPr>
                <w:i/>
                <w:iCs/>
              </w:rPr>
              <w:t>Framing: most entries are not failures. Many are course-corrections — the normal process of a research project discovering its own requirements. A few are genuine errors caught before they did damage. Both are recorded plainly, because the discipline of writing them down is what makes the patterns visible.</w:t>
            </w:r>
          </w:p>
          <w:p w14:paraId="73B20114" w14:textId="77777777" w:rsidR="00F33557" w:rsidRDefault="00000000">
            <w:pPr>
              <w:spacing w:after="60"/>
            </w:pPr>
            <w:r>
              <w:rPr>
                <w:b/>
                <w:bCs/>
              </w:rPr>
              <w:t xml:space="preserve">Note on figures: </w:t>
            </w:r>
            <w:r>
              <w:t>some figures in the older entries were reconstructed from memory and should be verified against project records during review; the 100%-retrieval entry's framing should be softened if the real history was more defensible than stated.</w:t>
            </w:r>
          </w:p>
        </w:tc>
      </w:tr>
    </w:tbl>
    <w:p w14:paraId="51452DF6" w14:textId="77777777" w:rsidR="00F33557" w:rsidRDefault="00F33557">
      <w:pPr>
        <w:spacing w:after="80"/>
      </w:pPr>
    </w:p>
    <w:p w14:paraId="66010557" w14:textId="77777777" w:rsidR="00F33557" w:rsidRDefault="00000000">
      <w:pPr>
        <w:pStyle w:val="Heading1"/>
      </w:pPr>
      <w:r>
        <w:t>The recurring patterns</w:t>
      </w:r>
    </w:p>
    <w:p w14:paraId="5036C5AD" w14:textId="77777777" w:rsidR="00F33557" w:rsidRDefault="00000000">
      <w:pPr>
        <w:spacing w:after="120"/>
      </w:pPr>
      <w:r>
        <w:rPr>
          <w:i/>
          <w:iCs/>
        </w:rPr>
        <w:t>The part worth re-reading. These cut across multiple entries. When something new feels like one of these, slow down and verify.</w:t>
      </w:r>
    </w:p>
    <w:p w14:paraId="604A6D57" w14:textId="77777777" w:rsidR="00F33557" w:rsidRDefault="00000000">
      <w:pPr>
        <w:pStyle w:val="ListParagraph"/>
        <w:numPr>
          <w:ilvl w:val="0"/>
          <w:numId w:val="2"/>
        </w:numPr>
        <w:spacing w:after="100"/>
      </w:pPr>
      <w:r>
        <w:rPr>
          <w:b/>
          <w:bCs/>
        </w:rPr>
        <w:t xml:space="preserve">Success signal ≠ verified reality. </w:t>
      </w:r>
      <w:r>
        <w:t>A log line, a “✓”, a completion message, or a clean summary is a claim that something happened — not proof. Verify the durable artifact from a fresh state: read the actual file, recount from the checkpoint, open the doc.</w:t>
      </w:r>
    </w:p>
    <w:p w14:paraId="2251873C" w14:textId="77777777" w:rsidR="00F33557" w:rsidRDefault="00000000">
      <w:pPr>
        <w:pStyle w:val="ListParagraph"/>
        <w:numPr>
          <w:ilvl w:val="0"/>
          <w:numId w:val="2"/>
        </w:numPr>
        <w:spacing w:after="100"/>
      </w:pPr>
      <w:r>
        <w:rPr>
          <w:b/>
          <w:bCs/>
        </w:rPr>
        <w:t xml:space="preserve">Sample ≠ systematic. </w:t>
      </w:r>
      <w:r>
        <w:t>A check that looks fine on the flagged/visible subset can hide a problem in the unflagged remainder. Test the set you're not worried about, not just the one you are.</w:t>
      </w:r>
    </w:p>
    <w:p w14:paraId="2CBDE077" w14:textId="77777777" w:rsidR="00F33557" w:rsidRDefault="00000000">
      <w:pPr>
        <w:pStyle w:val="ListParagraph"/>
        <w:numPr>
          <w:ilvl w:val="0"/>
          <w:numId w:val="2"/>
        </w:numPr>
        <w:spacing w:after="100"/>
      </w:pPr>
      <w:r>
        <w:rPr>
          <w:b/>
          <w:bCs/>
        </w:rPr>
        <w:t xml:space="preserve">Named ≠ actual. </w:t>
      </w:r>
      <w:r>
        <w:t>What a doc, plan, or assumption says is running/implemented — or what a verdict claims — is not necessarily what is true downstream. Confirm the code does what the spec claims, and that a verdict means what the next step needs it to mean.</w:t>
      </w:r>
    </w:p>
    <w:p w14:paraId="0B58FCA4" w14:textId="77777777" w:rsidR="00F33557" w:rsidRDefault="00000000">
      <w:pPr>
        <w:pStyle w:val="ListParagraph"/>
        <w:numPr>
          <w:ilvl w:val="0"/>
          <w:numId w:val="2"/>
        </w:numPr>
        <w:spacing w:after="100"/>
      </w:pPr>
      <w:r>
        <w:rPr>
          <w:b/>
          <w:bCs/>
        </w:rPr>
        <w:t xml:space="preserve">The headline glosses a remainder that matters. </w:t>
      </w:r>
      <w:r>
        <w:t>“98% covered”, “near-perfect subset”, “essentially all”, “recoverable” — the small leftover, or the generous verdict, is exactly where the consequential exceptions hide. Pull on it before rounding it away.</w:t>
      </w:r>
    </w:p>
    <w:p w14:paraId="6FE0D706" w14:textId="77777777" w:rsidR="00F33557" w:rsidRDefault="00000000">
      <w:pPr>
        <w:pStyle w:val="ListParagraph"/>
        <w:numPr>
          <w:ilvl w:val="0"/>
          <w:numId w:val="2"/>
        </w:numPr>
        <w:spacing w:after="100"/>
      </w:pPr>
      <w:r>
        <w:rPr>
          <w:b/>
          <w:bCs/>
        </w:rPr>
        <w:t xml:space="preserve">Verify the premise before building on it. </w:t>
      </w:r>
      <w:r>
        <w:t>A vivid example tempts over-generalisation. Having caught a real issue, measure its true scale against actual data before investing in a fix — the same example that reveals a bug can mislead you about how widespread it is.</w:t>
      </w:r>
    </w:p>
    <w:p>
      <w:pPr>
        <w:pStyle w:val="ListParagraph"/>
      </w:pPr>
      <w:r>
        <w:t>One rule, multiple textual homes. A single substantive rule can be written down in more than one place, so the same burden risks being counted twice or zero times depending which home the labeller lands on. Seen three times: IB double-meaning (defence vs primary prohibition) → enabling-power / SI compliance-hook double-count → amendment double-count (amending instruction vs consolidated target). A consolidated-plus-amending corpus makes this the project's characteristic failure surface; reach for count-at-source, and recognise the next instance by shape.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3B318526" w14:textId="77777777">
        <w:tblPrEx>
          <w:tblCellMar>
            <w:top w:w="0" w:type="dxa"/>
            <w:bottom w:w="0" w:type="dxa"/>
          </w:tblCellMar>
        </w:tblPrEx>
        <w:tc>
          <w:tcPr>
            <w:tcW w:w="9360" w:type="dxa"/>
            <w:tcBorders>
              <w:top w:val="single" w:sz="4" w:space="0" w:color="2E5B8A"/>
              <w:left w:val="single" w:sz="4" w:space="0" w:color="2E5B8A"/>
              <w:bottom w:val="single" w:sz="4" w:space="0" w:color="2E5B8A"/>
              <w:right w:val="single" w:sz="4" w:space="0" w:color="2E5B8A"/>
            </w:tcBorders>
            <w:shd w:val="clear" w:color="auto" w:fill="EAF1F8"/>
            <w:tcMar>
              <w:top w:w="120" w:type="dxa"/>
              <w:left w:w="160" w:type="dxa"/>
              <w:bottom w:w="120" w:type="dxa"/>
              <w:right w:w="160" w:type="dxa"/>
            </w:tcMar>
          </w:tcPr>
          <w:p w14:paraId="1FA5EAE8" w14:textId="77777777" w:rsidR="00F33557" w:rsidRDefault="00000000">
            <w:pPr>
              <w:spacing w:after="60"/>
            </w:pPr>
            <w:r>
              <w:rPr>
                <w:b/>
                <w:bCs/>
              </w:rPr>
              <w:t xml:space="preserve">A meta-note. </w:t>
            </w:r>
            <w:r>
              <w:t>Pulling on the small remainder (patterns 2 and 4) has produced multiple saves — the 100%-retrieval correction, the unflagged-sample validation finding, the best-collection-only near-miss, and the recoverable-vs-ingestable gap. And the “prove the premise before building” gate (pattern 5) prevented a disproportionate full canonicaliser build. These are deliberate practices worth keeping, and worth naming in the methodology as strengths, not luck.</w:t>
            </w:r>
          </w:p>
        </w:tc>
      </w:tr>
    </w:tbl>
    <w:p w14:paraId="75CDC57D" w14:textId="77777777" w:rsidR="00F33557" w:rsidRDefault="00000000">
      <w:pPr>
        <w:pStyle w:val="Heading1"/>
      </w:pPr>
      <w:r>
        <w:lastRenderedPageBreak/>
        <w:t>Entries</w:t>
      </w:r>
    </w:p>
    <w:p w14:paraId="721E3F92" w14:textId="77777777" w:rsidR="00F33557" w:rsidRDefault="00000000">
      <w:pPr>
        <w:spacing w:after="120"/>
      </w:pPr>
      <w:r>
        <w:rPr>
          <w:i/>
          <w:iCs/>
        </w:rPr>
        <w:t>Newest at top.</w:t>
      </w:r>
    </w:p>
    <w:p>
      <w:pPr/>
      <w:r>
        <w:t>2026-07-18 — Exclusion taxonomy v2, ratified 2026-07-18. structural promoted to family — “operative but not a burden under the counting rules” is a distinct joint from “binds no one” (non_operative); amendment_machinery to counted_at_source subclass — the amendment rule is count-at-consolidated-target, the family’s purest case. Discrepancy between implementation_plan (v1, as triaged) and the anchor/format-note (v2, drifted) caught by the label-store build cross-check; v2 ratified consciously on merits. Diagnostic value preserved: amendment exclusions remain queryable at subclass.</w:t>
      </w:r>
    </w:p>
    <w:p>
      <w:pPr/>
      <w:r>
        <w:t>Pattern: “Named ≠ actual” (#3) — the original 4-family set (amendment_machinery as a family; structural items scattered under non_operative) diverged from the ratified design and surfaced only when the label-store build cross-checked the format-note families against the schema. Caught at build time and ratified consciously, not silently reverted.</w:t>
      </w:r>
    </w:p>
    <w:p>
      <w:pPr/>
      <w:r>
        <w:t>2026-07-16 — Taxonomy semantics v2: material_type describes CONTENT, not anchoring history (ratified; re-baseline signed off). Re-typing pass on the eight-type taxonomy — eu_annex now means annex content in an EU-family instrument, FULL STOP, at every anchor tier, superseding the interim 'annex content that used to orphan' (a label defined by extractor history = named-≠-actual waiting to bite a future analyst). Sole delta: Schedule-mapped content in eur/eudn re-types uk_schedule → eu_annex whichever tier anchored it. Pre-check confirmed ALL EU-family Schedule content is annex (GDPR ANNEX 1/2, eur/1169 ANNEX I-17, eudn/532 ANNEX; no protocols/appendices), so the flip is unambiguous. Typing-only: anchoring / grain / boundaries / refs / headings byte-identical (verified old-vs-new — 0 non-type diffs; ref/heading re-keyed on the anchor TIER, not the type label, so re-typing tiers-1/2 annex content leaves its refs untouched). Rationale: eu_annex must be trustable at face value for the REUL-facing analysis. Committed SEPARATELY from the tier-3 fix (two auditable steps: verified-fix then semantic-migration).</w:t>
      </w:r>
    </w:p>
    <w:p>
      <w:pPr/>
      <w:r>
        <w:t>RE-BASELINE — signed off (Jethro). The documented reference becomes the EIGHT-type 7-Act count set — uk_body 727 / uk_schedule 842 / eu_article 106 / eu_recital 611 / uk_schedule_unnumbered 44 / eu_annex 20 / uk_body_tail 2 (total 2,352 sections, unchanged) — SUPERSEDING 727/862/106/611 (retained as the historical four-type baseline); uk_schedule moved 862 → 842 as its 20 EU-annex sections re-typed. Recorded in implementation_plan.md with the old four preserved as superseded. Pattern: named ≠ actual (#7) — a type defined by extractor history rather than content is exactly the trap the pattern names; fixed before bulk extraction locks thousands of records to the misnomer.</w:t>
      </w:r>
    </w:p>
    <w:p>
      <w:pPr/>
      <w:r>
        <w:t>2026-07-16 — Layer-1 taxonomy extended 5 → 8 material_types (ratified; tier-3 anchor BUILT &amp; VERIFIED). The item-8 old-drafting orphan fix (design note `_layer1_orphan_investigation.md` §C) is implemented. A third anchor tier catches schedule/annex prose-and-list content and bare-&lt;P&gt; body tail-clauses that tiers 1-2 drop to orphan, routing them into THREE NEW material_types: uk_schedule_unnumbered, eu_annex, uk_body_tail. Option (ii) chosen (new types, NOT re-baselining the four counters): the documented 727/862/106/611 are PROVABLY UNTOUCHED (verified old-vs-new on identical XML), and eu_annex is separately queryable for the REUL-facing analysis. Grain rule: per-entry (enumerated lists) / whole-form (statutory forms) / paragraph-block (prose). Verification (all four passed): baseline reproduces exactly (+44 uk_schedule_unnumbered, +2 uk_body_tail, orphans 2→0 on the 7-Act set; Explosives uk_body stays 51); round-3 pool 36 orphans → 0 re-homed (20-sentence→19 uk_schedule_unnumbered, 16-sentence→10 eu_annex); specimen refs match drafter numbering (MSA 5th-schedule para (1)-(9); eur/1169 annex headings); sizes sane (no mega/dust). NB numbered EU-annex content stays uk_schedule (tiers 1-2 frozen) — eu_annex is tier-3 EU-annex content only. Gap G29 closed DECIDED-BUILT; orphan-lane (G25) + anomalous-rate trigger remain for the residue; certification hook queued (size distributions per leg_type × material_type).</w:t>
      </w:r>
    </w:p>
    <w:p>
      <w:pPr/>
      <w:r>
        <w:t>SEVERITY CORRECTION on the record (this defect): the original problem was CONTEXT-QUALITY plus a lost subtree-cushion (orphans emitted per-sentence, no ref/heading, ungrouped), NOT lost recall — the flat fallback was already emitting every cue-bearing orphan sentence as a candidate. So this was a grouping/context-quality fix, not a recall recovery. Pattern: verify the premise before building on it (#9) — proving the four-counter invariant by running old-vs-new on identical XML, rather than trusting 'untouched by construction'.</w:t>
      </w:r>
    </w:p>
    <w:p>
      <w:pPr/>
      <w:r>
        <w:t>2026-07-15 — Capacity axis REDEFINED (constitutive; Jethro's). The economic/personal capacity tag now turns on whether the duty attaches to VOLUNTARY MARKET ACTIVITY on the burdened actor's side (exchange or production-for-exchange), either side, formal or informal — SUPERSEDING the activity-profile formulation. Side-specific COMPULSION carve-out: a scheme-compelled transaction (dog-chip fee, MOT, compulsory insurance) does not confer economic capacity on the compelled party (classify by the underlying activity → personal); the provider side is their trade → economic. Rationale: captures the informal economy (private / C2C sellers) without a trader/private-seller line, and the compulsion carve-out prevents state-compelled purchases inflating the economic count. Economic floor restated to include consumer-side transactors, with a business-side cut as its own line. Folded into rubric v2.6 §1; scope anchor + gaps.md G15 reshaped. Pattern: verify the premise before building on it (#9) — the eBay-seller and compelled-purchase edge cases forced the redefinition before the floor figure is trusted.</w:t>
      </w:r>
    </w:p>
    <w:p>
      <w:pPr/>
      <w:r>
        <w:t>2026-07-15 — Finding A: two constitutive rulings (Jethro's), from round 3. (1) Deeming distinction — interpretive deeming (labels for a scheme's purposes) stays excluded; substance-creating deeming (statutory implied/deemed contract terms) is a burden, re-attributed (CRA 2015 s.13 → 1 trader burden vs Commission Decision 2000/532 → 0). (2) Statutory private-law duties count, both sides — obligations with legal force count regardless of regulatory-vs-private-law statute, trader-vs-consumer side, mandatory-vs-displaceable-default (CRA s.25 consumer pay-at-contract-rate → 1, Cat 2, obligation, consumer, economic). Methodology disclosure: the measure counts statutory obligations as defined, not a pre-sorted 'regulation' subset. Folded into rubric v2.6 §4/§1. Pattern: one rule, multiple textual homes (#10) — the implied contract term is the same burden whether written as a deemed term or a direct duty; count it once, at the substance-creating provision.</w:t>
      </w:r>
    </w:p>
    <w:p>
      <w:pPr/>
      <w:r>
        <w:t>2026-07-15 — Rubric round 3 (stability gate against v2.5): 25 sections, 5 eras, 21 fresh instruments; 23/25 exact-or-within-range, one blocking finding (Finding A) resolved into v2.6. Regressions passed: chain-ordering (Factories s.110); amendment/N2 (HSWA Sch 1, fee payload); frontier four flavours (fired ML reg 74A; silent PHA 1875 s.183 / PHA 1936 byelaw-making; in-measure contrast FHW Sch); 'powers or duties' at FSMA s.333T; IBA consistency TDA s.24 = Wildlife s.14. Era prediction FALSIFIED — mid-century clean; both divergences from CRA 2015. Full record: _test_round_3_results.md; extraction Layer-1 findings: _test_round_3_extraction_findings.md (orphan anomaly under investigation, item 8). Pattern: sample ≠ systematic (#6) — the era-stratified prediction (old drafting = hard) was wrong; the hard cases were modern private-law.</w:t>
      </w:r>
    </w:p>
    <w:p>
      <w:pPr/>
      <w:r>
        <w:t>2026-07-14 — Deepest-visible-layer principle (frontier proxies). Scope Q&amp;A on byelaws and out-of-corpus instruments — NOT a trace failure — generalised the v2.4 non-legislative-target rule into a scope-conditional principle: count each burden once, at the deepest layer the measure can see. An in-measure compliance/contravention hook stays excluded (counted at its target); a statutory duty to comply with an out-of-measure binding instrument — permit/licence/notice, byelaw, regulator rulebook (FCA/PRA Handbooks the heavyweight) — is counted once as a frontier proxy for the invisible layer behind it. Counts are not additive across scope expansions: if scope later widens to an out-of-measure layer, its proxies re-classify to counted_at_source. Folded into rubric v2.5 §3, with schema tags frontier_hook / frontier_target_type (§2A + implementation plan); scope disclosure and the FSMA-2023 layer-migration growth caveat added to the coverage/scope methodology note; project_scope_anchor.md created.</w:t>
      </w:r>
    </w:p>
    <w:p>
      <w:pPr/>
      <w:r>
        <w:t>Pattern: “One rule, multiple textual homes” (#10) — count-at-source extended across the measure’s scope boundary. The frontier proxy is the count-at-source answer when the deeper home is invisible; the re-classification-on-expansion rule stops the same rule being counted in two scopes at once.</w:t>
      </w:r>
    </w:p>
    <w:p>
      <w:pPr/>
      <w:r>
        <w:t>2026-07-14 — Rubric dry-run round 2 (stability test): clean, 10/10. Ten fresh cold sections (_test_round_2_sections.md) drawn from unused sections of the seven extracted Acts (no Acts outside the seven are extracted; reserved set untouched). Mechanical = holistic 10/10, zero blockers. Regressions passed: Finding-1 single-act-vs-independent-constraint on reg 21(5); three-step permission/exemption on GDPR Art 9 (the (2)(d) straddler correctly routed to ambiguous-leaf review); amendment-machinery rule’s first live pass on ERA Sch 60 (Railways Act 1993 consequential amendments); Apple eudn state-addressee → zero private-actor burdens (public-body gate). Stopping rule stands: round 2 clean → v2.5 is the sign-off read target.</w:t>
      </w:r>
    </w:p>
    <w:p>
      <w:pPr/>
      <w:r>
        <w:t>Ripple flagged: reg 38(3) (round-1 dry-run set) pending cross-section resolution vs reg 36/37 under chain-ordering — annotated in _dryrun_sections.md. Pattern: “Sample ≠ systematic” (#6) — a clean round is reassurance, not proof; the reg 38(3) cross-section item is exactly the remainder to pull on.</w:t>
      </w:r>
    </w:p>
    <w:tbl>
      <w:tblPr>
        <w:tblW w:type="auto" w:w="0"/>
        <w:tblLook w:firstColumn="1" w:firstRow="1" w:lastColumn="0" w:lastRow="0" w:noHBand="0" w:noVBand="1" w:val="04A0"/>
      </w:tblPr>
      <w:tblGrid>
        <w:gridCol w:w="9360"/>
      </w:tblGrid>
      <w:tr>
        <w:tc>
          <w:tcPr>
            <w:tcW w:type="dxa" w:w="9360"/>
          </w:tcPr>
          <w:p>
            <w:r>
              <w:t>is_amendment_insertion fires 0/1,084 — a live field promising amendment detection that detects nothing</w:t>
            </w:r>
          </w:p>
          <w:p>
            <w:r>
              <w:t>What: extract_candidates.py sets is_amendment_insertion via _in_amendment(), which tests find_parent(['Addition','ins','InF']) — it fires only when a whole section/Text node NESTS INSIDE an &lt;Addition&gt;. Real amendments are inline fragment insertions (the &lt;Addition&gt; sits inside the Text, not the reverse), so the flag fired on 0 of 1,084 candidate records across the 7-Act set despite 16,366 &lt;Addition&gt; nodes present (1,403 of them burden-bearing). The field name promises amendment-insertion detection; it delivers none.</w:t>
            </w:r>
          </w:p>
          <w:p>
            <w:r>
              <w:t>What prompted the catch: the 2026-07-05 amendment-provenance measurement (pricing introduced_by/introduced_year) counted Additions directly, found provenance ~100% recoverable, then cross-checked the record flag and found it flat zero.</w:t>
            </w:r>
          </w:p>
          <w:p>
            <w:r>
              <w:t>Why it matters now (raised stakes): the ratified §3 amendment-machinery rule (amendment = machinery, count at the consolidated target) NEEDS a working amendment detector, and this flag is the one field anyone would reach for. It also mis-grains provenance — 22.4% of amendment-touched sections carry &gt;1 amending instrument — so detection/attribution must be at the &lt;Addition&gt;-fragment grain, not the section flag.</w:t>
            </w:r>
          </w:p>
          <w:p>
            <w:r>
              <w:t>Resolution: logged as a bug, not fixed. No code change now. Before Stage 2 the field is either fixed (re-implemented at the &lt;Addition&gt;-fragment grain) or renamed/removed so nothing builds on a false signal. Tracked in docs/decision_tree_gaps.md (G3) as DECIDED-UNBUILT.</w:t>
            </w:r>
          </w:p>
          <w:p>
            <w:r>
              <w:t>Pattern: #3 (Named ≠ actual) — a live field named for a capability it does not have. Direct sibling of the section_ref 'unambiguous JOIN KEY' entry: both are locally-plausible identifiers/flags in extract_candidates.py that silently fail their advertised contract.</w:t>
            </w:r>
          </w:p>
        </w:tc>
      </w:tr>
    </w:tbl>
    <w:tbl>
      <w:tblPr>
        <w:tblW w:type="auto" w:w="0"/>
        <w:tblLook w:firstColumn="1" w:firstRow="1" w:lastColumn="0" w:lastRow="0" w:noHBand="0" w:noVBand="1" w:val="04A0"/>
      </w:tblPr>
      <w:tblGrid>
        <w:gridCol w:w="9360"/>
      </w:tblGrid>
      <w:tr>
        <w:tc>
          <w:tcPr>
            <w:tcW w:type="dxa" w:w="9360"/>
          </w:tcPr>
          <w:p>
            <w:r>
              <w:t>Amendment-provenance 100% is a test-set figure — corpus-wide coverage unconfirmed</w:t>
            </w:r>
          </w:p>
          <w:p>
            <w:r>
              <w:t>What: the 2026-07-05 measurement found introduced_by/introduced_year machine-recoverable for 1,403/1,403 burden-bearing &lt;Addition&gt; fragments and 2,374/2,374 Type-F textual-amendment commentaries — 100%. That is on the 7 verification Acts, which lean modern and CLML-clean.</w:t>
            </w:r>
          </w:p>
          <w:p>
            <w:r>
              <w:t>Calibration: pre-digital-era consolidations are where amendment annotation (the &lt;Commentary&gt;/&lt;Citation&gt; machinery provenance rides on) is thinnest, so corpus-wide coverage would plausibly sag below 100%. The 7-Act figure must not be reported as a corpus-wide rate.</w:t>
            </w:r>
          </w:p>
          <w:p>
            <w:r>
              <w:t>Methodology claim until confirmed: 'amendment provenance verified recoverable on the test set; corpus-wide coverage TBC.'</w:t>
            </w:r>
          </w:p>
          <w:p>
            <w:r>
              <w:t>Resolution / queued: a spot-check of amendment-provenance recoverability on OLDER CONSOLIDATIONS is QUEUED, not run. introduced_by/introduced_year stay nullable so labelling never stalls; the growth-over-time claim is hedged to the test set until the spot-check lands.</w:t>
            </w:r>
          </w:p>
          <w:p>
            <w:r>
              <w:t>Pattern: #2 (Sample ≠ systematic) / #4 (the headline glosses a remainder) — a 100% on a modern, clean sample glosses the older-consolidation tail where it would degrade.</w:t>
            </w:r>
          </w:p>
        </w:tc>
      </w:tr>
    </w:tbl>
    <w:tbl>
      <w:tblPr>
        <w:tblW w:type="auto" w:w="0"/>
        <w:tblLook w:firstColumn="1" w:firstRow="1" w:lastColumn="0" w:lastRow="0" w:noHBand="0" w:noVBand="1" w:val="04A0"/>
      </w:tblPr>
      <w:tblGrid>
        <w:gridCol w:w="9360"/>
      </w:tblGrid>
      <w:tr>
        <w:tc>
          <w:tcPr>
            <w:tcW w:type="dxa" w:w="9360"/>
          </w:tcPr>
          <w:p>
            <w:r>
              <w:t>TNA cross-check is corpus validation (Layer 0/1), not analytical validation</w:t>
            </w:r>
          </w:p>
          <w:p>
            <w:r>
              <w:t>Decision: the TNA Statutory Powers and Duties Dataset cross-check sits at Layer 0/1 as CORPUS validation — not at Layer 5, and not as external validation of the analysis. The validation story has two distinct legs. (a) Corpus validity — checked externally: against the TNA dataset (the cross-check subsystem) and via direct TNA correspondence on in-force definitions and identifier schemes. (b) Analytical validity — internal by design: dual-model independent labelling, human adjudication, held-out real-only validation, and periodic full-Act independent human classification.</w:t>
            </w:r>
          </w:p>
          <w:p>
            <w:r>
              <w:t>State plainly in any write-up: no external gold standard exists for the burden measure itself — it is the first of its kind — which is why the internal machinery and full methodological transparency carry the analytical-validity leg. TNA must NOT be described as validating the analysis anywhere.</w:t>
            </w:r>
          </w:p>
          <w:p>
            <w:r>
              <w:t>Reasoning: TNA is a section-level duty/power dataset over the same legislation, so it can corroborate what provisions exist (a corpus check) but it does not distinguish private from public actors and is structurally blind to non-operative-modality errors — so it cannot validate the burden classification. Keeping the two legs separate prevents overclaiming an external validation the measure does not have. (Revises the earlier open framing question — where the TNA cross-check sits in the layered architecture — for whenever the layered-architecture doc is written.)</w:t>
            </w:r>
          </w:p>
          <w:p>
            <w:r>
              <w:t>Pattern: #3 (Named ≠ actual) — a cross-check that looks like analytical validation is not; name the leg it actually supports.</w:t>
            </w:r>
          </w:p>
        </w:tc>
      </w:tr>
    </w:tbl>
    <w:tbl>
      <w:tblPr>
        <w:tblW w:type="auto" w:w="0"/>
        <w:tblLook w:firstColumn="1" w:firstRow="1" w:lastColumn="0" w:lastRow="0" w:noHBand="0" w:noVBand="1" w:val="04A0"/>
      </w:tblPr>
      <w:tblGrid>
        <w:gridCol w:w="9360"/>
      </w:tblGrid>
      <w:tr>
        <w:tc>
          <w:tcPr>
            <w:tcW w:type="dxa" w:w="9360"/>
          </w:tcPr>
          <w:p>
            <w:r>
              <w:t>The regulatory-burden primitive, the unit rule, and scope (definitional core)</w:t>
            </w:r>
          </w:p>
          <w:p>
            <w:r>
              <w:t>Decision — the primitive: a regulatory burden is one legally-binding requirement imposed on a private actor, defined ONCE; both polarities (an obligation to act, a prohibition from acting) are inherited from that single primitive rather than defined as separate things. Polarity is therefore an attribute, not a category. Reasoning: one primitive keeps the measure coherent and additive, and lets obligation/prohibition be recorded without fracturing the taxonomy.</w:t>
            </w:r>
          </w:p>
          <w:p>
            <w:r>
              <w:t>Unit of count: the distinct obligation, not the sentence — enumerated leaves that are genuinely distinct duties count each; a list of conditions/factors attached to a single duty counts once. Scope is broad (all private actors, including individuals in personal capacity) with an economic/personal capacity axis tagged conservatively (ambiguous used generously; the ambiguous pile deferred to phase 2/3). Count, not magnitude: an unweighted count of distinct obligations — a stated methodological limitation (RegData-style), not an omission. These three are fully stated in the rubric (§1); logged here as pointers so the definitional core is discoverable from the log.</w:t>
            </w:r>
          </w:p>
        </w:tc>
      </w:tr>
    </w:tbl>
    <w:tbl>
      <w:tblPr>
        <w:tblW w:type="auto" w:w="0"/>
        <w:tblLook w:firstColumn="1" w:firstRow="1" w:lastColumn="0" w:lastRow="0" w:noHBand="0" w:noVBand="1" w:val="04A0"/>
      </w:tblPr>
      <w:tblGrid>
        <w:gridCol w:w="9360"/>
      </w:tblGrid>
      <w:tr>
        <w:tc>
          <w:tcPr>
            <w:tcW w:type="dxa" w:w="9360"/>
          </w:tcPr>
          <w:p>
            <w:r>
              <w:t>Private/public partition via the statutory-source test</w:t>
            </w:r>
          </w:p>
          <w:p>
            <w:r>
              <w:t>Decision: a body is public (its obligations excluded) if it is statutorily created, exercises a public/regulatory function, and is accountable to a public regulator — regardless of how it is funded. Worked calls, from the reasoning that lived in conversation: the FSCS and the Financial Ombudsman Service are PUBLIC despite being levy-funded (funding source does not privatise a statutory regulator); a contracted-out firm performing public functions is PRIVATE (the burden falls on a non-state entity); a levy DUTY imposed on firms still COUNTS as a private-actor burden (the duty lands on the firm, even though the levy funds a public body).</w:t>
            </w:r>
          </w:p>
          <w:p>
            <w:r>
              <w:t>Reasoning: the source/status of the body — not its funding, nor who ultimately benefits — determines the partition. This stops levy-funded regulators being miscounted as private and keeps genuine duties on firms in scope. Fully stated in the rubric (§5D function test + hybrid-actor note); this entry records the reasoning and the three worked calls.</w:t>
            </w:r>
          </w:p>
        </w:tc>
      </w:tr>
    </w:tbl>
    <w:tbl>
      <w:tblPr>
        <w:tblW w:type="auto" w:w="0"/>
        <w:tblLook w:firstColumn="1" w:firstRow="1" w:lastColumn="0" w:lastRow="0" w:noHBand="0" w:noVBand="1" w:val="04A0"/>
      </w:tblPr>
      <w:tblGrid>
        <w:gridCol w:w="9360"/>
      </w:tblGrid>
      <w:tr>
        <w:tc>
          <w:tcPr>
            <w:tcW w:type="dxa" w:w="9360"/>
          </w:tcPr>
          <w:p>
            <w:r>
              <w:t>Enabling-power rule dissolves the IB split</w:t>
            </w:r>
          </w:p>
          <w:p>
            <w:r>
              <w:t>Decision: count a burden where the Act ITSELF imposes it. A bare power to make secondary legislation is NOT counted — the burden, if any, arrives with the regulations and is counted there. Compliance/contravention hooks (“contravenes section 4”, offence-for-breach cross-references) are NOT counted; they are counted at the primary provision they point to (count-at-source).</w:t>
            </w:r>
          </w:p>
          <w:p>
            <w:r>
              <w:t>Consequence: this resolves the rubric’s §7 open item — the Category-3 (Implied burden) dual-rationale split DISSOLVES. Enabling/reg-making powers are no longer routed to IB, so IB reverts to only the defence-revealed case. Reasoning: prevents double-counting the same burden at both the enabling Act and the resulting SI (both are in-corpus), and removes the incoherent two-concepts-under-one-label training risk for Cat 3. Supersedes rubric §5C/§7 — to fold into the next rubric revision.</w:t>
            </w:r>
          </w:p>
        </w:tc>
      </w:tr>
    </w:tbl>
    <w:tbl>
      <w:tblPr>
        <w:tblW w:type="auto" w:w="0"/>
        <w:tblLook w:firstColumn="1" w:firstRow="1" w:lastColumn="0" w:lastRow="0" w:noHBand="0" w:noVBand="1" w:val="04A0"/>
      </w:tblPr>
      <w:tblGrid>
        <w:gridCol w:w="9360"/>
      </w:tblGrid>
      <w:tr>
        <w:tc>
          <w:tcPr>
            <w:tcW w:type="dxa" w:w="9360"/>
          </w:tcPr>
          <w:p>
            <w:r>
              <w:t>Validation &amp; labelling strategy, and the layered design principle</w:t>
            </w:r>
          </w:p>
          <w:p>
            <w:r>
              <w:t>Decisions (newer strategy, not yet in the rubric): (1) Era-stratified validation + era-spread labelling — training and validation samples are spread across drafting eras (Victorian through modern) so the classifier is not tuned to one drafting style. (2) Rare-class handling is retrieval-first — actively retrieve real examples of rare categories; anchored-synthetic examples are a flagged LAST RESORT only, and NEVER placed in validation sets (validation must be real). (3) Whole-pipeline design principle: models for language patterns, deterministic rules for facts and structure, human review for the residue.</w:t>
            </w:r>
          </w:p>
          <w:p>
            <w:r>
              <w:t>Reasoning: era-spread controls drafting-style bias (the corpus spans centuries); retrieval-first keeps rare-class training honest and keeps validation trustworthy (synthetic data never scores the measure); the models/rules/review split puts each judgement where it is most reliable and auditable — the linguistic call to the model, facts/structure to deterministic rules, and only the genuine residue to human review.</w:t>
            </w:r>
          </w:p>
        </w:tc>
      </w:tr>
    </w:tbl>
    <w:tbl>
      <w:tblPr>
        <w:tblW w:type="auto" w:w="0"/>
        <w:tblLook w:firstColumn="1" w:firstRow="1" w:lastColumn="0" w:lastRow="0" w:noHBand="0" w:noVBand="1" w:val="04A0"/>
      </w:tblPr>
      <w:tblGrid>
        <w:gridCol w:w="9360"/>
      </w:tblGrid>
      <w:tr>
        <w:tc>
          <w:tcPr>
            <w:tcW w:type="dxa" w:w="9360"/>
          </w:tcPr>
          <w:p>
            <w:r>
              <w:t>Cat 5 naming resolved — numeric category IDs canonical, names presentational</w:t>
            </w:r>
          </w:p>
          <w:p>
            <w:r>
              <w:t>What: the shared bare word “Conditional” was a conflation risk between Cat 2 and Cat 5 (they differ only by who controls the trigger). Resolved two ways. (1) Canonical category tags in the label schema are numeric IDs (1–6), stable and rename-proof; the data, model, and pipeline key on the integer only. Human/LLM-facing names are a presentation layer over the IDs and may change per audience (e.g. at publication) with zero cost to data or model. (2) Rubric-facing names for the two conditional categories are renamed IB/IBA-style (shared family word + differentiator) to encode the trigger-control discriminator: Cat 2 = “Conditional burden (operational)” (trigger arises within the actor's own activities, whether or not deliberately caused); Cat 5 = “Conditional burden (regulator-triggered)” (external regulator's discretionary decision — notice, warrant, inspection). Contrast pair: a workplace death → Cat 2; a regulator's inspection demand → Cat 5.</w:t>
            </w:r>
          </w:p>
          <w:p>
            <w:r>
              <w:t>Rationale: bare “Conditional” shared by two categories invited mislabelling; the differentiated names fix that. Making numeric IDs canonical means any future rename — including audience-specific publication names — touches only the presentation layer, never the data or the trained model.</w:t>
            </w:r>
          </w:p>
          <w:p>
            <w:r>
              <w:t>Actions taken now: created the canonical mapping table category_mapping.md (ID → rubric name → one-line definition, all six categories + polarity values; states IDs-canonical / names-presentational); logged the two renames + Cat 2 anchoring line + the schema-mapping canonical-ID note to rubric_revision_notes.md for the next rubric pass. NOT done deliberately: the rubric document is NOT rebuilt now — the renames fold into the next revision alongside the lead's sign-off read, in one pass. Audit confirmed no live/planned code keys on old category-name strings (only the retired analyser.py does; extract_candidates.py emits no category label), so the numeric-ID decision is not undermined by a stray string identifier.</w:t>
            </w:r>
          </w:p>
          <w:p>
            <w:r>
              <w:t>Pattern: #3 (Named ≠ actual) — decouple the stable identifier from the mutable display name so a rename can never silently break a downstream match.</w:t>
            </w:r>
          </w:p>
        </w:tc>
      </w:tr>
    </w:tbl>
    <w:tbl>
      <w:tblPr>
        <w:tblW w:type="auto" w:w="0"/>
        <w:tblLook w:firstColumn="1" w:firstRow="1" w:lastColumn="0" w:lastRow="0" w:noHBand="0" w:noVBand="1" w:val="04A0"/>
      </w:tblPr>
      <w:tblGrid>
        <w:gridCol w:w="9360"/>
      </w:tblGrid>
      <w:tr>
        <w:tc>
          <w:tcPr>
            <w:tcW w:type="dxa" w:w="9360"/>
          </w:tcPr>
          <w:p>
            <w:r>
              <w:t>Extraction rebuilt to two-stage section-level — built and verified</w:t>
            </w:r>
          </w:p>
          <w:p>
            <w:r>
              <w:t>What: extract_candidates.py rewritten from per-sentence emission to one candidate per flagged SECTION. Section anchor = outermost P-level (UK sections / EU articles / schedule P-levels) ∪ innermost numbered Division/Para (EU recitals, schedule paragraphs), keyed on DOM node identity (section_index), NOT section_ref. Each section carries material_type (uk_body / uk_schedule / eu_article / eu_recital / orphan). Stage-1 flags a section if any cue fires anywhere in its subtree; the full assembled block (chapeau + leaves, markers preserved) is emitted with NO truncation, plus the leaves as a structured list.</w:t>
            </w:r>
          </w:p>
          <w:p>
            <w:r>
              <w:t>Verified (fresh 7-Act run): resolved-section counts reproduce the measured baseline exactly — 727 uk_body / 862 schedule / 106 eu_article / 611 eu_recital. 1,084 candidate records, all ids unique. 6,051 previously-dropped cue-less leaves now recovered inside their flagged sections (EP Regs reg 24 leaves (i) “cause the waste to be disposed of” and (ii) “prevent the entry of gaseous waste” confirmed present). Max assembled block 23,213 chars with zero truncation. 48 section_ref collisions correctly kept as distinct records via section_index.</w:t>
            </w:r>
          </w:p>
          <w:p>
            <w:r>
              <w:t>Scope: extraction only. The Stage-2 labelling layer (burden-set-per-section schema, set-vs-set agreement, label store / version-control) is ratified design but deliberately NOT built — it is the next step, and no real label is emitted until the store is in place.</w:t>
            </w:r>
          </w:p>
          <w:p>
            <w:r>
              <w:t>Pattern: #1 (verified the durable artifact from a fresh run — reproduced the baseline and recovered leaves against actual output, not a success message).</w:t>
            </w:r>
          </w:p>
        </w:tc>
      </w:tr>
    </w:tbl>
    <w:tbl>
      <w:tblPr>
        <w:tblW w:type="auto" w:w="0"/>
        <w:tblLook w:firstColumn="1" w:firstRow="1" w:lastColumn="0" w:lastRow="0" w:noHBand="0" w:noVBand="1" w:val="04A0"/>
      </w:tblPr>
      <w:tblGrid>
        <w:gridCol w:w="9360"/>
      </w:tblGrid>
      <w:tr>
        <w:tc>
          <w:tcPr>
            <w:tcW w:type="dxa" w:w="9360"/>
          </w:tcPr>
          <w:p>
            <w:r>
              <w:t>Two-stage recall: section-level flagging recovers 77.7% of dropped leaves — residual provisionally non-operative</w:t>
            </w:r>
          </w:p>
          <w:p>
            <w:r>
              <w:t>What: Stage-1 flagging at whole-section granularity (flag a section if anything in its DOM subtree fires a cue) recovers 6,051 of the 7,786 cue-less enumeration leaves that the current sentence-level extractor drops entirely (77.7%). The cue-less leaf rides in on its chapeau's cue. Residual: 1,735 cue-less leaves sit in 760 signal-less sections (0 cue anywhere in subtree).</w:t>
            </w:r>
          </w:p>
          <w:p>
            <w:r>
              <w:t>Status of the residual — PROVISIONAL, not labelling-confirmed: the residual is inferred non-operative from an eyeballed sample — definitions, short-title / extent / application, and especially amendment sections (“The X Act is amended as follows”). Of the 760 signal-less sections only 47 matched a broad operative backstop, and those were amendment cross-references (“offences in relation to…”) and interpretation stems (“unless the context otherwise requires”), i.e. not new private-actor burdens. Recorded as provisionally verified.</w:t>
            </w:r>
          </w:p>
          <w:p>
            <w:r>
              <w:t>To confirm during labelling: treat any signal-less section that turns out to hide a genuine private-actor duty as a check on this claim. If such sections appear above trace rate, the section-flag recall ceiling is lower than believed and Stage-1 needs a non-cue backstop.</w:t>
            </w:r>
          </w:p>
          <w:p>
            <w:r>
              <w:t>Pattern: #2 (Sample ≠ systematic — the residual is judged from the visible sample; the set we are NOT worried about must be tested during labelling).</w:t>
            </w:r>
          </w:p>
        </w:tc>
      </w:tr>
    </w:tbl>
    <w:tbl>
      <w:tblPr>
        <w:tblW w:type="auto" w:w="0"/>
        <w:tblLook w:firstColumn="1" w:firstRow="1" w:lastColumn="0" w:lastRow="0" w:noHBand="0" w:noVBand="1" w:val="04A0"/>
      </w:tblPr>
      <w:tblGrid>
        <w:gridCol w:w="9360"/>
      </w:tblGrid>
      <w:tr>
        <w:tc>
          <w:tcPr>
            <w:tcW w:type="dxa" w:w="9360"/>
          </w:tcPr>
          <w:p>
            <w:r>
              <w:t>Two hard constraints for two-stage implementation (do not lose these)</w:t>
            </w:r>
          </w:p>
          <w:p>
            <w:r>
              <w:t>What: confirmed by measurement on the 7 test Acts; both must hold in any implementation of the two-stage extractor.</w:t>
            </w:r>
          </w:p>
          <w:p>
            <w:r>
              <w:t>1. No truncation. The current emit() caps text at sentence[:2000]. 30% of flagged UK-body sections (and 38% of EU articles) exceed 2,000 chars. Whole-section assembly must remove or rework the cap, or it silently truncates exactly the large multi-duty sections the two-stage design exists to capture — undoing the recall fix.</w:t>
            </w:r>
          </w:p>
          <w:p>
            <w:r>
              <w:t>2. Key on DOM identity, not section_ref. Sectioning, the burden-set store, and the Stage-1→Stage-2 association must use DOM node identity. section_ref is non-unique (see the _ref_for entry), so keying on it would merge distinct provisions that share a ref string.</w:t>
            </w:r>
          </w:p>
          <w:p>
            <w:r>
              <w:t>Pattern: #1 (verify the durable artifact) and #3 (Named ≠ actual) — constraints proven against data and logged so they survive to implementation.</w:t>
            </w:r>
          </w:p>
        </w:tc>
      </w:tr>
    </w:tbl>
    <w:tbl>
      <w:tblPr>
        <w:tblW w:type="auto" w:w="0"/>
        <w:tblLook w:firstColumn="1" w:firstRow="1" w:lastColumn="0" w:lastRow="0" w:noHBand="0" w:noVBand="1" w:val="04A0"/>
      </w:tblPr>
      <w:tblGrid>
        <w:gridCol w:w="9360"/>
      </w:tblGrid>
      <w:tr>
        <w:tc>
          <w:tcPr>
            <w:tcW w:type="dxa" w:w="9360"/>
          </w:tcPr>
          <w:p>
            <w:r>
              <w:t>section_ref is not a unique key — _ref_for omits Schedule/Part/position</w:t>
            </w:r>
          </w:p>
          <w:p>
            <w:r>
              <w:t>What: extract_candidates._ref_for builds a provision ref from P-level Pnumbers only, with no Schedule / Part / document-position qualifier. Measured on the Environmental Permitting Regs 2016, the ref “24(1)” maps to five structurally different provisions (the body obligation “A must—”, a schedule activity-list, an amendment clause, and others). The docstring calling this ref “an unambiguous JOIN KEY” (extract_candidates.py:179) is false.</w:t>
            </w:r>
          </w:p>
          <w:p>
            <w:r>
              <w:t>What prompted the catch: A first pass at measuring the enumerated-leaf recall hole grouped chapeau→leaf by ref-string and over-counted dropped leaves by ~55% (3,757 vs the DOM-correct 2,408). Switching to DOM ancestry (find_parents over the P-levels), which is collision-proof, gave the true figure and exposed the collisions.</w:t>
            </w:r>
          </w:p>
          <w:p>
            <w:r>
              <w:t>Blast radius (scoped, not fixed): confined to extract_candidates.py and its outputs. (a) ref is a component of the candidate id {type}/{year}/{item}#{ref}#{hash} — id collisions are currently masked only by the 12-char sentence hash, not by ref. (b) the section_ref field in candidates.jsonl and candidates_index.csv. (c) definitions[].ref locators. (d) the dropped-dups ref. No SQL JOIN keys on it today. But any future label-store keyed on (item_url, section_ref), and the proposed Stage-1 section grouping, would inherit the ambiguity — both must key on DOM node identity, not section_ref.</w:t>
            </w:r>
          </w:p>
          <w:p>
            <w:r>
              <w:t>Resolution: Logged and scoped only; not fixed. All measurement work uses DOM ancestry. Fix deferred pending the two-stage architecture decision.</w:t>
            </w:r>
          </w:p>
          <w:p>
            <w:r>
              <w:t>Pattern: #3 (Named ≠ actual — a comment asserts “unambiguous JOIN KEY”; downstream it is not). Another instance of the identifier-scheme mismatch class (cf. the regnal chapter-code false-404 entry): a locally-built identifier silently fails to be globally unique across the document.</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7F8872D8" w14:textId="77777777">
        <w:tblPrEx>
          <w:tblCellMar>
            <w:top w:w="0" w:type="dxa"/>
            <w:bottom w:w="0" w:type="dxa"/>
          </w:tblCellMar>
        </w:tblPrEx>
        <w:tc>
          <w:tcPr>
            <w:tcW w:w="9360" w:type="dxa"/>
            <w:tcBorders>
              <w:top w:val="single" w:sz="1" w:space="0" w:color="C9D6E5"/>
              <w:left w:val="single" w:sz="1" w:space="0" w:color="C9D6E5"/>
              <w:bottom w:val="single" w:sz="1" w:space="0" w:color="C9D6E5"/>
              <w:right w:val="single" w:sz="1" w:space="0" w:color="C9D6E5"/>
            </w:tcBorders>
            <w:shd w:val="clear" w:color="auto" w:fill="F7FAFD"/>
            <w:tcMar>
              <w:top w:w="120" w:type="dxa"/>
              <w:left w:w="160" w:type="dxa"/>
              <w:bottom w:w="120" w:type="dxa"/>
              <w:right w:w="160" w:type="dxa"/>
            </w:tcMar>
          </w:tcPr>
          <w:p w14:paraId="0D79CB4A" w14:textId="77777777" w:rsidR="00F33557" w:rsidRDefault="00000000">
            <w:pPr>
              <w:spacing w:after="80"/>
            </w:pPr>
            <w:r>
              <w:rPr>
                <w:b/>
                <w:bCs/>
                <w:color w:val="2E5B8A"/>
                <w:sz w:val="23"/>
                <w:szCs w:val="23"/>
              </w:rPr>
              <w:t>Scope-C anomaly: the uksi 796 — surprising, then explained</w:t>
            </w:r>
          </w:p>
          <w:p w14:paraId="1478841E" w14:textId="77777777" w:rsidR="00F33557" w:rsidRDefault="00000000">
            <w:pPr>
              <w:spacing w:after="70"/>
            </w:pPr>
            <w:r>
              <w:rPr>
                <w:b/>
                <w:bCs/>
              </w:rPr>
              <w:t xml:space="preserve">What: </w:t>
            </w:r>
            <w:r>
              <w:t>796 post-1990 UK Statutory Instruments showed as PDF-only shells / not-ingestable — surprising, because modern UK SIs are normally fully digitised, and they sit in the Scope-C (91.6%) headline most relevant to the burden measure.</w:t>
            </w:r>
          </w:p>
          <w:p w14:paraId="6E712925" w14:textId="77777777" w:rsidR="00F33557" w:rsidRDefault="00000000">
            <w:pPr>
              <w:spacing w:after="70"/>
            </w:pPr>
            <w:r>
              <w:rPr>
                <w:b/>
                <w:bCs/>
              </w:rPr>
              <w:t xml:space="preserve">What prompted the catch: </w:t>
            </w:r>
            <w:r>
              <w:t>Pulling on the one anomaly in an otherwise-expected gap composition (NI + retained-EU dominating was expected; modern uksi shells were not). Characterised the 796 and spot-checked against canonical pages.</w:t>
            </w:r>
          </w:p>
          <w:p w14:paraId="06445DC4" w14:textId="77777777" w:rsidR="00F33557" w:rsidRDefault="00000000">
            <w:pPr>
              <w:spacing w:after="70"/>
            </w:pPr>
            <w:r>
              <w:rPr>
                <w:b/>
                <w:bCs/>
              </w:rPr>
              <w:t xml:space="preserve">Resolution: </w:t>
            </w:r>
            <w:r>
              <w:t>Confirmed (8/8 spot-checks PDF-only, 0 provisions) as genuine local-effect instruments — trunk-road/traffic orders, diocesan endowment, air-navigation orders. Formally uksi (delegated SIs) but locally-scoped, so by the same logic that excuses local/private Acts they don't impose general-class burden. Scope-C 91.6% holds, not understated.</w:t>
            </w:r>
          </w:p>
          <w:p w14:paraId="07CDDC48" w14:textId="77777777" w:rsidR="00F33557" w:rsidRDefault="00000000">
            <w:pPr>
              <w:spacing w:after="70"/>
            </w:pPr>
            <w:r>
              <w:rPr>
                <w:b/>
                <w:bCs/>
              </w:rPr>
              <w:t xml:space="preserve">Pattern: </w:t>
            </w:r>
            <w:r>
              <w:t>#4 (the surprising remainder in the core population) and #1 (verified by spot-check, not assumed).</w:t>
            </w:r>
          </w:p>
        </w:tc>
      </w:tr>
    </w:tbl>
    <w:p w14:paraId="30AACD9E" w14:textId="77777777" w:rsidR="00F33557" w:rsidRDefault="00F3355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04ADEDE3" w14:textId="77777777">
        <w:tblPrEx>
          <w:tblCellMar>
            <w:top w:w="0" w:type="dxa"/>
            <w:bottom w:w="0" w:type="dxa"/>
          </w:tblCellMar>
        </w:tblPrEx>
        <w:tc>
          <w:tcPr>
            <w:tcW w:w="9360" w:type="dxa"/>
            <w:tcBorders>
              <w:top w:val="single" w:sz="1" w:space="0" w:color="C9D6E5"/>
              <w:left w:val="single" w:sz="1" w:space="0" w:color="C9D6E5"/>
              <w:bottom w:val="single" w:sz="1" w:space="0" w:color="C9D6E5"/>
              <w:right w:val="single" w:sz="1" w:space="0" w:color="C9D6E5"/>
            </w:tcBorders>
            <w:shd w:val="clear" w:color="auto" w:fill="F7FAFD"/>
            <w:tcMar>
              <w:top w:w="120" w:type="dxa"/>
              <w:left w:w="160" w:type="dxa"/>
              <w:bottom w:w="120" w:type="dxa"/>
              <w:right w:w="160" w:type="dxa"/>
            </w:tcMar>
          </w:tcPr>
          <w:p w14:paraId="239EF7B3" w14:textId="011925F4" w:rsidR="00F33557" w:rsidRDefault="00000000">
            <w:pPr>
              <w:spacing w:after="80"/>
            </w:pPr>
            <w:r>
              <w:rPr>
                <w:b/>
                <w:bCs/>
                <w:color w:val="2E5B8A"/>
                <w:sz w:val="23"/>
                <w:szCs w:val="23"/>
              </w:rPr>
              <w:t xml:space="preserve">Recoverable ≠ </w:t>
            </w:r>
            <w:r w:rsidR="00D817D2">
              <w:rPr>
                <w:b/>
                <w:bCs/>
                <w:color w:val="2E5B8A"/>
                <w:sz w:val="23"/>
                <w:szCs w:val="23"/>
              </w:rPr>
              <w:t>ingestible</w:t>
            </w:r>
            <w:r>
              <w:rPr>
                <w:b/>
                <w:bCs/>
                <w:color w:val="2E5B8A"/>
                <w:sz w:val="23"/>
                <w:szCs w:val="23"/>
              </w:rPr>
              <w:t>: the 2,344 → 423 gap (and AKN vs CLML)</w:t>
            </w:r>
          </w:p>
          <w:p w14:paraId="24914494" w14:textId="77777777" w:rsidR="00F33557" w:rsidRDefault="00000000">
            <w:pPr>
              <w:spacing w:after="70"/>
            </w:pPr>
            <w:r>
              <w:rPr>
                <w:b/>
                <w:bCs/>
              </w:rPr>
              <w:t xml:space="preserve">What: </w:t>
            </w:r>
            <w:r>
              <w:t>The sweep flagged 2,344 items 'recoverable', implying a corpus lift toward ~71,800. In fact only 423 became net-new CLML Tier-1 text on ingest; 386 were already in the corpus, and 1,535 were digitised-but-not-CLML-ingestable (Akoma Ntoso or PDF-only), predominantly uksi (755) + nisr (425).</w:t>
            </w:r>
          </w:p>
          <w:p w14:paraId="74009E3B" w14:textId="77777777" w:rsidR="00F33557" w:rsidRDefault="00000000">
            <w:pPr>
              <w:spacing w:after="70"/>
            </w:pPr>
            <w:r>
              <w:rPr>
                <w:b/>
                <w:bCs/>
              </w:rPr>
              <w:t xml:space="preserve">What prompted the catch: </w:t>
            </w:r>
            <w:r>
              <w:t>A full dry-run of the ingest (not the skewed alphabetical sample) to measure real yield. Surfaced that 'recoverable' was a sweep verdict based on data.akn content, while the pipeline ingests CLML (data.xml), which is empty for those items.</w:t>
            </w:r>
          </w:p>
          <w:p w14:paraId="56C32DAD" w14:textId="77777777" w:rsidR="00F33557" w:rsidRDefault="00000000">
            <w:pPr>
              <w:spacing w:after="70"/>
            </w:pPr>
            <w:r>
              <w:rPr>
                <w:b/>
                <w:bCs/>
              </w:rPr>
              <w:t xml:space="preserve">Resolution: </w:t>
            </w:r>
            <w:r>
              <w:t>Headline set to the real post-ingest figure (69,462 → 69,885, +423), NOT the speculative ~71,800. The 1,535 AKN/PDF items deferred to phase 2 as a counted, named category (AKN-parser / OCR routes flagged), consistent with the existing phase-2 target list. Decision: don't build AKN parsing now for a peripheral, mostly local-effect / retained-EU set.</w:t>
            </w:r>
          </w:p>
          <w:p w14:paraId="18BC2396" w14:textId="77777777" w:rsidR="00F33557" w:rsidRDefault="00000000">
            <w:pPr>
              <w:spacing w:after="70"/>
            </w:pPr>
            <w:r>
              <w:rPr>
                <w:b/>
                <w:bCs/>
              </w:rPr>
              <w:t xml:space="preserve">Pattern: </w:t>
            </w:r>
            <w:r>
              <w:t>#3 (a 'recoverable' verdict didn't mean 'ingestable' downstream) and #4 (the generous headline figure glossed the 1,535 remainder).</w:t>
            </w:r>
          </w:p>
        </w:tc>
      </w:tr>
    </w:tbl>
    <w:p w14:paraId="1F8BE061" w14:textId="77777777" w:rsidR="00F33557" w:rsidRDefault="00F3355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7E25DF98" w14:textId="77777777">
        <w:tblPrEx>
          <w:tblCellMar>
            <w:top w:w="0" w:type="dxa"/>
            <w:bottom w:w="0" w:type="dxa"/>
          </w:tblCellMar>
        </w:tblPrEx>
        <w:tc>
          <w:tcPr>
            <w:tcW w:w="9360" w:type="dxa"/>
            <w:tcBorders>
              <w:top w:val="single" w:sz="1" w:space="0" w:color="C9D6E5"/>
              <w:left w:val="single" w:sz="1" w:space="0" w:color="C9D6E5"/>
              <w:bottom w:val="single" w:sz="1" w:space="0" w:color="C9D6E5"/>
              <w:right w:val="single" w:sz="1" w:space="0" w:color="C9D6E5"/>
            </w:tcBorders>
            <w:shd w:val="clear" w:color="auto" w:fill="F7FAFD"/>
            <w:tcMar>
              <w:top w:w="120" w:type="dxa"/>
              <w:left w:w="160" w:type="dxa"/>
              <w:bottom w:w="120" w:type="dxa"/>
              <w:right w:w="160" w:type="dxa"/>
            </w:tcMar>
          </w:tcPr>
          <w:p w14:paraId="542BA495" w14:textId="77777777" w:rsidR="00F33557" w:rsidRDefault="00000000">
            <w:pPr>
              <w:spacing w:after="80"/>
            </w:pPr>
            <w:r>
              <w:rPr>
                <w:b/>
                <w:bCs/>
                <w:color w:val="2E5B8A"/>
                <w:sz w:val="23"/>
                <w:szCs w:val="23"/>
              </w:rPr>
              <w:t>Extrapolated figures corrected by the exhaustive count</w:t>
            </w:r>
          </w:p>
          <w:p w14:paraId="2955BC93" w14:textId="77777777" w:rsidR="00F33557" w:rsidRDefault="00000000">
            <w:pPr>
              <w:spacing w:after="70"/>
            </w:pPr>
            <w:r>
              <w:rPr>
                <w:b/>
                <w:bCs/>
              </w:rPr>
              <w:t xml:space="preserve">What: </w:t>
            </w:r>
            <w:r>
              <w:t>The coverage note carried extrapolated Tier-2 (shell, 15,895) and Tier-3 (not-digitised 404, 34,484) figures. The finished exhaustion sweep, aggregated exhaustively across all 50,765 items, gave real figures materially different: shells ~29,872 (later 31,407 incl. deferred) and 404s 18,505 — i.e. the extrapolation overstated hard-404 'not digitised' by ~16k and understated PDF-only shells by ~14k.</w:t>
            </w:r>
          </w:p>
          <w:p w14:paraId="59302213" w14:textId="77777777" w:rsidR="00F33557" w:rsidRDefault="00000000">
            <w:pPr>
              <w:spacing w:after="70"/>
            </w:pPr>
            <w:r>
              <w:rPr>
                <w:b/>
                <w:bCs/>
              </w:rPr>
              <w:t xml:space="preserve">What prompted the catch: </w:t>
            </w:r>
            <w:r>
              <w:t>Holding the note's figures as provisional (banners + inline punch-list) pending the real aggregation, rather than publishing the extrapolations as settled.</w:t>
            </w:r>
          </w:p>
          <w:p w14:paraId="26982877" w14:textId="77777777" w:rsidR="00F33557" w:rsidRDefault="00000000">
            <w:pPr>
              <w:spacing w:after="70"/>
            </w:pPr>
            <w:r>
              <w:rPr>
                <w:b/>
                <w:bCs/>
              </w:rPr>
              <w:t xml:space="preserve">Resolution: </w:t>
            </w:r>
            <w:r>
              <w:t>Real figures replaced the extrapolations at finalisation; tiers reconcile exactly to 119,841. The corrected story is materially STRONGER — the gap is mostly digitised-as-</w:t>
            </w:r>
            <w:r>
              <w:lastRenderedPageBreak/>
              <w:t>PDF, not genuinely absent. 'Confirmed unrecoverable' types corrected from 8 to 6 (uksro/gbla dropped off, having recoverable/incomplete items). Validation evidence added: false-404 0/487 (CI 0–0.8%), shell control 50/50.</w:t>
            </w:r>
          </w:p>
          <w:p w14:paraId="365536D8" w14:textId="77777777" w:rsidR="00F33557" w:rsidRDefault="00000000">
            <w:pPr>
              <w:spacing w:after="70"/>
            </w:pPr>
            <w:r>
              <w:rPr>
                <w:b/>
                <w:bCs/>
              </w:rPr>
              <w:t xml:space="preserve">Pattern: </w:t>
            </w:r>
            <w:r>
              <w:t>#1 (extrapolation treated provisionally, not as verified reality) — had the extrapolated figures been published they'd have understated digitisation by ~16k.</w:t>
            </w:r>
          </w:p>
        </w:tc>
      </w:tr>
    </w:tbl>
    <w:p w14:paraId="0DFFD657" w14:textId="77777777" w:rsidR="00F33557" w:rsidRDefault="00F3355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1B116B2B" w14:textId="77777777">
        <w:tblPrEx>
          <w:tblCellMar>
            <w:top w:w="0" w:type="dxa"/>
            <w:bottom w:w="0" w:type="dxa"/>
          </w:tblCellMar>
        </w:tblPrEx>
        <w:tc>
          <w:tcPr>
            <w:tcW w:w="9360" w:type="dxa"/>
            <w:tcBorders>
              <w:top w:val="single" w:sz="1" w:space="0" w:color="C9D6E5"/>
              <w:left w:val="single" w:sz="1" w:space="0" w:color="C9D6E5"/>
              <w:bottom w:val="single" w:sz="1" w:space="0" w:color="C9D6E5"/>
              <w:right w:val="single" w:sz="1" w:space="0" w:color="C9D6E5"/>
            </w:tcBorders>
            <w:shd w:val="clear" w:color="auto" w:fill="F7FAFD"/>
            <w:tcMar>
              <w:top w:w="120" w:type="dxa"/>
              <w:left w:w="160" w:type="dxa"/>
              <w:bottom w:w="120" w:type="dxa"/>
              <w:right w:w="160" w:type="dxa"/>
            </w:tcMar>
          </w:tcPr>
          <w:p w14:paraId="2ACE6E7F" w14:textId="77777777" w:rsidR="00F33557" w:rsidRDefault="00000000">
            <w:pPr>
              <w:spacing w:after="80"/>
            </w:pPr>
            <w:r>
              <w:rPr>
                <w:b/>
                <w:bCs/>
                <w:color w:val="2E5B8A"/>
                <w:sz w:val="23"/>
                <w:szCs w:val="23"/>
              </w:rPr>
              <w:t>Checkpoint verification at sweep completion (durable artifact, not the log line)</w:t>
            </w:r>
          </w:p>
          <w:p w14:paraId="4C71BC07" w14:textId="77777777" w:rsidR="00F33557" w:rsidRDefault="00000000">
            <w:pPr>
              <w:spacing w:after="70"/>
            </w:pPr>
            <w:r>
              <w:rPr>
                <w:b/>
                <w:bCs/>
              </w:rPr>
              <w:t xml:space="preserve">What: </w:t>
            </w:r>
            <w:r>
              <w:t>The exhaustion sweep reported 'Session complete — 50,764 items'. Expected universe was 50,765 — one short.</w:t>
            </w:r>
          </w:p>
          <w:p w14:paraId="424733BB" w14:textId="77777777" w:rsidR="00F33557" w:rsidRDefault="00000000">
            <w:pPr>
              <w:spacing w:after="70"/>
            </w:pPr>
            <w:r>
              <w:rPr>
                <w:b/>
                <w:bCs/>
              </w:rPr>
              <w:t xml:space="preserve">What prompted the catch: </w:t>
            </w:r>
            <w:r>
              <w:t>Treating the completion log as a claim, not proof: verifying the durable Drive checkpoint (md5 681772dd… / 84,799,488 bytes / 355,343 probes / PRAGMA integrity ok) from a fresh state, and diffing to name the missing item rather than assuming it benign.</w:t>
            </w:r>
          </w:p>
          <w:p w14:paraId="409868F2" w14:textId="77777777" w:rsidR="00F33557" w:rsidRDefault="00000000">
            <w:pPr>
              <w:spacing w:after="70"/>
            </w:pPr>
            <w:r>
              <w:rPr>
                <w:b/>
                <w:bCs/>
              </w:rPr>
              <w:t xml:space="preserve">Resolution: </w:t>
            </w:r>
            <w:r>
              <w:t>The missing item (City of Glasgow Union Railway Partition Act 1896, a ukla) was fully probed — the gap was a roll-up that didn't fire on an item ending in HTTP 500, NOT data loss. Re-probed for a real verdict (shell), not an assumed 404. Crucially, the aggregator reads from probe_results (complete: 0 never-probed), not the item_summary side-table, so no item was ever lost from the figures.</w:t>
            </w:r>
          </w:p>
          <w:p w14:paraId="31FEE7DA" w14:textId="77777777" w:rsidR="00F33557" w:rsidRDefault="00000000">
            <w:pPr>
              <w:spacing w:after="70"/>
            </w:pPr>
            <w:r>
              <w:rPr>
                <w:b/>
                <w:bCs/>
              </w:rPr>
              <w:t xml:space="preserve">Pattern: </w:t>
            </w:r>
            <w:r>
              <w:t>#1 (verify the durable artifact from a fresh state) and #3 (don't assume the verdict of an item you didn't definitively probe — it was a shell, not the 404 an assumption would have given).</w:t>
            </w:r>
          </w:p>
        </w:tc>
      </w:tr>
    </w:tbl>
    <w:p w14:paraId="0649035A" w14:textId="77777777" w:rsidR="00F33557" w:rsidRDefault="00F3355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5A791D03" w14:textId="77777777">
        <w:tblPrEx>
          <w:tblCellMar>
            <w:top w:w="0" w:type="dxa"/>
            <w:bottom w:w="0" w:type="dxa"/>
          </w:tblCellMar>
        </w:tblPrEx>
        <w:tc>
          <w:tcPr>
            <w:tcW w:w="9360" w:type="dxa"/>
            <w:tcBorders>
              <w:top w:val="single" w:sz="1" w:space="0" w:color="C9D6E5"/>
              <w:left w:val="single" w:sz="1" w:space="0" w:color="C9D6E5"/>
              <w:bottom w:val="single" w:sz="1" w:space="0" w:color="C9D6E5"/>
              <w:right w:val="single" w:sz="1" w:space="0" w:color="C9D6E5"/>
            </w:tcBorders>
            <w:shd w:val="clear" w:color="auto" w:fill="F7FAFD"/>
            <w:tcMar>
              <w:top w:w="120" w:type="dxa"/>
              <w:left w:w="160" w:type="dxa"/>
              <w:bottom w:w="120" w:type="dxa"/>
              <w:right w:w="160" w:type="dxa"/>
            </w:tcMar>
          </w:tcPr>
          <w:p w14:paraId="3A12460C" w14:textId="77777777" w:rsidR="00F33557" w:rsidRDefault="00000000">
            <w:pPr>
              <w:spacing w:after="80"/>
            </w:pPr>
            <w:r>
              <w:rPr>
                <w:b/>
                <w:bCs/>
                <w:color w:val="2E5B8A"/>
                <w:sz w:val="23"/>
                <w:szCs w:val="23"/>
              </w:rPr>
              <w:t>Identifier-scheme false-404s: a real bug, then a near over-correction</w:t>
            </w:r>
          </w:p>
          <w:p w14:paraId="6A161698" w14:textId="77777777" w:rsidR="00F33557" w:rsidRDefault="00000000">
            <w:pPr>
              <w:spacing w:after="70"/>
            </w:pPr>
            <w:r>
              <w:rPr>
                <w:b/>
                <w:bCs/>
              </w:rPr>
              <w:t xml:space="preserve">What: </w:t>
            </w:r>
            <w:r>
              <w:t>Two-sided. (a) Genuine bug: National Archives cite some pre-modern Acts by name-slug (aep/Hen3/52/stat-marlbr) while legislation.gov.uk serves them under chapter-coded URIs (aep/Hen3c23/52/23); the disjoint schemes made famous statutes (Magna Carta, Marlborough) wrongly verdict 'not digitised' and wrongly miss the corpus matcher. (b) Near over-correction: a pattern-match estimated the bug at ~61% of the frontier (~31k items), nearly triggering a disproportionate full canonicaliser build.</w:t>
            </w:r>
          </w:p>
          <w:p w14:paraId="6C6DB60F" w14:textId="77777777" w:rsidR="00F33557" w:rsidRDefault="00000000">
            <w:pPr>
              <w:spacing w:after="70"/>
            </w:pPr>
            <w:r>
              <w:rPr>
                <w:b/>
                <w:bCs/>
              </w:rPr>
              <w:t xml:space="preserve">What prompted the catches: </w:t>
            </w:r>
            <w:r>
              <w:t>(a) Spot-checking the first 'not_digitised' medieval item revealed the false-404. (b) The 'validate the premise before building' gate — checking the 31k against actual corpus data — showed the chapter-code bug only bites the medieval aep-style statutes; numeric-regnal items (ukla/Geo3/41/100) share the corpus scheme and are genuine gaps, not scheme casualties.</w:t>
            </w:r>
          </w:p>
          <w:p w14:paraId="47EE4C6B" w14:textId="77777777" w:rsidR="00F33557" w:rsidRDefault="00000000">
            <w:pPr>
              <w:spacing w:after="70"/>
            </w:pPr>
            <w:r>
              <w:rPr>
                <w:b/>
                <w:bCs/>
              </w:rPr>
              <w:t xml:space="preserve">Resolution: </w:t>
            </w:r>
            <w:r>
              <w:t>Scope corrected from ~61%/31k to ~0.3%/140. Built a targeted 17-statute / 44-row slug-override patch (not a full canonicaliser); 2 review items web-confirmed as genuine gaps. Methodology note documents the limitation with the strict 'not ingested ≠ not digitised' distinction. Also corrected our OWN earlier mis-diagnosis: the Geo5/15-16/20 ranged-year was NOT the bug — the unreconciled chapter-code token was.</w:t>
            </w:r>
          </w:p>
          <w:p w14:paraId="1BF67F2A" w14:textId="77777777" w:rsidR="00F33557" w:rsidRDefault="00000000">
            <w:pPr>
              <w:spacing w:after="70"/>
            </w:pPr>
            <w:r>
              <w:rPr>
                <w:b/>
                <w:bCs/>
              </w:rPr>
              <w:t xml:space="preserve">Pattern: </w:t>
            </w:r>
            <w:r>
              <w:t>#3 (named ≠ actual — a 'not digitised' verdict that was false) AND #5 (verify the premise before building — a vivid example, Magna Carta, tempted a 61% over-generalisation that real data corrected to 0.3%). Both directions of error in one episode: nearly missing the bug, then nearly over-investing in it.</w:t>
            </w:r>
          </w:p>
        </w:tc>
      </w:tr>
    </w:tbl>
    <w:p w14:paraId="735AE31D" w14:textId="77777777" w:rsidR="00F33557" w:rsidRDefault="00F3355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54E90490" w14:textId="77777777">
        <w:tblPrEx>
          <w:tblCellMar>
            <w:top w:w="0" w:type="dxa"/>
            <w:bottom w:w="0" w:type="dxa"/>
          </w:tblCellMar>
        </w:tblPrEx>
        <w:tc>
          <w:tcPr>
            <w:tcW w:w="9360" w:type="dxa"/>
            <w:tcBorders>
              <w:top w:val="single" w:sz="1" w:space="0" w:color="C9D6E5"/>
              <w:left w:val="single" w:sz="1" w:space="0" w:color="C9D6E5"/>
              <w:bottom w:val="single" w:sz="1" w:space="0" w:color="C9D6E5"/>
              <w:right w:val="single" w:sz="1" w:space="0" w:color="C9D6E5"/>
            </w:tcBorders>
            <w:shd w:val="clear" w:color="auto" w:fill="F7FAFD"/>
            <w:tcMar>
              <w:top w:w="120" w:type="dxa"/>
              <w:left w:w="160" w:type="dxa"/>
              <w:bottom w:w="120" w:type="dxa"/>
              <w:right w:w="160" w:type="dxa"/>
            </w:tcMar>
          </w:tcPr>
          <w:p w14:paraId="00C7C660" w14:textId="77777777" w:rsidR="00F33557" w:rsidRDefault="00000000">
            <w:pPr>
              <w:spacing w:after="80"/>
            </w:pPr>
            <w:r>
              <w:rPr>
                <w:b/>
                <w:bCs/>
                <w:color w:val="2E5B8A"/>
                <w:sz w:val="23"/>
                <w:szCs w:val="23"/>
              </w:rPr>
              <w:lastRenderedPageBreak/>
              <w:t>Source-priority near-miss: “best-collection only” reversed</w:t>
            </w:r>
          </w:p>
          <w:p w14:paraId="0B1207A7" w14:textId="77777777" w:rsidR="00F33557" w:rsidRDefault="00000000">
            <w:pPr>
              <w:spacing w:after="70"/>
            </w:pPr>
            <w:r>
              <w:rPr>
                <w:b/>
                <w:bCs/>
              </w:rPr>
              <w:t xml:space="preserve">What: </w:t>
            </w:r>
            <w:r>
              <w:t>Nearly simplified the corpus parse source to best-collection alone, dropping revised-current, on the basis that revised-current is a 99.9% subset of best-collection.</w:t>
            </w:r>
          </w:p>
          <w:p w14:paraId="4DBC3CAD" w14:textId="77777777" w:rsidR="00F33557" w:rsidRDefault="00000000">
            <w:pPr>
              <w:spacing w:after="70"/>
            </w:pPr>
            <w:r>
              <w:rPr>
                <w:b/>
                <w:bCs/>
              </w:rPr>
              <w:t xml:space="preserve">What prompted the catch: </w:t>
            </w:r>
            <w:r>
              <w:t>Checking the small remainder rather than accepting “near-perfect subset.” Two findings reversed it: (a) 7 in-force retained-EU items exist only in revised-current — best-collection-only would have orphaned them; (b) best-collection holds only as-made text for ~51k SIs, and ~5,822 have a revised version only in revised-current, ~27% materially different — so best-collection-only would have silently served pre-amendment text for a chunk of the SI corpus.</w:t>
            </w:r>
          </w:p>
          <w:p w14:paraId="4970A83A" w14:textId="77777777" w:rsidR="00F33557" w:rsidRDefault="00000000">
            <w:pPr>
              <w:spacing w:after="70"/>
            </w:pPr>
            <w:r>
              <w:rPr>
                <w:b/>
                <w:bCs/>
              </w:rPr>
              <w:t xml:space="preserve">Resolution: </w:t>
            </w:r>
            <w:r>
              <w:t>Reversed to revised-current PRIMARY → best-collection's revised where RC lacks it → made/enacted only where no revision exists. Read variants from files, not the stale index.</w:t>
            </w:r>
          </w:p>
          <w:p w14:paraId="01F2A678" w14:textId="77777777" w:rsidR="00F33557" w:rsidRDefault="00000000">
            <w:pPr>
              <w:spacing w:after="70"/>
            </w:pPr>
            <w:r>
              <w:rPr>
                <w:b/>
                <w:bCs/>
              </w:rPr>
              <w:t xml:space="preserve">Pattern: </w:t>
            </w:r>
            <w:r>
              <w:t>#4 (the headline glosses a remainder that matters) and #2 (the SI staleness was invisible until the non-obvious subset was checked).</w:t>
            </w:r>
          </w:p>
        </w:tc>
      </w:tr>
    </w:tbl>
    <w:p w14:paraId="0A60E049" w14:textId="77777777" w:rsidR="00F33557" w:rsidRDefault="00F3355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46E74678" w14:textId="77777777">
        <w:tblPrEx>
          <w:tblCellMar>
            <w:top w:w="0" w:type="dxa"/>
            <w:bottom w:w="0" w:type="dxa"/>
          </w:tblCellMar>
        </w:tblPrEx>
        <w:tc>
          <w:tcPr>
            <w:tcW w:w="9360" w:type="dxa"/>
            <w:tcBorders>
              <w:top w:val="single" w:sz="1" w:space="0" w:color="C9D6E5"/>
              <w:left w:val="single" w:sz="1" w:space="0" w:color="C9D6E5"/>
              <w:bottom w:val="single" w:sz="1" w:space="0" w:color="C9D6E5"/>
              <w:right w:val="single" w:sz="1" w:space="0" w:color="C9D6E5"/>
            </w:tcBorders>
            <w:shd w:val="clear" w:color="auto" w:fill="F7FAFD"/>
            <w:tcMar>
              <w:top w:w="120" w:type="dxa"/>
              <w:left w:w="160" w:type="dxa"/>
              <w:bottom w:w="120" w:type="dxa"/>
              <w:right w:w="160" w:type="dxa"/>
            </w:tcMar>
          </w:tcPr>
          <w:p w14:paraId="4188FE13" w14:textId="77777777" w:rsidR="00F33557" w:rsidRDefault="00000000">
            <w:pPr>
              <w:spacing w:after="80"/>
            </w:pPr>
            <w:r>
              <w:rPr>
                <w:b/>
                <w:bCs/>
                <w:color w:val="2E5B8A"/>
                <w:sz w:val="23"/>
                <w:szCs w:val="23"/>
              </w:rPr>
              <w:t>The pipeline reframe (a redesign, not a mistake)</w:t>
            </w:r>
          </w:p>
          <w:p w14:paraId="3F880987" w14:textId="77777777" w:rsidR="00F33557" w:rsidRDefault="00000000">
            <w:pPr>
              <w:spacing w:after="70"/>
            </w:pPr>
            <w:r>
              <w:rPr>
                <w:b/>
                <w:bCs/>
              </w:rPr>
              <w:t xml:space="preserve">What: </w:t>
            </w:r>
            <w:r>
              <w:t>Stopped trying to fix the rule-based classifier. Recognised the architecture should be: high-recall candidate-extraction pipeline → Claude + Gemini independently classify against the rubric → human adjudicates disagreements → validated labels train Legal-BERT (the production classifier).</w:t>
            </w:r>
          </w:p>
          <w:p w14:paraId="60E245B9" w14:textId="77777777" w:rsidR="00F33557" w:rsidRDefault="00000000">
            <w:pPr>
              <w:spacing w:after="70"/>
            </w:pPr>
            <w:r>
              <w:rPr>
                <w:b/>
                <w:bCs/>
              </w:rPr>
              <w:t xml:space="preserve">What prompted it: </w:t>
            </w:r>
            <w:r>
              <w:t>Asking what actually transfers to the production model. The rule-based classifier's keyword/spaCy internals are disposable; Legal-BERT learns from the training labels, not from analyser.py's code. So effort belonged on the rubric, the training data, the candidate filter's recall, and the eval set — not on polishing a classifier being retired.</w:t>
            </w:r>
          </w:p>
          <w:p w14:paraId="6399C78F" w14:textId="77777777" w:rsidR="00F33557" w:rsidRDefault="00000000">
            <w:pPr>
              <w:spacing w:after="70"/>
            </w:pPr>
            <w:r>
              <w:rPr>
                <w:b/>
                <w:bCs/>
              </w:rPr>
              <w:t xml:space="preserve">Resolution: </w:t>
            </w:r>
            <w:r>
              <w:t>Built extract_candidates.py (pipeline only); retired the classification layer. Dropped, as consequences: the trf upgrade, the Cat 2/Cat 5 classifier fixes, the tag migration.</w:t>
            </w:r>
          </w:p>
          <w:p w14:paraId="1D89B4BC" w14:textId="77777777" w:rsidR="00F33557" w:rsidRDefault="00000000">
            <w:pPr>
              <w:spacing w:after="70"/>
            </w:pPr>
            <w:r>
              <w:rPr>
                <w:b/>
                <w:bCs/>
              </w:rPr>
              <w:t xml:space="preserve">Pattern: </w:t>
            </w:r>
            <w:r>
              <w:t>A clean course-correction. The lesson: identify the disposable-vs-transferable boundary early, before investing in interim tooling.</w:t>
            </w:r>
          </w:p>
        </w:tc>
      </w:tr>
    </w:tbl>
    <w:p w14:paraId="31874FF2" w14:textId="77777777" w:rsidR="00F33557" w:rsidRDefault="00F3355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31BEF418" w14:textId="77777777">
        <w:tblPrEx>
          <w:tblCellMar>
            <w:top w:w="0" w:type="dxa"/>
            <w:bottom w:w="0" w:type="dxa"/>
          </w:tblCellMar>
        </w:tblPrEx>
        <w:tc>
          <w:tcPr>
            <w:tcW w:w="9360" w:type="dxa"/>
            <w:tcBorders>
              <w:top w:val="single" w:sz="1" w:space="0" w:color="C9D6E5"/>
              <w:left w:val="single" w:sz="1" w:space="0" w:color="C9D6E5"/>
              <w:bottom w:val="single" w:sz="1" w:space="0" w:color="C9D6E5"/>
              <w:right w:val="single" w:sz="1" w:space="0" w:color="C9D6E5"/>
            </w:tcBorders>
            <w:shd w:val="clear" w:color="auto" w:fill="F7FAFD"/>
            <w:tcMar>
              <w:top w:w="120" w:type="dxa"/>
              <w:left w:w="160" w:type="dxa"/>
              <w:bottom w:w="120" w:type="dxa"/>
              <w:right w:w="160" w:type="dxa"/>
            </w:tcMar>
          </w:tcPr>
          <w:p w14:paraId="2F12D566" w14:textId="77777777" w:rsidR="00F33557" w:rsidRDefault="00000000">
            <w:pPr>
              <w:spacing w:after="80"/>
            </w:pPr>
            <w:r>
              <w:rPr>
                <w:b/>
                <w:bCs/>
                <w:color w:val="2E5B8A"/>
                <w:sz w:val="23"/>
                <w:szCs w:val="23"/>
              </w:rPr>
              <w:t>Candidate-filter recall gaps (caught by empirical ground-truth check)</w:t>
            </w:r>
          </w:p>
          <w:p w14:paraId="009185C5" w14:textId="77777777" w:rsidR="00F33557" w:rsidRDefault="00000000">
            <w:pPr>
              <w:spacing w:after="70"/>
            </w:pPr>
            <w:r>
              <w:rPr>
                <w:b/>
                <w:bCs/>
              </w:rPr>
              <w:t xml:space="preserve">What: </w:t>
            </w:r>
            <w:r>
              <w:t>The candidate filter was precision-tuned and silently dropped genuine burdens in several places; the cue inventory had real holes (rights/entitlements, void/contracting-out, Victorian “shall forfeit”, “comply with”, “require X to”, enforcement-submit).</w:t>
            </w:r>
          </w:p>
          <w:p w14:paraId="69C596A1" w14:textId="77777777" w:rsidR="00F33557" w:rsidRDefault="00000000">
            <w:pPr>
              <w:spacing w:after="70"/>
            </w:pPr>
            <w:r>
              <w:rPr>
                <w:b/>
                <w:bCs/>
              </w:rPr>
              <w:t xml:space="preserve">What prompted the catch: </w:t>
            </w:r>
            <w:r>
              <w:t>Running the filter over ground-truth Acts where the full burden set was already known, and confirming it surfaced all of them — rather than reasoning about completeness introspectively. The introspective cue audit alone would have shipped with at least four silent holes.</w:t>
            </w:r>
          </w:p>
          <w:p w14:paraId="5C3083F1" w14:textId="77777777" w:rsidR="00F33557" w:rsidRDefault="00000000">
            <w:pPr>
              <w:spacing w:after="70"/>
            </w:pPr>
            <w:r>
              <w:rPr>
                <w:b/>
                <w:bCs/>
              </w:rPr>
              <w:t xml:space="preserve">Resolution: </w:t>
            </w:r>
            <w:r>
              <w:t>Converted precision-drops to “surface and flag”; added the missing cues; established that the candidate filter must be high-recall (over-inclusion is safe; silent drops are uncorrectable false negatives that set the project's measurement ceiling).</w:t>
            </w:r>
          </w:p>
          <w:p w14:paraId="4C42979B" w14:textId="77777777" w:rsidR="00F33557" w:rsidRDefault="00000000">
            <w:pPr>
              <w:spacing w:after="70"/>
            </w:pPr>
            <w:r>
              <w:rPr>
                <w:b/>
                <w:bCs/>
              </w:rPr>
              <w:t xml:space="preserve">Pattern: </w:t>
            </w:r>
            <w:r>
              <w:t>#2 (recall can't be measured from what surfaces — you need ground truth of what should surface).</w:t>
            </w:r>
          </w:p>
        </w:tc>
      </w:tr>
    </w:tbl>
    <w:p w14:paraId="05A70DF2" w14:textId="77777777" w:rsidR="00F33557" w:rsidRDefault="00F3355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6409BAED" w14:textId="77777777">
        <w:tblPrEx>
          <w:tblCellMar>
            <w:top w:w="0" w:type="dxa"/>
            <w:bottom w:w="0" w:type="dxa"/>
          </w:tblCellMar>
        </w:tblPrEx>
        <w:tc>
          <w:tcPr>
            <w:tcW w:w="9360" w:type="dxa"/>
            <w:tcBorders>
              <w:top w:val="single" w:sz="1" w:space="0" w:color="C9D6E5"/>
              <w:left w:val="single" w:sz="1" w:space="0" w:color="C9D6E5"/>
              <w:bottom w:val="single" w:sz="1" w:space="0" w:color="C9D6E5"/>
              <w:right w:val="single" w:sz="1" w:space="0" w:color="C9D6E5"/>
            </w:tcBorders>
            <w:shd w:val="clear" w:color="auto" w:fill="F7FAFD"/>
            <w:tcMar>
              <w:top w:w="120" w:type="dxa"/>
              <w:left w:w="160" w:type="dxa"/>
              <w:bottom w:w="120" w:type="dxa"/>
              <w:right w:w="160" w:type="dxa"/>
            </w:tcMar>
          </w:tcPr>
          <w:p w14:paraId="74CEAC7E" w14:textId="77777777" w:rsidR="00F33557" w:rsidRDefault="00000000">
            <w:pPr>
              <w:spacing w:after="80"/>
            </w:pPr>
            <w:r>
              <w:rPr>
                <w:b/>
                <w:bCs/>
                <w:color w:val="2E5B8A"/>
                <w:sz w:val="23"/>
                <w:szCs w:val="23"/>
              </w:rPr>
              <w:t>Missing categories in the code</w:t>
            </w:r>
          </w:p>
          <w:p w14:paraId="37BC44BA" w14:textId="77777777" w:rsidR="00F33557" w:rsidRDefault="00000000">
            <w:pPr>
              <w:spacing w:after="70"/>
            </w:pPr>
            <w:r>
              <w:rPr>
                <w:b/>
                <w:bCs/>
              </w:rPr>
              <w:t xml:space="preserve">What: </w:t>
            </w:r>
            <w:r>
              <w:t>Two of the six taxonomy categories were not implemented. Cat 2 (conditional direct) was absent, silently absorbed into direct. Cat 5 (conditional burden) existed as a tag but caught the wrong thing — purpose-clause/“is to” statements, several of which the rubric excludes as non-operative.</w:t>
            </w:r>
          </w:p>
          <w:p w14:paraId="4CA55D39" w14:textId="77777777" w:rsidR="00F33557" w:rsidRDefault="00000000">
            <w:pPr>
              <w:spacing w:after="70"/>
            </w:pPr>
            <w:r>
              <w:rPr>
                <w:b/>
                <w:bCs/>
              </w:rPr>
              <w:t xml:space="preserve">What prompted the catch: </w:t>
            </w:r>
            <w:r>
              <w:t>A counting diagnostic, run for a different reason (the tag-migration scope), surfaced it incidentally.</w:t>
            </w:r>
          </w:p>
          <w:p w14:paraId="7EF642BF" w14:textId="77777777" w:rsidR="00F33557" w:rsidRDefault="00000000">
            <w:pPr>
              <w:spacing w:after="70"/>
            </w:pPr>
            <w:r>
              <w:rPr>
                <w:b/>
                <w:bCs/>
              </w:rPr>
              <w:t xml:space="preserve">Resolution: </w:t>
            </w:r>
            <w:r>
              <w:t>Largely mooted by the reframe — the candidate filter only needs to surface these sentences; the LLM+human layer assigns the category. No keyword heuristic needed for judgement categories.</w:t>
            </w:r>
          </w:p>
          <w:p w14:paraId="486BA0EF" w14:textId="77777777" w:rsidR="00F33557" w:rsidRDefault="00000000">
            <w:pPr>
              <w:spacing w:after="70"/>
            </w:pPr>
            <w:r>
              <w:rPr>
                <w:b/>
                <w:bCs/>
              </w:rPr>
              <w:t xml:space="preserve">Pattern: </w:t>
            </w:r>
            <w:r>
              <w:t>#3 (the rubric and the code had silently diverged; the code didn't express the taxonomy the docs described).</w:t>
            </w:r>
          </w:p>
        </w:tc>
      </w:tr>
    </w:tbl>
    <w:p w14:paraId="64550896" w14:textId="77777777" w:rsidR="00F33557" w:rsidRDefault="00F3355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106C6981" w14:textId="77777777">
        <w:tblPrEx>
          <w:tblCellMar>
            <w:top w:w="0" w:type="dxa"/>
            <w:bottom w:w="0" w:type="dxa"/>
          </w:tblCellMar>
        </w:tblPrEx>
        <w:tc>
          <w:tcPr>
            <w:tcW w:w="9360" w:type="dxa"/>
            <w:tcBorders>
              <w:top w:val="single" w:sz="1" w:space="0" w:color="C9D6E5"/>
              <w:left w:val="single" w:sz="1" w:space="0" w:color="C9D6E5"/>
              <w:bottom w:val="single" w:sz="1" w:space="0" w:color="C9D6E5"/>
              <w:right w:val="single" w:sz="1" w:space="0" w:color="C9D6E5"/>
            </w:tcBorders>
            <w:shd w:val="clear" w:color="auto" w:fill="F7FAFD"/>
            <w:tcMar>
              <w:top w:w="120" w:type="dxa"/>
              <w:left w:w="160" w:type="dxa"/>
              <w:bottom w:w="120" w:type="dxa"/>
              <w:right w:w="160" w:type="dxa"/>
            </w:tcMar>
          </w:tcPr>
          <w:p w14:paraId="2D375150" w14:textId="77777777" w:rsidR="00F33557" w:rsidRDefault="00000000">
            <w:pPr>
              <w:spacing w:after="80"/>
            </w:pPr>
            <w:r>
              <w:rPr>
                <w:b/>
                <w:bCs/>
                <w:color w:val="2E5B8A"/>
                <w:sz w:val="23"/>
                <w:szCs w:val="23"/>
              </w:rPr>
              <w:t>Count column undercount</w:t>
            </w:r>
          </w:p>
          <w:p w14:paraId="3E373657" w14:textId="77777777" w:rsidR="00F33557" w:rsidRDefault="00000000">
            <w:pPr>
              <w:spacing w:after="70"/>
            </w:pPr>
            <w:r>
              <w:rPr>
                <w:b/>
                <w:bCs/>
              </w:rPr>
              <w:t xml:space="preserve">What: </w:t>
            </w:r>
            <w:r>
              <w:t>private_actor_count summed only the Direct leaf, not the parent (direct + implied + conditional) — understating the parent by ~2.6% on the benchmark — and the column name implied “total private actor burden” when it meant “direct only.” Also a double-count trap: implied_burden_count already includes implied_burden_active.</w:t>
            </w:r>
          </w:p>
          <w:p w14:paraId="672C7DFF" w14:textId="77777777" w:rsidR="00F33557" w:rsidRDefault="00000000">
            <w:pPr>
              <w:spacing w:after="70"/>
            </w:pPr>
            <w:r>
              <w:rPr>
                <w:b/>
                <w:bCs/>
              </w:rPr>
              <w:t xml:space="preserve">What prompted the catch: </w:t>
            </w:r>
            <w:r>
              <w:t>Read-only investigation of what the count columns actually summed, before committing to a naming decision.</w:t>
            </w:r>
          </w:p>
          <w:p w14:paraId="30EA8A09" w14:textId="77777777" w:rsidR="00F33557" w:rsidRDefault="00000000">
            <w:pPr>
              <w:spacing w:after="70"/>
            </w:pPr>
            <w:r>
              <w:rPr>
                <w:b/>
                <w:bCs/>
              </w:rPr>
              <w:t xml:space="preserve">Resolution: </w:t>
            </w:r>
            <w:r>
              <w:t>Add a genuine parent-total column (respecting the no-double-count formula); rename the Direct-leaf column honestly. (Queued; mostly mooted by the reframe since the classification output is retired.)</w:t>
            </w:r>
          </w:p>
          <w:p w14:paraId="30BE526A" w14:textId="77777777" w:rsidR="00F33557" w:rsidRDefault="00000000">
            <w:pPr>
              <w:spacing w:after="70"/>
            </w:pPr>
            <w:r>
              <w:rPr>
                <w:b/>
                <w:bCs/>
              </w:rPr>
              <w:t xml:space="preserve">Pattern: </w:t>
            </w:r>
            <w:r>
              <w:t>#3 (named ≠ actual — verify what an aggregate computes, not what it's called).</w:t>
            </w:r>
          </w:p>
        </w:tc>
      </w:tr>
    </w:tbl>
    <w:p w14:paraId="2A1827CC" w14:textId="77777777" w:rsidR="00F33557" w:rsidRDefault="00F3355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7FE2E55C" w14:textId="77777777">
        <w:tblPrEx>
          <w:tblCellMar>
            <w:top w:w="0" w:type="dxa"/>
            <w:bottom w:w="0" w:type="dxa"/>
          </w:tblCellMar>
        </w:tblPrEx>
        <w:tc>
          <w:tcPr>
            <w:tcW w:w="9360" w:type="dxa"/>
            <w:tcBorders>
              <w:top w:val="single" w:sz="1" w:space="0" w:color="C9D6E5"/>
              <w:left w:val="single" w:sz="1" w:space="0" w:color="C9D6E5"/>
              <w:bottom w:val="single" w:sz="1" w:space="0" w:color="C9D6E5"/>
              <w:right w:val="single" w:sz="1" w:space="0" w:color="C9D6E5"/>
            </w:tcBorders>
            <w:shd w:val="clear" w:color="auto" w:fill="F7FAFD"/>
            <w:tcMar>
              <w:top w:w="120" w:type="dxa"/>
              <w:left w:w="160" w:type="dxa"/>
              <w:bottom w:w="120" w:type="dxa"/>
              <w:right w:w="160" w:type="dxa"/>
            </w:tcMar>
          </w:tcPr>
          <w:p w14:paraId="7BBB7DD8" w14:textId="77777777" w:rsidR="00F33557" w:rsidRDefault="00000000">
            <w:pPr>
              <w:spacing w:after="80"/>
            </w:pPr>
            <w:r>
              <w:rPr>
                <w:b/>
                <w:bCs/>
                <w:color w:val="2E5B8A"/>
                <w:sz w:val="23"/>
                <w:szCs w:val="23"/>
              </w:rPr>
              <w:t>spaCy model assumption (sm vs trf)</w:t>
            </w:r>
          </w:p>
          <w:p w14:paraId="62D7C546" w14:textId="77777777" w:rsidR="00F33557" w:rsidRDefault="00000000">
            <w:pPr>
              <w:spacing w:after="70"/>
            </w:pPr>
            <w:r>
              <w:rPr>
                <w:b/>
                <w:bCs/>
              </w:rPr>
              <w:t xml:space="preserve">What: </w:t>
            </w:r>
            <w:r>
              <w:t>Briefly assumed/asserted the classifier was running the transformer parser (trf) when the rule-based analyser used en_core_web_sm. (Clarified: trf was always the next-phase / Legal-BERT plan, not the current rule-based setup.)</w:t>
            </w:r>
          </w:p>
          <w:p w14:paraId="0AB7E760" w14:textId="77777777" w:rsidR="00F33557" w:rsidRDefault="00000000">
            <w:pPr>
              <w:spacing w:after="70"/>
            </w:pPr>
            <w:r>
              <w:rPr>
                <w:b/>
                <w:bCs/>
              </w:rPr>
              <w:t xml:space="preserve">Resolution: </w:t>
            </w:r>
            <w:r>
              <w:t>Made the model a single configurable constant; ultimately mooted by the reframe (rule-based subject resolution retired).</w:t>
            </w:r>
          </w:p>
          <w:p w14:paraId="4C33F24A" w14:textId="77777777" w:rsidR="00F33557" w:rsidRDefault="00000000">
            <w:pPr>
              <w:spacing w:after="70"/>
            </w:pPr>
            <w:r>
              <w:rPr>
                <w:b/>
                <w:bCs/>
              </w:rPr>
              <w:t xml:space="preserve">Pattern: </w:t>
            </w:r>
            <w:r>
              <w:t>#3 (confirm what's actually running vs what's specified).</w:t>
            </w:r>
          </w:p>
        </w:tc>
      </w:tr>
    </w:tbl>
    <w:p w14:paraId="3E85EA84" w14:textId="77777777" w:rsidR="00F33557" w:rsidRDefault="00F3355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793D20A9" w14:textId="77777777">
        <w:tblPrEx>
          <w:tblCellMar>
            <w:top w:w="0" w:type="dxa"/>
            <w:bottom w:w="0" w:type="dxa"/>
          </w:tblCellMar>
        </w:tblPrEx>
        <w:tc>
          <w:tcPr>
            <w:tcW w:w="9360" w:type="dxa"/>
            <w:tcBorders>
              <w:top w:val="single" w:sz="1" w:space="0" w:color="C9D6E5"/>
              <w:left w:val="single" w:sz="1" w:space="0" w:color="C9D6E5"/>
              <w:bottom w:val="single" w:sz="1" w:space="0" w:color="C9D6E5"/>
              <w:right w:val="single" w:sz="1" w:space="0" w:color="C9D6E5"/>
            </w:tcBorders>
            <w:shd w:val="clear" w:color="auto" w:fill="F7FAFD"/>
            <w:tcMar>
              <w:top w:w="120" w:type="dxa"/>
              <w:left w:w="160" w:type="dxa"/>
              <w:bottom w:w="120" w:type="dxa"/>
              <w:right w:w="160" w:type="dxa"/>
            </w:tcMar>
          </w:tcPr>
          <w:p w14:paraId="3282999A" w14:textId="77777777" w:rsidR="00F33557" w:rsidRDefault="00000000">
            <w:pPr>
              <w:spacing w:after="80"/>
            </w:pPr>
            <w:r>
              <w:rPr>
                <w:b/>
                <w:bCs/>
                <w:color w:val="2E5B8A"/>
                <w:sz w:val="23"/>
                <w:szCs w:val="23"/>
              </w:rPr>
              <w:t>Classifier over-identification finding</w:t>
            </w:r>
          </w:p>
          <w:p w14:paraId="574B8601" w14:textId="77777777" w:rsidR="00F33557" w:rsidRDefault="00000000">
            <w:pPr>
              <w:spacing w:after="70"/>
            </w:pPr>
            <w:r>
              <w:rPr>
                <w:b/>
                <w:bCs/>
              </w:rPr>
              <w:t xml:space="preserve">What: </w:t>
            </w:r>
            <w:r>
              <w:t>TNA cross-check validation found the rule-based classifier over-identifies private-actor burden, dominated by non-operative modality errors. Estimated ~60% over-identification — but explicitly PRELIMINARY (small unflagged sample, wide CI).</w:t>
            </w:r>
          </w:p>
          <w:p w14:paraId="0760C522" w14:textId="77777777" w:rsidR="00F33557" w:rsidRDefault="00000000">
            <w:pPr>
              <w:spacing w:after="70"/>
            </w:pPr>
            <w:r>
              <w:rPr>
                <w:b/>
                <w:bCs/>
              </w:rPr>
              <w:t xml:space="preserve">What prompted the catch: </w:t>
            </w:r>
            <w:r>
              <w:t>Reviewing the unflagged sample, not just the flagged set. Also found: the TNA cross-check is structurally blind to non-operative modality errors (no public-</w:t>
            </w:r>
            <w:r>
              <w:lastRenderedPageBreak/>
              <w:t>body row to disagree with), so it understates the true error — and TNA's own Claude-generated dataset shared the same blind spot.</w:t>
            </w:r>
          </w:p>
          <w:p w14:paraId="26776AFE" w14:textId="77777777" w:rsidR="00F33557" w:rsidRDefault="00000000">
            <w:pPr>
              <w:spacing w:after="70"/>
            </w:pPr>
            <w:r>
              <w:rPr>
                <w:b/>
                <w:bCs/>
              </w:rPr>
              <w:t xml:space="preserve">Resolution: </w:t>
            </w:r>
            <w:r>
              <w:t>Recorded as a preliminary qualitative finding only — never as an established figure. Motivates the trained classifier and the high-recall + human-validation design.</w:t>
            </w:r>
          </w:p>
          <w:p w14:paraId="4E504A3F" w14:textId="77777777" w:rsidR="00F33557" w:rsidRDefault="00000000">
            <w:pPr>
              <w:spacing w:after="70"/>
            </w:pPr>
            <w:r>
              <w:rPr>
                <w:b/>
                <w:bCs/>
              </w:rPr>
              <w:t xml:space="preserve">Pattern: </w:t>
            </w:r>
            <w:r>
              <w:t>#2 (sample ≠ systematic; the trusted set needed checking too) and a circularity lesson: a model-generated cross-check can share the classifier's blind spot.</w:t>
            </w:r>
          </w:p>
        </w:tc>
      </w:tr>
    </w:tbl>
    <w:p w14:paraId="391AE210" w14:textId="77777777" w:rsidR="00F33557" w:rsidRDefault="00F3355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4A599060" w14:textId="77777777">
        <w:tblPrEx>
          <w:tblCellMar>
            <w:top w:w="0" w:type="dxa"/>
            <w:bottom w:w="0" w:type="dxa"/>
          </w:tblCellMar>
        </w:tblPrEx>
        <w:tc>
          <w:tcPr>
            <w:tcW w:w="9360" w:type="dxa"/>
            <w:tcBorders>
              <w:top w:val="single" w:sz="1" w:space="0" w:color="C9D6E5"/>
              <w:left w:val="single" w:sz="1" w:space="0" w:color="C9D6E5"/>
              <w:bottom w:val="single" w:sz="1" w:space="0" w:color="C9D6E5"/>
              <w:right w:val="single" w:sz="1" w:space="0" w:color="C9D6E5"/>
            </w:tcBorders>
            <w:shd w:val="clear" w:color="auto" w:fill="F7FAFD"/>
            <w:tcMar>
              <w:top w:w="120" w:type="dxa"/>
              <w:left w:w="160" w:type="dxa"/>
              <w:bottom w:w="120" w:type="dxa"/>
              <w:right w:w="160" w:type="dxa"/>
            </w:tcMar>
          </w:tcPr>
          <w:p w14:paraId="575F6497" w14:textId="77777777" w:rsidR="00F33557" w:rsidRDefault="00000000">
            <w:pPr>
              <w:spacing w:after="80"/>
            </w:pPr>
            <w:r>
              <w:rPr>
                <w:b/>
                <w:bCs/>
                <w:color w:val="2E5B8A"/>
                <w:sz w:val="23"/>
                <w:szCs w:val="23"/>
              </w:rPr>
              <w:t>Colab persistence failures</w:t>
            </w:r>
          </w:p>
          <w:p w14:paraId="01A2DA76" w14:textId="77777777" w:rsidR="00F33557" w:rsidRDefault="00000000">
            <w:pPr>
              <w:spacing w:after="70"/>
            </w:pPr>
            <w:r>
              <w:rPr>
                <w:b/>
                <w:bCs/>
              </w:rPr>
              <w:t xml:space="preserve">What: </w:t>
            </w:r>
            <w:r>
              <w:t>Snapshots logged “promoted ✓” but did not durably reach Drive; FUSE-mount writes didn't persist. Lost exhaustion-sweep progress twice (June 3–4), once from ~139,659 back to ~120,829.</w:t>
            </w:r>
          </w:p>
          <w:p w14:paraId="5FA3A008" w14:textId="77777777" w:rsidR="00F33557" w:rsidRDefault="00000000">
            <w:pPr>
              <w:spacing w:after="70"/>
            </w:pPr>
            <w:r>
              <w:rPr>
                <w:b/>
                <w:bCs/>
              </w:rPr>
              <w:t xml:space="preserve">Resolution: </w:t>
            </w:r>
            <w:r>
              <w:t>Rebuilt the sweep as a resumable system using Drive REST API uploads verified by md5 comparison — not FUSE mounts. Standalone auditor to verify durability from a fresh state.</w:t>
            </w:r>
          </w:p>
          <w:p w14:paraId="233F3178" w14:textId="77777777" w:rsidR="00F33557" w:rsidRDefault="00000000">
            <w:pPr>
              <w:spacing w:after="70"/>
            </w:pPr>
            <w:r>
              <w:rPr>
                <w:b/>
                <w:bCs/>
              </w:rPr>
              <w:t xml:space="preserve">Pattern: </w:t>
            </w:r>
            <w:r>
              <w:t>#1 (success signal ≠ verified reality — the “✓” was not durable persistence).</w:t>
            </w:r>
          </w:p>
        </w:tc>
      </w:tr>
    </w:tbl>
    <w:p w14:paraId="69048D29" w14:textId="77777777" w:rsidR="00F33557" w:rsidRDefault="00F3355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74754751" w14:textId="77777777">
        <w:tblPrEx>
          <w:tblCellMar>
            <w:top w:w="0" w:type="dxa"/>
            <w:bottom w:w="0" w:type="dxa"/>
          </w:tblCellMar>
        </w:tblPrEx>
        <w:tc>
          <w:tcPr>
            <w:tcW w:w="9360" w:type="dxa"/>
            <w:tcBorders>
              <w:top w:val="single" w:sz="1" w:space="0" w:color="C9D6E5"/>
              <w:left w:val="single" w:sz="1" w:space="0" w:color="C9D6E5"/>
              <w:bottom w:val="single" w:sz="1" w:space="0" w:color="C9D6E5"/>
              <w:right w:val="single" w:sz="1" w:space="0" w:color="C9D6E5"/>
            </w:tcBorders>
            <w:shd w:val="clear" w:color="auto" w:fill="F7FAFD"/>
            <w:tcMar>
              <w:top w:w="120" w:type="dxa"/>
              <w:left w:w="160" w:type="dxa"/>
              <w:bottom w:w="120" w:type="dxa"/>
              <w:right w:w="160" w:type="dxa"/>
            </w:tcMar>
          </w:tcPr>
          <w:p w14:paraId="6EA85960" w14:textId="77777777" w:rsidR="00F33557" w:rsidRDefault="00000000">
            <w:pPr>
              <w:spacing w:after="80"/>
            </w:pPr>
            <w:r>
              <w:rPr>
                <w:b/>
                <w:bCs/>
                <w:color w:val="2E5B8A"/>
                <w:sz w:val="23"/>
                <w:szCs w:val="23"/>
              </w:rPr>
              <w:t>The 100%-retrieval overclaim</w:t>
            </w:r>
          </w:p>
          <w:p w14:paraId="4B799EE7" w14:textId="77777777" w:rsidR="00F33557" w:rsidRDefault="00000000">
            <w:pPr>
              <w:spacing w:after="70"/>
            </w:pPr>
            <w:r>
              <w:rPr>
                <w:b/>
                <w:bCs/>
              </w:rPr>
              <w:t xml:space="preserve">What: </w:t>
            </w:r>
            <w:r>
              <w:t>A “100% retrieval” / completeness claim was published before full validation. (Verify and soften this framing if the real history was more defensible.)</w:t>
            </w:r>
          </w:p>
          <w:p w14:paraId="13D1D478" w14:textId="77777777" w:rsidR="00F33557" w:rsidRDefault="00000000">
            <w:pPr>
              <w:spacing w:after="70"/>
            </w:pPr>
            <w:r>
              <w:rPr>
                <w:b/>
                <w:bCs/>
              </w:rPr>
              <w:t xml:space="preserve">What prompted the catch: </w:t>
            </w:r>
            <w:r>
              <w:t>A former DBT colleague (who worked on the legislation.gov.uk digitisation programme) pushed back on the gap between in-force and digitised figures.</w:t>
            </w:r>
          </w:p>
          <w:p w14:paraId="73D0BD2F" w14:textId="77777777" w:rsidR="00F33557" w:rsidRDefault="00000000">
            <w:pPr>
              <w:spacing w:after="70"/>
            </w:pPr>
            <w:r>
              <w:rPr>
                <w:b/>
                <w:bCs/>
              </w:rPr>
              <w:t xml:space="preserve">Resolution: </w:t>
            </w:r>
            <w:r>
              <w:t>Launched the systematic exhaustion sweep across seven endpoint types to establish, defensibly, what is recoverable vs structurally absent. The honest framing: exhaustive probing with stated results, not an absolute completeness claim.</w:t>
            </w:r>
          </w:p>
          <w:p w14:paraId="29F699C1" w14:textId="77777777" w:rsidR="00F33557" w:rsidRDefault="00000000">
            <w:pPr>
              <w:spacing w:after="70"/>
            </w:pPr>
            <w:r>
              <w:rPr>
                <w:b/>
                <w:bCs/>
              </w:rPr>
              <w:t xml:space="preserve">Pattern: </w:t>
            </w:r>
            <w:r>
              <w:t>#1 (a figure published before verification) — the original instance that named the discipline for everything after.</w:t>
            </w:r>
          </w:p>
        </w:tc>
      </w:tr>
    </w:tbl>
    <w:p w14:paraId="523DF632" w14:textId="77777777" w:rsidR="00F33557" w:rsidRDefault="00000000">
      <w:pPr>
        <w:pStyle w:val="Heading1"/>
      </w:pPr>
      <w:r>
        <w:t>How to use this log</w:t>
      </w:r>
    </w:p>
    <w:p w14:paraId="2E1ABB1A" w14:textId="77777777" w:rsidR="00F33557" w:rsidRDefault="00000000">
      <w:pPr>
        <w:pStyle w:val="ListParagraph"/>
        <w:numPr>
          <w:ilvl w:val="0"/>
          <w:numId w:val="3"/>
        </w:numPr>
        <w:spacing w:after="60"/>
      </w:pPr>
      <w:r>
        <w:t>Add an entry when a direction changes, an error is caught, or a decision is reversed. Date it; newest at top.</w:t>
      </w:r>
    </w:p>
    <w:p w14:paraId="52888D3D" w14:textId="77777777" w:rsidR="00F33557" w:rsidRDefault="00000000">
      <w:pPr>
        <w:pStyle w:val="ListParagraph"/>
        <w:numPr>
          <w:ilvl w:val="0"/>
          <w:numId w:val="3"/>
        </w:numPr>
        <w:spacing w:after="60"/>
      </w:pPr>
      <w:r>
        <w:t xml:space="preserve">Always fill the </w:t>
      </w:r>
      <w:r>
        <w:rPr>
          <w:b/>
          <w:bCs/>
        </w:rPr>
        <w:t>pattern</w:t>
      </w:r>
      <w:r>
        <w:t xml:space="preserve"> field — that's the transferable value.</w:t>
      </w:r>
    </w:p>
    <w:p w14:paraId="5B9F5139" w14:textId="77777777" w:rsidR="00F33557" w:rsidRDefault="00000000">
      <w:pPr>
        <w:pStyle w:val="ListParagraph"/>
        <w:numPr>
          <w:ilvl w:val="0"/>
          <w:numId w:val="3"/>
        </w:numPr>
        <w:spacing w:after="60"/>
      </w:pPr>
      <w:r>
        <w:t>Keep the tone factual. “Here's what changed and what it taught us,” not self-criticism.</w:t>
      </w:r>
    </w:p>
    <w:p w14:paraId="09FBDF69" w14:textId="77777777" w:rsidR="00F33557" w:rsidRDefault="00000000">
      <w:pPr>
        <w:pStyle w:val="ListParagraph"/>
        <w:numPr>
          <w:ilvl w:val="0"/>
          <w:numId w:val="3"/>
        </w:numPr>
        <w:spacing w:after="60"/>
      </w:pPr>
      <w:r>
        <w:t>Review the patterns section before major decisions (a corpus run, a published figure, a simplification that rests on “essentially all”, a build justified by one vivid example).</w:t>
      </w:r>
    </w:p>
    <w:sectPr w:rsidR="00F33557">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794894"/>
    <w:multiLevelType w:val="hybridMultilevel"/>
    <w:tmpl w:val="48566BE2"/>
    <w:lvl w:ilvl="0" w:tplc="2A8CBBB6">
      <w:start w:val="1"/>
      <w:numFmt w:val="bullet"/>
      <w:lvlText w:val="●"/>
      <w:lvlJc w:val="left"/>
      <w:pPr>
        <w:ind w:left="720" w:hanging="360"/>
      </w:pPr>
    </w:lvl>
    <w:lvl w:ilvl="1" w:tplc="A6B4D81C">
      <w:start w:val="1"/>
      <w:numFmt w:val="bullet"/>
      <w:lvlText w:val="○"/>
      <w:lvlJc w:val="left"/>
      <w:pPr>
        <w:ind w:left="1440" w:hanging="360"/>
      </w:pPr>
    </w:lvl>
    <w:lvl w:ilvl="2" w:tplc="4788902C">
      <w:start w:val="1"/>
      <w:numFmt w:val="bullet"/>
      <w:lvlText w:val="■"/>
      <w:lvlJc w:val="left"/>
      <w:pPr>
        <w:ind w:left="2160" w:hanging="360"/>
      </w:pPr>
    </w:lvl>
    <w:lvl w:ilvl="3" w:tplc="8618A95A">
      <w:start w:val="1"/>
      <w:numFmt w:val="bullet"/>
      <w:lvlText w:val="●"/>
      <w:lvlJc w:val="left"/>
      <w:pPr>
        <w:ind w:left="2880" w:hanging="360"/>
      </w:pPr>
    </w:lvl>
    <w:lvl w:ilvl="4" w:tplc="55F86AB0">
      <w:start w:val="1"/>
      <w:numFmt w:val="bullet"/>
      <w:lvlText w:val="○"/>
      <w:lvlJc w:val="left"/>
      <w:pPr>
        <w:ind w:left="3600" w:hanging="360"/>
      </w:pPr>
    </w:lvl>
    <w:lvl w:ilvl="5" w:tplc="7E5AB62C">
      <w:start w:val="1"/>
      <w:numFmt w:val="bullet"/>
      <w:lvlText w:val="■"/>
      <w:lvlJc w:val="left"/>
      <w:pPr>
        <w:ind w:left="4320" w:hanging="360"/>
      </w:pPr>
    </w:lvl>
    <w:lvl w:ilvl="6" w:tplc="5D0CFD82">
      <w:start w:val="1"/>
      <w:numFmt w:val="bullet"/>
      <w:lvlText w:val="●"/>
      <w:lvlJc w:val="left"/>
      <w:pPr>
        <w:ind w:left="5040" w:hanging="360"/>
      </w:pPr>
    </w:lvl>
    <w:lvl w:ilvl="7" w:tplc="2F9825BA">
      <w:start w:val="1"/>
      <w:numFmt w:val="bullet"/>
      <w:lvlText w:val="●"/>
      <w:lvlJc w:val="left"/>
      <w:pPr>
        <w:ind w:left="5760" w:hanging="360"/>
      </w:pPr>
    </w:lvl>
    <w:lvl w:ilvl="8" w:tplc="B7C0B2CE">
      <w:start w:val="1"/>
      <w:numFmt w:val="bullet"/>
      <w:lvlText w:val="●"/>
      <w:lvlJc w:val="left"/>
      <w:pPr>
        <w:ind w:left="6480" w:hanging="360"/>
      </w:pPr>
    </w:lvl>
  </w:abstractNum>
  <w:abstractNum w:abstractNumId="1" w15:restartNumberingAfterBreak="0">
    <w:nsid w:val="6ABF7E41"/>
    <w:multiLevelType w:val="hybridMultilevel"/>
    <w:tmpl w:val="CB809FD6"/>
    <w:lvl w:ilvl="0" w:tplc="6D1C3134">
      <w:start w:val="1"/>
      <w:numFmt w:val="bullet"/>
      <w:lvlText w:val="•"/>
      <w:lvlJc w:val="left"/>
      <w:pPr>
        <w:ind w:left="720" w:hanging="360"/>
      </w:pPr>
    </w:lvl>
    <w:lvl w:ilvl="1" w:tplc="FB4AE482">
      <w:numFmt w:val="decimal"/>
      <w:lvlText w:val=""/>
      <w:lvlJc w:val="left"/>
    </w:lvl>
    <w:lvl w:ilvl="2" w:tplc="EA4055B6">
      <w:numFmt w:val="decimal"/>
      <w:lvlText w:val=""/>
      <w:lvlJc w:val="left"/>
    </w:lvl>
    <w:lvl w:ilvl="3" w:tplc="B7FA93A0">
      <w:numFmt w:val="decimal"/>
      <w:lvlText w:val=""/>
      <w:lvlJc w:val="left"/>
    </w:lvl>
    <w:lvl w:ilvl="4" w:tplc="FB22EA4C">
      <w:numFmt w:val="decimal"/>
      <w:lvlText w:val=""/>
      <w:lvlJc w:val="left"/>
    </w:lvl>
    <w:lvl w:ilvl="5" w:tplc="2C682156">
      <w:numFmt w:val="decimal"/>
      <w:lvlText w:val=""/>
      <w:lvlJc w:val="left"/>
    </w:lvl>
    <w:lvl w:ilvl="6" w:tplc="5E92A410">
      <w:numFmt w:val="decimal"/>
      <w:lvlText w:val=""/>
      <w:lvlJc w:val="left"/>
    </w:lvl>
    <w:lvl w:ilvl="7" w:tplc="83FAA0B4">
      <w:numFmt w:val="decimal"/>
      <w:lvlText w:val=""/>
      <w:lvlJc w:val="left"/>
    </w:lvl>
    <w:lvl w:ilvl="8" w:tplc="AADC4740">
      <w:numFmt w:val="decimal"/>
      <w:lvlText w:val=""/>
      <w:lvlJc w:val="left"/>
    </w:lvl>
  </w:abstractNum>
  <w:abstractNum w:abstractNumId="2" w15:restartNumberingAfterBreak="0">
    <w:nsid w:val="78EE0B72"/>
    <w:multiLevelType w:val="hybridMultilevel"/>
    <w:tmpl w:val="9CAE5E70"/>
    <w:lvl w:ilvl="0" w:tplc="700CDCCC">
      <w:start w:val="1"/>
      <w:numFmt w:val="decimal"/>
      <w:lvlText w:val="%1."/>
      <w:lvlJc w:val="left"/>
      <w:pPr>
        <w:ind w:left="720" w:hanging="360"/>
      </w:pPr>
    </w:lvl>
    <w:lvl w:ilvl="1" w:tplc="F910725E">
      <w:numFmt w:val="decimal"/>
      <w:lvlText w:val=""/>
      <w:lvlJc w:val="left"/>
    </w:lvl>
    <w:lvl w:ilvl="2" w:tplc="EDCC44C8">
      <w:numFmt w:val="decimal"/>
      <w:lvlText w:val=""/>
      <w:lvlJc w:val="left"/>
    </w:lvl>
    <w:lvl w:ilvl="3" w:tplc="3304ACAC">
      <w:numFmt w:val="decimal"/>
      <w:lvlText w:val=""/>
      <w:lvlJc w:val="left"/>
    </w:lvl>
    <w:lvl w:ilvl="4" w:tplc="EDA092C2">
      <w:numFmt w:val="decimal"/>
      <w:lvlText w:val=""/>
      <w:lvlJc w:val="left"/>
    </w:lvl>
    <w:lvl w:ilvl="5" w:tplc="CB3C4F64">
      <w:numFmt w:val="decimal"/>
      <w:lvlText w:val=""/>
      <w:lvlJc w:val="left"/>
    </w:lvl>
    <w:lvl w:ilvl="6" w:tplc="1FC6412C">
      <w:numFmt w:val="decimal"/>
      <w:lvlText w:val=""/>
      <w:lvlJc w:val="left"/>
    </w:lvl>
    <w:lvl w:ilvl="7" w:tplc="91328EF0">
      <w:numFmt w:val="decimal"/>
      <w:lvlText w:val=""/>
      <w:lvlJc w:val="left"/>
    </w:lvl>
    <w:lvl w:ilvl="8" w:tplc="1DD4D352">
      <w:numFmt w:val="decimal"/>
      <w:lvlText w:val=""/>
      <w:lvlJc w:val="left"/>
    </w:lvl>
  </w:abstractNum>
  <w:num w:numId="1" w16cid:durableId="356547301">
    <w:abstractNumId w:val="0"/>
    <w:lvlOverride w:ilvl="0">
      <w:startOverride w:val="1"/>
    </w:lvlOverride>
  </w:num>
  <w:num w:numId="2" w16cid:durableId="2010132211">
    <w:abstractNumId w:val="2"/>
    <w:lvlOverride w:ilvl="0">
      <w:startOverride w:val="1"/>
    </w:lvlOverride>
  </w:num>
  <w:num w:numId="3" w16cid:durableId="188864615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3557"/>
    <w:rsid w:val="0030718E"/>
    <w:rsid w:val="00927BD5"/>
    <w:rsid w:val="00C47480"/>
    <w:rsid w:val="00D817D2"/>
    <w:rsid w:val="00F3355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F55941"/>
  <w15:docId w15:val="{5F3A581E-857E-4ED5-8FCE-BC1B72EA72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40"/>
      <w:outlineLvl w:val="0"/>
    </w:pPr>
    <w:rPr>
      <w:b/>
      <w:bCs/>
      <w:color w:val="2E5B8A"/>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6</Pages>
  <Words>2471</Words>
  <Characters>14088</Characters>
  <Application>Microsoft Office Word</Application>
  <DocSecurity>0</DocSecurity>
  <Lines>117</Lines>
  <Paragraphs>33</Paragraphs>
  <ScaleCrop>false</ScaleCrop>
  <Company/>
  <LinksUpToDate>false</LinksUpToDate>
  <CharactersWithSpaces>16526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Jethro Elsden</cp:lastModifiedBy>
  <cp:revision>4</cp:revision>
  <dcterms:created xsi:type="dcterms:W3CDTF">2026-06-15T21:34:00Z</dcterms:created>
  <dcterms:modified xsi:type="dcterms:W3CDTF">2026-06-15T21:41:00Z</dcterms:modified>
</cp:coreProperties>
</file>