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FE9E3" w14:textId="77777777" w:rsidR="00F33557" w:rsidRDefault="00000000">
      <w:pPr>
        <w:spacing w:after="40"/>
      </w:pPr>
      <w:r>
        <w:rPr>
          <w:b/>
          <w:bCs/>
          <w:color w:val="2E5B8A"/>
          <w:sz w:val="40"/>
          <w:szCs w:val="40"/>
        </w:rPr>
        <w:t>UK Regulatory Burden</w:t>
      </w:r>
    </w:p>
    <w:p w14:paraId="698CA2B2" w14:textId="77777777" w:rsidR="00F33557" w:rsidRDefault="00000000">
      <w:pPr>
        <w:spacing w:after="160"/>
      </w:pPr>
      <w:r>
        <w:rPr>
          <w:b/>
          <w:bCs/>
          <w:color w:val="333333"/>
          <w:sz w:val="30"/>
          <w:szCs w:val="30"/>
        </w:rPr>
        <w:t>Decision &amp; Correction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3557" w14:paraId="0EE06311" w14:textId="77777777">
        <w:tblPrEx>
          <w:tblCellMar>
            <w:top w:w="0" w:type="dxa"/>
            <w:bottom w:w="0" w:type="dxa"/>
          </w:tblCellMar>
        </w:tblPrEx>
        <w:tc>
          <w:tcPr>
            <w:tcW w:w="9360" w:type="dxa"/>
            <w:tcBorders>
              <w:top w:val="single" w:sz="4" w:space="0" w:color="2E5B8A"/>
              <w:left w:val="single" w:sz="4" w:space="0" w:color="2E5B8A"/>
              <w:bottom w:val="single" w:sz="4" w:space="0" w:color="2E5B8A"/>
              <w:right w:val="single" w:sz="4" w:space="0" w:color="2E5B8A"/>
            </w:tcBorders>
            <w:shd w:val="clear" w:color="auto" w:fill="FFF4E0"/>
            <w:tcMar>
              <w:top w:w="120" w:type="dxa"/>
              <w:left w:w="160" w:type="dxa"/>
              <w:bottom w:w="120" w:type="dxa"/>
              <w:right w:w="160" w:type="dxa"/>
            </w:tcMar>
          </w:tcPr>
          <w:p w14:paraId="534A82D2" w14:textId="7D7D87B3" w:rsidR="00F33557" w:rsidRDefault="00000000">
            <w:pPr>
              <w:spacing w:after="60"/>
            </w:pPr>
            <w:r>
              <w:rPr>
                <w:b/>
                <w:bCs/>
              </w:rPr>
              <w:t xml:space="preserve">Private working document. </w:t>
            </w:r>
            <w:r>
              <w:t>Keep local / git</w:t>
            </w:r>
            <w:r w:rsidR="00D817D2">
              <w:t>-</w:t>
            </w:r>
            <w:r w:rsidR="00927BD5">
              <w:t>c</w:t>
            </w:r>
            <w:r>
              <w:t>ignored — not for the public repo. The honest internal record of where the project changed direction, where errors were caught, and the recurring patterns behind them, so the next instance gets recognised early.</w:t>
            </w:r>
          </w:p>
          <w:p w14:paraId="6C898B4D" w14:textId="77777777" w:rsidR="00F33557" w:rsidRDefault="00000000">
            <w:pPr>
              <w:spacing w:after="60"/>
            </w:pPr>
            <w:r>
              <w:rPr>
                <w:i/>
                <w:iCs/>
              </w:rPr>
              <w:t>Framing: most entries are not failures. Many are course-corrections — the normal process of a research project discovering its own requirements. A few are genuine errors caught before they did damage. Both are recorded plainly, because the discipline of writing them down is what makes the patterns visible.</w:t>
            </w:r>
          </w:p>
          <w:p w14:paraId="73B20114" w14:textId="77777777" w:rsidR="00F33557" w:rsidRDefault="00000000">
            <w:pPr>
              <w:spacing w:after="60"/>
            </w:pPr>
            <w:r>
              <w:rPr>
                <w:b/>
                <w:bCs/>
              </w:rPr>
              <w:t xml:space="preserve">Note on figures: </w:t>
            </w:r>
            <w:r>
              <w:t>some figures in the older entries were reconstructed from memory and should be verified against project records during review; the 100%-retrieval entry's framing should be softened if the real history was more defensible than stated.</w:t>
            </w:r>
          </w:p>
        </w:tc>
      </w:tr>
    </w:tbl>
    <w:p w14:paraId="51452DF6" w14:textId="77777777" w:rsidR="00F33557" w:rsidRDefault="00F33557">
      <w:pPr>
        <w:spacing w:after="80"/>
      </w:pPr>
    </w:p>
    <w:p w14:paraId="66010557" w14:textId="77777777" w:rsidR="00F33557" w:rsidRDefault="00000000">
      <w:pPr>
        <w:pStyle w:val="Heading1"/>
      </w:pPr>
      <w:r>
        <w:t>The recurring patterns</w:t>
      </w:r>
    </w:p>
    <w:p w14:paraId="5036C5AD" w14:textId="77777777" w:rsidR="00F33557" w:rsidRDefault="00000000">
      <w:pPr>
        <w:spacing w:after="120"/>
      </w:pPr>
      <w:r>
        <w:rPr>
          <w:i/>
          <w:iCs/>
        </w:rPr>
        <w:t>The part worth re-reading. These cut across multiple entries. When something new feels like one of these, slow down and verify.</w:t>
      </w:r>
    </w:p>
    <w:p w14:paraId="604A6D57" w14:textId="77777777" w:rsidR="00F33557" w:rsidRDefault="00000000">
      <w:pPr>
        <w:pStyle w:val="ListParagraph"/>
        <w:numPr>
          <w:ilvl w:val="0"/>
          <w:numId w:val="2"/>
        </w:numPr>
        <w:spacing w:after="100"/>
      </w:pPr>
      <w:r>
        <w:rPr>
          <w:b/>
          <w:bCs/>
        </w:rPr>
        <w:t xml:space="preserve">Success signal ≠ verified reality. </w:t>
      </w:r>
      <w:r>
        <w:t>A log line, a “✓”, a completion message, or a clean summary is a claim that something happened — not proof. Verify the durable artifact from a fresh state: read the actual file, recount from the checkpoint, open the doc.</w:t>
      </w:r>
    </w:p>
    <w:p w14:paraId="2251873C" w14:textId="77777777" w:rsidR="00F33557" w:rsidRDefault="00000000">
      <w:pPr>
        <w:pStyle w:val="ListParagraph"/>
        <w:numPr>
          <w:ilvl w:val="0"/>
          <w:numId w:val="2"/>
        </w:numPr>
        <w:spacing w:after="100"/>
      </w:pPr>
      <w:r>
        <w:rPr>
          <w:b/>
          <w:bCs/>
        </w:rPr>
        <w:t xml:space="preserve">Sample ≠ systematic. </w:t>
      </w:r>
      <w:r>
        <w:t>A check that looks fine on the flagged/visible subset can hide a problem in the unflagged remainder. Test the set you're not worried about, not just the one you are.</w:t>
      </w:r>
    </w:p>
    <w:p w14:paraId="2CBDE077" w14:textId="77777777" w:rsidR="00F33557" w:rsidRDefault="00000000">
      <w:pPr>
        <w:pStyle w:val="ListParagraph"/>
        <w:numPr>
          <w:ilvl w:val="0"/>
          <w:numId w:val="2"/>
        </w:numPr>
        <w:spacing w:after="100"/>
      </w:pPr>
      <w:r>
        <w:rPr>
          <w:b/>
          <w:bCs/>
        </w:rPr>
        <w:t xml:space="preserve">Named ≠ actual. </w:t>
      </w:r>
      <w:r>
        <w:t>What a doc, plan, or assumption says is running/implemented — or what a verdict claims — is not necessarily what is true downstream. Confirm the code does what the spec claims, and that a verdict means what the next step needs it to mean.</w:t>
      </w:r>
    </w:p>
    <w:p w14:paraId="0B58FCA4" w14:textId="77777777" w:rsidR="00F33557" w:rsidRDefault="00000000">
      <w:pPr>
        <w:pStyle w:val="ListParagraph"/>
        <w:numPr>
          <w:ilvl w:val="0"/>
          <w:numId w:val="2"/>
        </w:numPr>
        <w:spacing w:after="100"/>
      </w:pPr>
      <w:r>
        <w:rPr>
          <w:b/>
          <w:bCs/>
        </w:rPr>
        <w:t xml:space="preserve">The headline glosses a remainder that matters. </w:t>
      </w:r>
      <w:r>
        <w:t>“98% covered”, “near-perfect subset”, “essentially all”, “recoverable” — the small leftover, or the generous verdict, is exactly where the consequential exceptions hide. Pull on it before rounding it away.</w:t>
      </w:r>
    </w:p>
    <w:p w14:paraId="6FE0D706" w14:textId="77777777" w:rsidR="00F33557" w:rsidRDefault="00000000">
      <w:pPr>
        <w:pStyle w:val="ListParagraph"/>
        <w:numPr>
          <w:ilvl w:val="0"/>
          <w:numId w:val="2"/>
        </w:numPr>
        <w:spacing w:after="100"/>
      </w:pPr>
      <w:r>
        <w:rPr>
          <w:b/>
          <w:bCs/>
        </w:rPr>
        <w:t xml:space="preserve">Verify the premise before building on it. </w:t>
      </w:r>
      <w:r>
        <w:t>A vivid example tempts over-generalisation. Having caught a real issue, measure its true scale against actual data before investing in a fix — the same example that reveals a bug can mislead you about how widespread it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3557" w14:paraId="3B318526" w14:textId="77777777">
        <w:tblPrEx>
          <w:tblCellMar>
            <w:top w:w="0" w:type="dxa"/>
            <w:bottom w:w="0" w:type="dxa"/>
          </w:tblCellMar>
        </w:tblPrEx>
        <w:tc>
          <w:tcPr>
            <w:tcW w:w="9360" w:type="dxa"/>
            <w:tcBorders>
              <w:top w:val="single" w:sz="4" w:space="0" w:color="2E5B8A"/>
              <w:left w:val="single" w:sz="4" w:space="0" w:color="2E5B8A"/>
              <w:bottom w:val="single" w:sz="4" w:space="0" w:color="2E5B8A"/>
              <w:right w:val="single" w:sz="4" w:space="0" w:color="2E5B8A"/>
            </w:tcBorders>
            <w:shd w:val="clear" w:color="auto" w:fill="EAF1F8"/>
            <w:tcMar>
              <w:top w:w="120" w:type="dxa"/>
              <w:left w:w="160" w:type="dxa"/>
              <w:bottom w:w="120" w:type="dxa"/>
              <w:right w:w="160" w:type="dxa"/>
            </w:tcMar>
          </w:tcPr>
          <w:p w14:paraId="1FA5EAE8" w14:textId="77777777" w:rsidR="00F33557" w:rsidRDefault="00000000">
            <w:pPr>
              <w:spacing w:after="60"/>
            </w:pPr>
            <w:r>
              <w:rPr>
                <w:b/>
                <w:bCs/>
              </w:rPr>
              <w:t xml:space="preserve">A meta-note. </w:t>
            </w:r>
            <w:r>
              <w:t>Pulling on the small remainder (patterns 2 and 4) has produced multiple saves — the 100%-retrieval correction, the unflagged-sample validation finding, the best-collection-only near-miss, and the recoverable-vs-ingestable gap. And the “prove the premise before building” gate (pattern 5) prevented a disproportionate full canonicaliser build. These are deliberate practices worth keeping, and worth naming in the methodology as strengths, not luck.</w:t>
            </w:r>
          </w:p>
        </w:tc>
      </w:tr>
    </w:tbl>
    <w:p w14:paraId="75CDC57D" w14:textId="77777777" w:rsidR="00F33557" w:rsidRDefault="00000000">
      <w:pPr>
        <w:pStyle w:val="Heading1"/>
      </w:pPr>
      <w:r>
        <w:lastRenderedPageBreak/>
        <w:t>Entries</w:t>
      </w:r>
    </w:p>
    <w:p w14:paraId="721E3F92" w14:textId="77777777" w:rsidR="00F33557" w:rsidRDefault="00000000">
      <w:pPr>
        <w:spacing w:after="120"/>
      </w:pPr>
      <w:r>
        <w:rPr>
          <w:i/>
          <w:iCs/>
        </w:rPr>
        <w:t>Newest at top.</w:t>
      </w:r>
    </w:p>
    <w:tbl>
      <w:tblPr>
        <w:tblW w:type="auto" w:w="0"/>
        <w:tblLook w:firstColumn="1" w:firstRow="1" w:lastColumn="0" w:lastRow="0" w:noHBand="0" w:noVBand="1" w:val="04A0"/>
      </w:tblPr>
      <w:tblGrid>
        <w:gridCol w:w="9360"/>
      </w:tblGrid>
      <w:tr>
        <w:tc>
          <w:tcPr>
            <w:tcW w:type="dxa" w:w="9360"/>
          </w:tcPr>
          <w:p>
            <w:r>
              <w:t>Cat 5 naming resolved — numeric category IDs canonical, names presentational</w:t>
            </w:r>
          </w:p>
          <w:p>
            <w:r>
              <w:t>What: the shared bare word “Conditional” was a conflation risk between Cat 2 and Cat 5 (they differ only by who controls the trigger). Resolved two ways. (1) Canonical category tags in the label schema are numeric IDs (1–6), stable and rename-proof; the data, model, and pipeline key on the integer only. Human/LLM-facing names are a presentation layer over the IDs and may change per audience (e.g. at publication) with zero cost to data or model. (2) Rubric-facing names for the two conditional categories are renamed IB/IBA-style (shared family word + differentiator) to encode the trigger-control discriminator: Cat 2 = “Conditional burden (operational)” (trigger arises within the actor's own activities, whether or not deliberately caused); Cat 5 = “Conditional burden (regulator-triggered)” (external regulator's discretionary decision — notice, warrant, inspection). Contrast pair: a workplace death → Cat 2; a regulator's inspection demand → Cat 5.</w:t>
            </w:r>
          </w:p>
          <w:p>
            <w:r>
              <w:t>Rationale: bare “Conditional” shared by two categories invited mislabelling; the differentiated names fix that. Making numeric IDs canonical means any future rename — including audience-specific publication names — touches only the presentation layer, never the data or the trained model.</w:t>
            </w:r>
          </w:p>
          <w:p>
            <w:r>
              <w:t>Actions taken now: created the canonical mapping table category_mapping.md (ID → rubric name → one-line definition, all six categories + polarity values; states IDs-canonical / names-presentational); logged the two renames + Cat 2 anchoring line + the schema-mapping canonical-ID note to rubric_revision_notes.md for the next rubric pass. NOT done deliberately: the rubric document is NOT rebuilt now — the renames fold into the next revision alongside the lead's sign-off read, in one pass. Audit confirmed no live/planned code keys on old category-name strings (only the retired analyser.py does; extract_candidates.py emits no category label), so the numeric-ID decision is not undermined by a stray string identifier.</w:t>
            </w:r>
          </w:p>
          <w:p>
            <w:r>
              <w:t>Pattern: #3 (Named ≠ actual) — decouple the stable identifier from the mutable display name so a rename can never silently break a downstream match.</w:t>
            </w:r>
          </w:p>
        </w:tc>
      </w:tr>
    </w:tbl>
    <w:tbl>
      <w:tblPr>
        <w:tblW w:type="auto" w:w="0"/>
        <w:tblLook w:firstColumn="1" w:firstRow="1" w:lastColumn="0" w:lastRow="0" w:noHBand="0" w:noVBand="1" w:val="04A0"/>
      </w:tblPr>
      <w:tblGrid>
        <w:gridCol w:w="9360"/>
      </w:tblGrid>
      <w:tr>
        <w:tc>
          <w:tcPr>
            <w:tcW w:type="dxa" w:w="9360"/>
          </w:tcPr>
          <w:p>
            <w:r>
              <w:t>Extraction rebuilt to two-stage section-level — built and verified</w:t>
            </w:r>
          </w:p>
          <w:p>
            <w:r>
              <w:t>What: extract_candidates.py rewritten from per-sentence emission to one candidate per flagged SECTION. Section anchor = outermost P-level (UK sections / EU articles / schedule P-levels) ∪ innermost numbered Division/Para (EU recitals, schedule paragraphs), keyed on DOM node identity (section_index), NOT section_ref. Each section carries material_type (uk_body / uk_schedule / eu_article / eu_recital / orphan). Stage-1 flags a section if any cue fires anywhere in its subtree; the full assembled block (chapeau + leaves, markers preserved) is emitted with NO truncation, plus the leaves as a structured list.</w:t>
            </w:r>
          </w:p>
          <w:p>
            <w:r>
              <w:t>Verified (fresh 7-Act run): resolved-section counts reproduce the measured baseline exactly — 727 uk_body / 862 schedule / 106 eu_article / 611 eu_recital. 1,084 candidate records, all ids unique. 6,051 previously-dropped cue-less leaves now recovered inside their flagged sections (EP Regs reg 24 leaves (i) “cause the waste to be disposed of” and (ii) “prevent the entry of gaseous waste” confirmed present). Max assembled block 23,213 chars with zero truncation. 48 section_ref collisions correctly kept as distinct records via section_index.</w:t>
            </w:r>
          </w:p>
          <w:p>
            <w:r>
              <w:t>Scope: extraction only. The Stage-2 labelling layer (burden-set-per-section schema, set-vs-set agreement, label store / version-control) is ratified design but deliberately NOT built — it is the next step, and no real label is emitted until the store is in place.</w:t>
            </w:r>
          </w:p>
          <w:p>
            <w:r>
              <w:t>Pattern: #1 (verified the durable artifact from a fresh run — reproduced the baseline and recovered leaves against actual output, not a success message).</w:t>
            </w:r>
          </w:p>
        </w:tc>
      </w:tr>
    </w:tbl>
    <w:tbl>
      <w:tblPr>
        <w:tblW w:type="auto" w:w="0"/>
        <w:tblLook w:firstColumn="1" w:firstRow="1" w:lastColumn="0" w:lastRow="0" w:noHBand="0" w:noVBand="1" w:val="04A0"/>
      </w:tblPr>
      <w:tblGrid>
        <w:gridCol w:w="9360"/>
      </w:tblGrid>
      <w:tr>
        <w:tc>
          <w:tcPr>
            <w:tcW w:type="dxa" w:w="9360"/>
          </w:tcPr>
          <w:p>
            <w:r>
              <w:t>Two-stage recall: section-level flagging recovers 77.7% of dropped leaves — residual provisionally non-operative</w:t>
            </w:r>
          </w:p>
          <w:p>
            <w:r>
              <w:t>What: Stage-1 flagging at whole-section granularity (flag a section if anything in its DOM subtree fires a cue) recovers 6,051 of the 7,786 cue-less enumeration leaves that the current sentence-level extractor drops entirely (77.7%). The cue-less leaf rides in on its chapeau's cue. Residual: 1,735 cue-less leaves sit in 760 signal-less sections (0 cue anywhere in subtree).</w:t>
            </w:r>
          </w:p>
          <w:p>
            <w:r>
              <w:t>Status of the residual — PROVISIONAL, not labelling-confirmed: the residual is inferred non-operative from an eyeballed sample — definitions, short-title / extent / application, and especially amendment sections (“The X Act is amended as follows”). Of the 760 signal-less sections only 47 matched a broad operative backstop, and those were amendment cross-references (“offences in relation to…”) and interpretation stems (“unless the context otherwise requires”), i.e. not new private-actor burdens. Recorded as provisionally verified.</w:t>
            </w:r>
          </w:p>
          <w:p>
            <w:r>
              <w:t>To confirm during labelling: treat any signal-less section that turns out to hide a genuine private-actor duty as a check on this claim. If such sections appear above trace rate, the section-flag recall ceiling is lower than believed and Stage-1 needs a non-cue backstop.</w:t>
            </w:r>
          </w:p>
          <w:p>
            <w:r>
              <w:t>Pattern: #2 (Sample ≠ systematic — the residual is judged from the visible sample; the set we are NOT worried about must be tested during labelling).</w:t>
            </w:r>
          </w:p>
        </w:tc>
      </w:tr>
    </w:tbl>
    <w:tbl>
      <w:tblPr>
        <w:tblW w:type="auto" w:w="0"/>
        <w:tblLook w:firstColumn="1" w:firstRow="1" w:lastColumn="0" w:lastRow="0" w:noHBand="0" w:noVBand="1" w:val="04A0"/>
      </w:tblPr>
      <w:tblGrid>
        <w:gridCol w:w="9360"/>
      </w:tblGrid>
      <w:tr>
        <w:tc>
          <w:tcPr>
            <w:tcW w:type="dxa" w:w="9360"/>
          </w:tcPr>
          <w:p>
            <w:r>
              <w:t>Two hard constraints for two-stage implementation (do not lose these)</w:t>
            </w:r>
          </w:p>
          <w:p>
            <w:r>
              <w:t>What: confirmed by measurement on the 7 test Acts; both must hold in any implementation of the two-stage extractor.</w:t>
            </w:r>
          </w:p>
          <w:p>
            <w:r>
              <w:t>1. No truncation. The current emit() caps text at sentence[:2000]. 30% of flagged UK-body sections (and 38% of EU articles) exceed 2,000 chars. Whole-section assembly must remove or rework the cap, or it silently truncates exactly the large multi-duty sections the two-stage design exists to capture — undoing the recall fix.</w:t>
            </w:r>
          </w:p>
          <w:p>
            <w:r>
              <w:t>2. Key on DOM identity, not section_ref. Sectioning, the burden-set store, and the Stage-1→Stage-2 association must use DOM node identity. section_ref is non-unique (see the _ref_for entry), so keying on it would merge distinct provisions that share a ref string.</w:t>
            </w:r>
          </w:p>
          <w:p>
            <w:r>
              <w:t>Pattern: #1 (verify the durable artifact) and #3 (Named ≠ actual) — constraints proven against data and logged so they survive to implementation.</w:t>
            </w:r>
          </w:p>
        </w:tc>
      </w:tr>
    </w:tbl>
    <w:tbl>
      <w:tblPr>
        <w:tblW w:type="auto" w:w="0"/>
        <w:tblLook w:firstColumn="1" w:firstRow="1" w:lastColumn="0" w:lastRow="0" w:noHBand="0" w:noVBand="1" w:val="04A0"/>
      </w:tblPr>
      <w:tblGrid>
        <w:gridCol w:w="9360"/>
      </w:tblGrid>
      <w:tr>
        <w:tc>
          <w:tcPr>
            <w:tcW w:type="dxa" w:w="9360"/>
          </w:tcPr>
          <w:p>
            <w:r>
              <w:t>section_ref is not a unique key — _ref_for omits Schedule/Part/position</w:t>
            </w:r>
          </w:p>
          <w:p>
            <w:r>
              <w:t>What: extract_candidates._ref_for builds a provision ref from P-level Pnumbers only, with no Schedule / Part / document-position qualifier. Measured on the Environmental Permitting Regs 2016, the ref “24(1)” maps to five structurally different provisions (the body obligation “A must—”, a schedule activity-list, an amendment clause, and others). The docstring calling this ref “an unambiguous JOIN KEY” (extract_candidates.py:179) is false.</w:t>
            </w:r>
          </w:p>
          <w:p>
            <w:r>
              <w:t>What prompted the catch: A first pass at measuring the enumerated-leaf recall hole grouped chapeau→leaf by ref-string and over-counted dropped leaves by ~55% (3,757 vs the DOM-correct 2,408). Switching to DOM ancestry (find_parents over the P-levels), which is collision-proof, gave the true figure and exposed the collisions.</w:t>
            </w:r>
          </w:p>
          <w:p>
            <w:r>
              <w:t>Blast radius (scoped, not fixed): confined to extract_candidates.py and its outputs. (a) ref is a component of the candidate id {type}/{year}/{item}#{ref}#{hash} — id collisions are currently masked only by the 12-char sentence hash, not by ref. (b) the section_ref field in candidates.jsonl and candidates_index.csv. (c) definitions[].ref locators. (d) the dropped-dups ref. No SQL JOIN keys on it today. But any future label-store keyed on (item_url, section_ref), and the proposed Stage-1 section grouping, would inherit the ambiguity — both must key on DOM node identity, not section_ref.</w:t>
            </w:r>
          </w:p>
          <w:p>
            <w:r>
              <w:t>Resolution: Logged and scoped only; not fixed. All measurement work uses DOM ancestry. Fix deferred pending the two-stage architecture decision.</w:t>
            </w:r>
          </w:p>
          <w:p>
            <w:r>
              <w:t>Pattern: #3 (Named ≠ actual — a comment asserts “unambiguous JOIN KEY”; downstream it is not). Another instance of the identifier-scheme mismatch class (cf. the regnal chapter-code false-404 entry): a locally-built identifier silently fails to be globally unique across the document.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3557" w14:paraId="7F8872D8" w14:textId="77777777">
        <w:tblPrEx>
          <w:tblCellMar>
            <w:top w:w="0" w:type="dxa"/>
            <w:bottom w:w="0" w:type="dxa"/>
          </w:tblCellMar>
        </w:tblPrEx>
        <w:tc>
          <w:tcPr>
            <w:tcW w:w="9360" w:type="dxa"/>
            <w:tcBorders>
              <w:top w:val="single" w:sz="1" w:space="0" w:color="C9D6E5"/>
              <w:left w:val="single" w:sz="1" w:space="0" w:color="C9D6E5"/>
              <w:bottom w:val="single" w:sz="1" w:space="0" w:color="C9D6E5"/>
              <w:right w:val="single" w:sz="1" w:space="0" w:color="C9D6E5"/>
            </w:tcBorders>
            <w:shd w:val="clear" w:color="auto" w:fill="F7FAFD"/>
            <w:tcMar>
              <w:top w:w="120" w:type="dxa"/>
              <w:left w:w="160" w:type="dxa"/>
              <w:bottom w:w="120" w:type="dxa"/>
              <w:right w:w="160" w:type="dxa"/>
            </w:tcMar>
          </w:tcPr>
          <w:p w14:paraId="0D79CB4A" w14:textId="77777777" w:rsidR="00F33557" w:rsidRDefault="00000000">
            <w:pPr>
              <w:spacing w:after="80"/>
            </w:pPr>
            <w:r>
              <w:rPr>
                <w:b/>
                <w:bCs/>
                <w:color w:val="2E5B8A"/>
                <w:sz w:val="23"/>
                <w:szCs w:val="23"/>
              </w:rPr>
              <w:t>Scope-C anomaly: the uksi 796 — surprising, then explained</w:t>
            </w:r>
          </w:p>
          <w:p w14:paraId="1478841E" w14:textId="77777777" w:rsidR="00F33557" w:rsidRDefault="00000000">
            <w:pPr>
              <w:spacing w:after="70"/>
            </w:pPr>
            <w:r>
              <w:rPr>
                <w:b/>
                <w:bCs/>
              </w:rPr>
              <w:t xml:space="preserve">What: </w:t>
            </w:r>
            <w:r>
              <w:t>796 post-1990 UK Statutory Instruments showed as PDF-only shells / not-ingestable — surprising, because modern UK SIs are normally fully digitised, and they sit in the Scope-C (91.6%) headline most relevant to the burden measure.</w:t>
            </w:r>
          </w:p>
          <w:p w14:paraId="6E712925" w14:textId="77777777" w:rsidR="00F33557" w:rsidRDefault="00000000">
            <w:pPr>
              <w:spacing w:after="70"/>
            </w:pPr>
            <w:r>
              <w:rPr>
                <w:b/>
                <w:bCs/>
              </w:rPr>
              <w:t xml:space="preserve">What prompted the catch: </w:t>
            </w:r>
            <w:r>
              <w:t>Pulling on the one anomaly in an otherwise-expected gap composition (NI + retained-EU dominating was expected; modern uksi shells were not). Characterised the 796 and spot-checked against canonical pages.</w:t>
            </w:r>
          </w:p>
          <w:p w14:paraId="06445DC4" w14:textId="77777777" w:rsidR="00F33557" w:rsidRDefault="00000000">
            <w:pPr>
              <w:spacing w:after="70"/>
            </w:pPr>
            <w:r>
              <w:rPr>
                <w:b/>
                <w:bCs/>
              </w:rPr>
              <w:t xml:space="preserve">Resolution: </w:t>
            </w:r>
            <w:r>
              <w:t>Confirmed (8/8 spot-checks PDF-only, 0 provisions) as genuine local-effect instruments — trunk-road/traffic orders, diocesan endowment, air-navigation orders. Formally uksi (delegated SIs) but locally-scoped, so by the same logic that excuses local/private Acts they don't impose general-class burden. Scope-C 91.6% holds, not understated.</w:t>
            </w:r>
          </w:p>
          <w:p w14:paraId="07CDDC48" w14:textId="77777777" w:rsidR="00F33557" w:rsidRDefault="00000000">
            <w:pPr>
              <w:spacing w:after="70"/>
            </w:pPr>
            <w:r>
              <w:rPr>
                <w:b/>
                <w:bCs/>
              </w:rPr>
              <w:t xml:space="preserve">Pattern: </w:t>
            </w:r>
            <w:r>
              <w:t>#4 (the surprising remainder in the core population) and #1 (verified by spot-check, not assumed).</w:t>
            </w:r>
          </w:p>
        </w:tc>
      </w:tr>
    </w:tbl>
    <w:p w14:paraId="30AACD9E" w14:textId="77777777" w:rsidR="00F33557" w:rsidRDefault="00F3355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3557" w14:paraId="04ADEDE3" w14:textId="77777777">
        <w:tblPrEx>
          <w:tblCellMar>
            <w:top w:w="0" w:type="dxa"/>
            <w:bottom w:w="0" w:type="dxa"/>
          </w:tblCellMar>
        </w:tblPrEx>
        <w:tc>
          <w:tcPr>
            <w:tcW w:w="9360" w:type="dxa"/>
            <w:tcBorders>
              <w:top w:val="single" w:sz="1" w:space="0" w:color="C9D6E5"/>
              <w:left w:val="single" w:sz="1" w:space="0" w:color="C9D6E5"/>
              <w:bottom w:val="single" w:sz="1" w:space="0" w:color="C9D6E5"/>
              <w:right w:val="single" w:sz="1" w:space="0" w:color="C9D6E5"/>
            </w:tcBorders>
            <w:shd w:val="clear" w:color="auto" w:fill="F7FAFD"/>
            <w:tcMar>
              <w:top w:w="120" w:type="dxa"/>
              <w:left w:w="160" w:type="dxa"/>
              <w:bottom w:w="120" w:type="dxa"/>
              <w:right w:w="160" w:type="dxa"/>
            </w:tcMar>
          </w:tcPr>
          <w:p w14:paraId="239EF7B3" w14:textId="011925F4" w:rsidR="00F33557" w:rsidRDefault="00000000">
            <w:pPr>
              <w:spacing w:after="80"/>
            </w:pPr>
            <w:r>
              <w:rPr>
                <w:b/>
                <w:bCs/>
                <w:color w:val="2E5B8A"/>
                <w:sz w:val="23"/>
                <w:szCs w:val="23"/>
              </w:rPr>
              <w:t xml:space="preserve">Recoverable ≠ </w:t>
            </w:r>
            <w:r w:rsidR="00D817D2">
              <w:rPr>
                <w:b/>
                <w:bCs/>
                <w:color w:val="2E5B8A"/>
                <w:sz w:val="23"/>
                <w:szCs w:val="23"/>
              </w:rPr>
              <w:t>ingestible</w:t>
            </w:r>
            <w:r>
              <w:rPr>
                <w:b/>
                <w:bCs/>
                <w:color w:val="2E5B8A"/>
                <w:sz w:val="23"/>
                <w:szCs w:val="23"/>
              </w:rPr>
              <w:t>: the 2,344 → 423 gap (and AKN vs CLML)</w:t>
            </w:r>
          </w:p>
          <w:p w14:paraId="24914494" w14:textId="77777777" w:rsidR="00F33557" w:rsidRDefault="00000000">
            <w:pPr>
              <w:spacing w:after="70"/>
            </w:pPr>
            <w:r>
              <w:rPr>
                <w:b/>
                <w:bCs/>
              </w:rPr>
              <w:t xml:space="preserve">What: </w:t>
            </w:r>
            <w:r>
              <w:t>The sweep flagged 2,344 items 'recoverable', implying a corpus lift toward ~71,800. In fact only 423 became net-new CLML Tier-1 text on ingest; 386 were already in the corpus, and 1,535 were digitised-but-not-CLML-ingestable (Akoma Ntoso or PDF-only), predominantly uksi (755) + nisr (425).</w:t>
            </w:r>
          </w:p>
          <w:p w14:paraId="74009E3B" w14:textId="77777777" w:rsidR="00F33557" w:rsidRDefault="00000000">
            <w:pPr>
              <w:spacing w:after="70"/>
            </w:pPr>
            <w:r>
              <w:rPr>
                <w:b/>
                <w:bCs/>
              </w:rPr>
              <w:t xml:space="preserve">What prompted the catch: </w:t>
            </w:r>
            <w:r>
              <w:t>A full dry-run of the ingest (not the skewed alphabetical sample) to measure real yield. Surfaced that 'recoverable' was a sweep verdict based on data.akn content, while the pipeline ingests CLML (data.xml), which is empty for those items.</w:t>
            </w:r>
          </w:p>
          <w:p w14:paraId="56C32DAD" w14:textId="77777777" w:rsidR="00F33557" w:rsidRDefault="00000000">
            <w:pPr>
              <w:spacing w:after="70"/>
            </w:pPr>
            <w:r>
              <w:rPr>
                <w:b/>
                <w:bCs/>
              </w:rPr>
              <w:t xml:space="preserve">Resolution: </w:t>
            </w:r>
            <w:r>
              <w:t>Headline set to the real post-ingest figure (69,462 → 69,885, +423), NOT the speculative ~71,800. The 1,535 AKN/PDF items deferred to phase 2 as a counted, named category (AKN-parser / OCR routes flagged), consistent with the existing phase-2 target list. Decision: don't build AKN parsing now for a peripheral, mostly local-effect / retained-EU set.</w:t>
            </w:r>
          </w:p>
          <w:p w14:paraId="18BC2396" w14:textId="77777777" w:rsidR="00F33557" w:rsidRDefault="00000000">
            <w:pPr>
              <w:spacing w:after="70"/>
            </w:pPr>
            <w:r>
              <w:rPr>
                <w:b/>
                <w:bCs/>
              </w:rPr>
              <w:t xml:space="preserve">Pattern: </w:t>
            </w:r>
            <w:r>
              <w:t>#3 (a 'recoverable' verdict didn't mean 'ingestable' downstream) and #4 (the generous headline figure glossed the 1,535 remainder).</w:t>
            </w:r>
          </w:p>
        </w:tc>
      </w:tr>
    </w:tbl>
    <w:p w14:paraId="1F8BE061" w14:textId="77777777" w:rsidR="00F33557" w:rsidRDefault="00F3355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3557" w14:paraId="7E25DF98" w14:textId="77777777">
        <w:tblPrEx>
          <w:tblCellMar>
            <w:top w:w="0" w:type="dxa"/>
            <w:bottom w:w="0" w:type="dxa"/>
          </w:tblCellMar>
        </w:tblPrEx>
        <w:tc>
          <w:tcPr>
            <w:tcW w:w="9360" w:type="dxa"/>
            <w:tcBorders>
              <w:top w:val="single" w:sz="1" w:space="0" w:color="C9D6E5"/>
              <w:left w:val="single" w:sz="1" w:space="0" w:color="C9D6E5"/>
              <w:bottom w:val="single" w:sz="1" w:space="0" w:color="C9D6E5"/>
              <w:right w:val="single" w:sz="1" w:space="0" w:color="C9D6E5"/>
            </w:tcBorders>
            <w:shd w:val="clear" w:color="auto" w:fill="F7FAFD"/>
            <w:tcMar>
              <w:top w:w="120" w:type="dxa"/>
              <w:left w:w="160" w:type="dxa"/>
              <w:bottom w:w="120" w:type="dxa"/>
              <w:right w:w="160" w:type="dxa"/>
            </w:tcMar>
          </w:tcPr>
          <w:p w14:paraId="542BA495" w14:textId="77777777" w:rsidR="00F33557" w:rsidRDefault="00000000">
            <w:pPr>
              <w:spacing w:after="80"/>
            </w:pPr>
            <w:r>
              <w:rPr>
                <w:b/>
                <w:bCs/>
                <w:color w:val="2E5B8A"/>
                <w:sz w:val="23"/>
                <w:szCs w:val="23"/>
              </w:rPr>
              <w:t>Extrapolated figures corrected by the exhaustive count</w:t>
            </w:r>
          </w:p>
          <w:p w14:paraId="2955BC93" w14:textId="77777777" w:rsidR="00F33557" w:rsidRDefault="00000000">
            <w:pPr>
              <w:spacing w:after="70"/>
            </w:pPr>
            <w:r>
              <w:rPr>
                <w:b/>
                <w:bCs/>
              </w:rPr>
              <w:t xml:space="preserve">What: </w:t>
            </w:r>
            <w:r>
              <w:t>The coverage note carried extrapolated Tier-2 (shell, 15,895) and Tier-3 (not-digitised 404, 34,484) figures. The finished exhaustion sweep, aggregated exhaustively across all 50,765 items, gave real figures materially different: shells ~29,872 (later 31,407 incl. deferred) and 404s 18,505 — i.e. the extrapolation overstated hard-404 'not digitised' by ~16k and understated PDF-only shells by ~14k.</w:t>
            </w:r>
          </w:p>
          <w:p w14:paraId="59302213" w14:textId="77777777" w:rsidR="00F33557" w:rsidRDefault="00000000">
            <w:pPr>
              <w:spacing w:after="70"/>
            </w:pPr>
            <w:r>
              <w:rPr>
                <w:b/>
                <w:bCs/>
              </w:rPr>
              <w:t xml:space="preserve">What prompted the catch: </w:t>
            </w:r>
            <w:r>
              <w:t>Holding the note's figures as provisional (banners + inline punch-list) pending the real aggregation, rather than publishing the extrapolations as settled.</w:t>
            </w:r>
          </w:p>
          <w:p w14:paraId="26982877" w14:textId="77777777" w:rsidR="00F33557" w:rsidRDefault="00000000">
            <w:pPr>
              <w:spacing w:after="70"/>
            </w:pPr>
            <w:r>
              <w:rPr>
                <w:b/>
                <w:bCs/>
              </w:rPr>
              <w:t xml:space="preserve">Resolution: </w:t>
            </w:r>
            <w:r>
              <w:t>Real figures replaced the extrapolations at finalisation; tiers reconcile exactly to 119,841. The corrected story is materially STRONGER — the gap is mostly digitised-as-</w:t>
            </w:r>
            <w:r>
              <w:lastRenderedPageBreak/>
              <w:t>PDF, not genuinely absent. 'Confirmed unrecoverable' types corrected from 8 to 6 (uksro/gbla dropped off, having recoverable/incomplete items). Validation evidence added: false-404 0/487 (CI 0–0.8%), shell control 50/50.</w:t>
            </w:r>
          </w:p>
          <w:p w14:paraId="365536D8" w14:textId="77777777" w:rsidR="00F33557" w:rsidRDefault="00000000">
            <w:pPr>
              <w:spacing w:after="70"/>
            </w:pPr>
            <w:r>
              <w:rPr>
                <w:b/>
                <w:bCs/>
              </w:rPr>
              <w:t xml:space="preserve">Pattern: </w:t>
            </w:r>
            <w:r>
              <w:t>#1 (extrapolation treated provisionally, not as verified reality) — had the extrapolated figures been published they'd have understated digitisation by ~16k.</w:t>
            </w:r>
          </w:p>
        </w:tc>
      </w:tr>
    </w:tbl>
    <w:p w14:paraId="0DFFD657" w14:textId="77777777" w:rsidR="00F33557" w:rsidRDefault="00F3355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3557" w14:paraId="1B116B2B" w14:textId="77777777">
        <w:tblPrEx>
          <w:tblCellMar>
            <w:top w:w="0" w:type="dxa"/>
            <w:bottom w:w="0" w:type="dxa"/>
          </w:tblCellMar>
        </w:tblPrEx>
        <w:tc>
          <w:tcPr>
            <w:tcW w:w="9360" w:type="dxa"/>
            <w:tcBorders>
              <w:top w:val="single" w:sz="1" w:space="0" w:color="C9D6E5"/>
              <w:left w:val="single" w:sz="1" w:space="0" w:color="C9D6E5"/>
              <w:bottom w:val="single" w:sz="1" w:space="0" w:color="C9D6E5"/>
              <w:right w:val="single" w:sz="1" w:space="0" w:color="C9D6E5"/>
            </w:tcBorders>
            <w:shd w:val="clear" w:color="auto" w:fill="F7FAFD"/>
            <w:tcMar>
              <w:top w:w="120" w:type="dxa"/>
              <w:left w:w="160" w:type="dxa"/>
              <w:bottom w:w="120" w:type="dxa"/>
              <w:right w:w="160" w:type="dxa"/>
            </w:tcMar>
          </w:tcPr>
          <w:p w14:paraId="2ACE6E7F" w14:textId="77777777" w:rsidR="00F33557" w:rsidRDefault="00000000">
            <w:pPr>
              <w:spacing w:after="80"/>
            </w:pPr>
            <w:r>
              <w:rPr>
                <w:b/>
                <w:bCs/>
                <w:color w:val="2E5B8A"/>
                <w:sz w:val="23"/>
                <w:szCs w:val="23"/>
              </w:rPr>
              <w:t>Checkpoint verification at sweep completion (durable artifact, not the log line)</w:t>
            </w:r>
          </w:p>
          <w:p w14:paraId="4C71BC07" w14:textId="77777777" w:rsidR="00F33557" w:rsidRDefault="00000000">
            <w:pPr>
              <w:spacing w:after="70"/>
            </w:pPr>
            <w:r>
              <w:rPr>
                <w:b/>
                <w:bCs/>
              </w:rPr>
              <w:t xml:space="preserve">What: </w:t>
            </w:r>
            <w:r>
              <w:t>The exhaustion sweep reported 'Session complete — 50,764 items'. Expected universe was 50,765 — one short.</w:t>
            </w:r>
          </w:p>
          <w:p w14:paraId="424733BB" w14:textId="77777777" w:rsidR="00F33557" w:rsidRDefault="00000000">
            <w:pPr>
              <w:spacing w:after="70"/>
            </w:pPr>
            <w:r>
              <w:rPr>
                <w:b/>
                <w:bCs/>
              </w:rPr>
              <w:t xml:space="preserve">What prompted the catch: </w:t>
            </w:r>
            <w:r>
              <w:t>Treating the completion log as a claim, not proof: verifying the durable Drive checkpoint (md5 681772dd… / 84,799,488 bytes / 355,343 probes / PRAGMA integrity ok) from a fresh state, and diffing to name the missing item rather than assuming it benign.</w:t>
            </w:r>
          </w:p>
          <w:p w14:paraId="409868F2" w14:textId="77777777" w:rsidR="00F33557" w:rsidRDefault="00000000">
            <w:pPr>
              <w:spacing w:after="70"/>
            </w:pPr>
            <w:r>
              <w:rPr>
                <w:b/>
                <w:bCs/>
              </w:rPr>
              <w:t xml:space="preserve">Resolution: </w:t>
            </w:r>
            <w:r>
              <w:t>The missing item (City of Glasgow Union Railway Partition Act 1896, a ukla) was fully probed — the gap was a roll-up that didn't fire on an item ending in HTTP 500, NOT data loss. Re-probed for a real verdict (shell), not an assumed 404. Crucially, the aggregator reads from probe_results (complete: 0 never-probed), not the item_summary side-table, so no item was ever lost from the figures.</w:t>
            </w:r>
          </w:p>
          <w:p w14:paraId="31FEE7DA" w14:textId="77777777" w:rsidR="00F33557" w:rsidRDefault="00000000">
            <w:pPr>
              <w:spacing w:after="70"/>
            </w:pPr>
            <w:r>
              <w:rPr>
                <w:b/>
                <w:bCs/>
              </w:rPr>
              <w:t xml:space="preserve">Pattern: </w:t>
            </w:r>
            <w:r>
              <w:t>#1 (verify the durable artifact from a fresh state) and #3 (don't assume the verdict of an item you didn't definitively probe — it was a shell, not the 404 an assumption would have given).</w:t>
            </w:r>
          </w:p>
        </w:tc>
      </w:tr>
    </w:tbl>
    <w:p w14:paraId="0649035A" w14:textId="77777777" w:rsidR="00F33557" w:rsidRDefault="00F3355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3557" w14:paraId="5A791D03" w14:textId="77777777">
        <w:tblPrEx>
          <w:tblCellMar>
            <w:top w:w="0" w:type="dxa"/>
            <w:bottom w:w="0" w:type="dxa"/>
          </w:tblCellMar>
        </w:tblPrEx>
        <w:tc>
          <w:tcPr>
            <w:tcW w:w="9360" w:type="dxa"/>
            <w:tcBorders>
              <w:top w:val="single" w:sz="1" w:space="0" w:color="C9D6E5"/>
              <w:left w:val="single" w:sz="1" w:space="0" w:color="C9D6E5"/>
              <w:bottom w:val="single" w:sz="1" w:space="0" w:color="C9D6E5"/>
              <w:right w:val="single" w:sz="1" w:space="0" w:color="C9D6E5"/>
            </w:tcBorders>
            <w:shd w:val="clear" w:color="auto" w:fill="F7FAFD"/>
            <w:tcMar>
              <w:top w:w="120" w:type="dxa"/>
              <w:left w:w="160" w:type="dxa"/>
              <w:bottom w:w="120" w:type="dxa"/>
              <w:right w:w="160" w:type="dxa"/>
            </w:tcMar>
          </w:tcPr>
          <w:p w14:paraId="3A12460C" w14:textId="77777777" w:rsidR="00F33557" w:rsidRDefault="00000000">
            <w:pPr>
              <w:spacing w:after="80"/>
            </w:pPr>
            <w:r>
              <w:rPr>
                <w:b/>
                <w:bCs/>
                <w:color w:val="2E5B8A"/>
                <w:sz w:val="23"/>
                <w:szCs w:val="23"/>
              </w:rPr>
              <w:t>Identifier-scheme false-404s: a real bug, then a near over-correction</w:t>
            </w:r>
          </w:p>
          <w:p w14:paraId="6A161698" w14:textId="77777777" w:rsidR="00F33557" w:rsidRDefault="00000000">
            <w:pPr>
              <w:spacing w:after="70"/>
            </w:pPr>
            <w:r>
              <w:rPr>
                <w:b/>
                <w:bCs/>
              </w:rPr>
              <w:t xml:space="preserve">What: </w:t>
            </w:r>
            <w:r>
              <w:t>Two-sided. (a) Genuine bug: National Archives cite some pre-modern Acts by name-slug (aep/Hen3/52/stat-marlbr) while legislation.gov.uk serves them under chapter-coded URIs (aep/Hen3c23/52/23); the disjoint schemes made famous statutes (Magna Carta, Marlborough) wrongly verdict 'not digitised' and wrongly miss the corpus matcher. (b) Near over-correction: a pattern-match estimated the bug at ~61% of the frontier (~31k items), nearly triggering a disproportionate full canonicaliser build.</w:t>
            </w:r>
          </w:p>
          <w:p w14:paraId="6C6DB60F" w14:textId="77777777" w:rsidR="00F33557" w:rsidRDefault="00000000">
            <w:pPr>
              <w:spacing w:after="70"/>
            </w:pPr>
            <w:r>
              <w:rPr>
                <w:b/>
                <w:bCs/>
              </w:rPr>
              <w:t xml:space="preserve">What prompted the catches: </w:t>
            </w:r>
            <w:r>
              <w:t>(a) Spot-checking the first 'not_digitised' medieval item revealed the false-404. (b) The 'validate the premise before building' gate — checking the 31k against actual corpus data — showed the chapter-code bug only bites the medieval aep-style statutes; numeric-regnal items (ukla/Geo3/41/100) share the corpus scheme and are genuine gaps, not scheme casualties.</w:t>
            </w:r>
          </w:p>
          <w:p w14:paraId="47EE4C6B" w14:textId="77777777" w:rsidR="00F33557" w:rsidRDefault="00000000">
            <w:pPr>
              <w:spacing w:after="70"/>
            </w:pPr>
            <w:r>
              <w:rPr>
                <w:b/>
                <w:bCs/>
              </w:rPr>
              <w:t xml:space="preserve">Resolution: </w:t>
            </w:r>
            <w:r>
              <w:t>Scope corrected from ~61%/31k to ~0.3%/140. Built a targeted 17-statute / 44-row slug-override patch (not a full canonicaliser); 2 review items web-confirmed as genuine gaps. Methodology note documents the limitation with the strict 'not ingested ≠ not digitised' distinction. Also corrected our OWN earlier mis-diagnosis: the Geo5/15-16/20 ranged-year was NOT the bug — the unreconciled chapter-code token was.</w:t>
            </w:r>
          </w:p>
          <w:p w14:paraId="1BF67F2A" w14:textId="77777777" w:rsidR="00F33557" w:rsidRDefault="00000000">
            <w:pPr>
              <w:spacing w:after="70"/>
            </w:pPr>
            <w:r>
              <w:rPr>
                <w:b/>
                <w:bCs/>
              </w:rPr>
              <w:t xml:space="preserve">Pattern: </w:t>
            </w:r>
            <w:r>
              <w:t>#3 (named ≠ actual — a 'not digitised' verdict that was false) AND #5 (verify the premise before building — a vivid example, Magna Carta, tempted a 61% over-generalisation that real data corrected to 0.3%). Both directions of error in one episode: nearly missing the bug, then nearly over-investing in it.</w:t>
            </w:r>
          </w:p>
        </w:tc>
      </w:tr>
    </w:tbl>
    <w:p w14:paraId="735AE31D" w14:textId="77777777" w:rsidR="00F33557" w:rsidRDefault="00F3355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3557" w14:paraId="54E90490" w14:textId="77777777">
        <w:tblPrEx>
          <w:tblCellMar>
            <w:top w:w="0" w:type="dxa"/>
            <w:bottom w:w="0" w:type="dxa"/>
          </w:tblCellMar>
        </w:tblPrEx>
        <w:tc>
          <w:tcPr>
            <w:tcW w:w="9360" w:type="dxa"/>
            <w:tcBorders>
              <w:top w:val="single" w:sz="1" w:space="0" w:color="C9D6E5"/>
              <w:left w:val="single" w:sz="1" w:space="0" w:color="C9D6E5"/>
              <w:bottom w:val="single" w:sz="1" w:space="0" w:color="C9D6E5"/>
              <w:right w:val="single" w:sz="1" w:space="0" w:color="C9D6E5"/>
            </w:tcBorders>
            <w:shd w:val="clear" w:color="auto" w:fill="F7FAFD"/>
            <w:tcMar>
              <w:top w:w="120" w:type="dxa"/>
              <w:left w:w="160" w:type="dxa"/>
              <w:bottom w:w="120" w:type="dxa"/>
              <w:right w:w="160" w:type="dxa"/>
            </w:tcMar>
          </w:tcPr>
          <w:p w14:paraId="00C7C660" w14:textId="77777777" w:rsidR="00F33557" w:rsidRDefault="00000000">
            <w:pPr>
              <w:spacing w:after="80"/>
            </w:pPr>
            <w:r>
              <w:rPr>
                <w:b/>
                <w:bCs/>
                <w:color w:val="2E5B8A"/>
                <w:sz w:val="23"/>
                <w:szCs w:val="23"/>
              </w:rPr>
              <w:lastRenderedPageBreak/>
              <w:t>Source-priority near-miss: “best-collection only” reversed</w:t>
            </w:r>
          </w:p>
          <w:p w14:paraId="0B1207A7" w14:textId="77777777" w:rsidR="00F33557" w:rsidRDefault="00000000">
            <w:pPr>
              <w:spacing w:after="70"/>
            </w:pPr>
            <w:r>
              <w:rPr>
                <w:b/>
                <w:bCs/>
              </w:rPr>
              <w:t xml:space="preserve">What: </w:t>
            </w:r>
            <w:r>
              <w:t>Nearly simplified the corpus parse source to best-collection alone, dropping revised-current, on the basis that revised-current is a 99.9% subset of best-collection.</w:t>
            </w:r>
          </w:p>
          <w:p w14:paraId="4DBC3CAD" w14:textId="77777777" w:rsidR="00F33557" w:rsidRDefault="00000000">
            <w:pPr>
              <w:spacing w:after="70"/>
            </w:pPr>
            <w:r>
              <w:rPr>
                <w:b/>
                <w:bCs/>
              </w:rPr>
              <w:t xml:space="preserve">What prompted the catch: </w:t>
            </w:r>
            <w:r>
              <w:t>Checking the small remainder rather than accepting “near-perfect subset.” Two findings reversed it: (a) 7 in-force retained-EU items exist only in revised-current — best-collection-only would have orphaned them; (b) best-collection holds only as-made text for ~51k SIs, and ~5,822 have a revised version only in revised-current, ~27% materially different — so best-collection-only would have silently served pre-amendment text for a chunk of the SI corpus.</w:t>
            </w:r>
          </w:p>
          <w:p w14:paraId="4970A83A" w14:textId="77777777" w:rsidR="00F33557" w:rsidRDefault="00000000">
            <w:pPr>
              <w:spacing w:after="70"/>
            </w:pPr>
            <w:r>
              <w:rPr>
                <w:b/>
                <w:bCs/>
              </w:rPr>
              <w:t xml:space="preserve">Resolution: </w:t>
            </w:r>
            <w:r>
              <w:t>Reversed to revised-current PRIMARY → best-collection's revised where RC lacks it → made/enacted only where no revision exists. Read variants from files, not the stale index.</w:t>
            </w:r>
          </w:p>
          <w:p w14:paraId="01F2A678" w14:textId="77777777" w:rsidR="00F33557" w:rsidRDefault="00000000">
            <w:pPr>
              <w:spacing w:after="70"/>
            </w:pPr>
            <w:r>
              <w:rPr>
                <w:b/>
                <w:bCs/>
              </w:rPr>
              <w:t xml:space="preserve">Pattern: </w:t>
            </w:r>
            <w:r>
              <w:t>#4 (the headline glosses a remainder that matters) and #2 (the SI staleness was invisible until the non-obvious subset was checked).</w:t>
            </w:r>
          </w:p>
        </w:tc>
      </w:tr>
    </w:tbl>
    <w:p w14:paraId="0A60E049" w14:textId="77777777" w:rsidR="00F33557" w:rsidRDefault="00F3355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3557" w14:paraId="46E74678" w14:textId="77777777">
        <w:tblPrEx>
          <w:tblCellMar>
            <w:top w:w="0" w:type="dxa"/>
            <w:bottom w:w="0" w:type="dxa"/>
          </w:tblCellMar>
        </w:tblPrEx>
        <w:tc>
          <w:tcPr>
            <w:tcW w:w="9360" w:type="dxa"/>
            <w:tcBorders>
              <w:top w:val="single" w:sz="1" w:space="0" w:color="C9D6E5"/>
              <w:left w:val="single" w:sz="1" w:space="0" w:color="C9D6E5"/>
              <w:bottom w:val="single" w:sz="1" w:space="0" w:color="C9D6E5"/>
              <w:right w:val="single" w:sz="1" w:space="0" w:color="C9D6E5"/>
            </w:tcBorders>
            <w:shd w:val="clear" w:color="auto" w:fill="F7FAFD"/>
            <w:tcMar>
              <w:top w:w="120" w:type="dxa"/>
              <w:left w:w="160" w:type="dxa"/>
              <w:bottom w:w="120" w:type="dxa"/>
              <w:right w:w="160" w:type="dxa"/>
            </w:tcMar>
          </w:tcPr>
          <w:p w14:paraId="4188FE13" w14:textId="77777777" w:rsidR="00F33557" w:rsidRDefault="00000000">
            <w:pPr>
              <w:spacing w:after="80"/>
            </w:pPr>
            <w:r>
              <w:rPr>
                <w:b/>
                <w:bCs/>
                <w:color w:val="2E5B8A"/>
                <w:sz w:val="23"/>
                <w:szCs w:val="23"/>
              </w:rPr>
              <w:t>The pipeline reframe (a redesign, not a mistake)</w:t>
            </w:r>
          </w:p>
          <w:p w14:paraId="3F880987" w14:textId="77777777" w:rsidR="00F33557" w:rsidRDefault="00000000">
            <w:pPr>
              <w:spacing w:after="70"/>
            </w:pPr>
            <w:r>
              <w:rPr>
                <w:b/>
                <w:bCs/>
              </w:rPr>
              <w:t xml:space="preserve">What: </w:t>
            </w:r>
            <w:r>
              <w:t>Stopped trying to fix the rule-based classifier. Recognised the architecture should be: high-recall candidate-extraction pipeline → Claude + Gemini independently classify against the rubric → human adjudicates disagreements → validated labels train Legal-BERT (the production classifier).</w:t>
            </w:r>
          </w:p>
          <w:p w14:paraId="60E245B9" w14:textId="77777777" w:rsidR="00F33557" w:rsidRDefault="00000000">
            <w:pPr>
              <w:spacing w:after="70"/>
            </w:pPr>
            <w:r>
              <w:rPr>
                <w:b/>
                <w:bCs/>
              </w:rPr>
              <w:t xml:space="preserve">What prompted it: </w:t>
            </w:r>
            <w:r>
              <w:t>Asking what actually transfers to the production model. The rule-based classifier's keyword/spaCy internals are disposable; Legal-BERT learns from the training labels, not from analyser.py's code. So effort belonged on the rubric, the training data, the candidate filter's recall, and the eval set — not on polishing a classifier being retired.</w:t>
            </w:r>
          </w:p>
          <w:p w14:paraId="6399C78F" w14:textId="77777777" w:rsidR="00F33557" w:rsidRDefault="00000000">
            <w:pPr>
              <w:spacing w:after="70"/>
            </w:pPr>
            <w:r>
              <w:rPr>
                <w:b/>
                <w:bCs/>
              </w:rPr>
              <w:t xml:space="preserve">Resolution: </w:t>
            </w:r>
            <w:r>
              <w:t>Built extract_candidates.py (pipeline only); retired the classification layer. Dropped, as consequences: the trf upgrade, the Cat 2/Cat 5 classifier fixes, the tag migration.</w:t>
            </w:r>
          </w:p>
          <w:p w14:paraId="1D89B4BC" w14:textId="77777777" w:rsidR="00F33557" w:rsidRDefault="00000000">
            <w:pPr>
              <w:spacing w:after="70"/>
            </w:pPr>
            <w:r>
              <w:rPr>
                <w:b/>
                <w:bCs/>
              </w:rPr>
              <w:t xml:space="preserve">Pattern: </w:t>
            </w:r>
            <w:r>
              <w:t>A clean course-correction. The lesson: identify the disposable-vs-transferable boundary early, before investing in interim tooling.</w:t>
            </w:r>
          </w:p>
        </w:tc>
      </w:tr>
    </w:tbl>
    <w:p w14:paraId="31874FF2" w14:textId="77777777" w:rsidR="00F33557" w:rsidRDefault="00F3355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3557" w14:paraId="31BEF418" w14:textId="77777777">
        <w:tblPrEx>
          <w:tblCellMar>
            <w:top w:w="0" w:type="dxa"/>
            <w:bottom w:w="0" w:type="dxa"/>
          </w:tblCellMar>
        </w:tblPrEx>
        <w:tc>
          <w:tcPr>
            <w:tcW w:w="9360" w:type="dxa"/>
            <w:tcBorders>
              <w:top w:val="single" w:sz="1" w:space="0" w:color="C9D6E5"/>
              <w:left w:val="single" w:sz="1" w:space="0" w:color="C9D6E5"/>
              <w:bottom w:val="single" w:sz="1" w:space="0" w:color="C9D6E5"/>
              <w:right w:val="single" w:sz="1" w:space="0" w:color="C9D6E5"/>
            </w:tcBorders>
            <w:shd w:val="clear" w:color="auto" w:fill="F7FAFD"/>
            <w:tcMar>
              <w:top w:w="120" w:type="dxa"/>
              <w:left w:w="160" w:type="dxa"/>
              <w:bottom w:w="120" w:type="dxa"/>
              <w:right w:w="160" w:type="dxa"/>
            </w:tcMar>
          </w:tcPr>
          <w:p w14:paraId="2F12D566" w14:textId="77777777" w:rsidR="00F33557" w:rsidRDefault="00000000">
            <w:pPr>
              <w:spacing w:after="80"/>
            </w:pPr>
            <w:r>
              <w:rPr>
                <w:b/>
                <w:bCs/>
                <w:color w:val="2E5B8A"/>
                <w:sz w:val="23"/>
                <w:szCs w:val="23"/>
              </w:rPr>
              <w:t>Candidate-filter recall gaps (caught by empirical ground-truth check)</w:t>
            </w:r>
          </w:p>
          <w:p w14:paraId="009185C5" w14:textId="77777777" w:rsidR="00F33557" w:rsidRDefault="00000000">
            <w:pPr>
              <w:spacing w:after="70"/>
            </w:pPr>
            <w:r>
              <w:rPr>
                <w:b/>
                <w:bCs/>
              </w:rPr>
              <w:t xml:space="preserve">What: </w:t>
            </w:r>
            <w:r>
              <w:t>The candidate filter was precision-tuned and silently dropped genuine burdens in several places; the cue inventory had real holes (rights/entitlements, void/contracting-out, Victorian “shall forfeit”, “comply with”, “require X to”, enforcement-submit).</w:t>
            </w:r>
          </w:p>
          <w:p w14:paraId="69C596A1" w14:textId="77777777" w:rsidR="00F33557" w:rsidRDefault="00000000">
            <w:pPr>
              <w:spacing w:after="70"/>
            </w:pPr>
            <w:r>
              <w:rPr>
                <w:b/>
                <w:bCs/>
              </w:rPr>
              <w:t xml:space="preserve">What prompted the catch: </w:t>
            </w:r>
            <w:r>
              <w:t>Running the filter over ground-truth Acts where the full burden set was already known, and confirming it surfaced all of them — rather than reasoning about completeness introspectively. The introspective cue audit alone would have shipped with at least four silent holes.</w:t>
            </w:r>
          </w:p>
          <w:p w14:paraId="5C3083F1" w14:textId="77777777" w:rsidR="00F33557" w:rsidRDefault="00000000">
            <w:pPr>
              <w:spacing w:after="70"/>
            </w:pPr>
            <w:r>
              <w:rPr>
                <w:b/>
                <w:bCs/>
              </w:rPr>
              <w:t xml:space="preserve">Resolution: </w:t>
            </w:r>
            <w:r>
              <w:t>Converted precision-drops to “surface and flag”; added the missing cues; established that the candidate filter must be high-recall (over-inclusion is safe; silent drops are uncorrectable false negatives that set the project's measurement ceiling).</w:t>
            </w:r>
          </w:p>
          <w:p w14:paraId="4C42979B" w14:textId="77777777" w:rsidR="00F33557" w:rsidRDefault="00000000">
            <w:pPr>
              <w:spacing w:after="70"/>
            </w:pPr>
            <w:r>
              <w:rPr>
                <w:b/>
                <w:bCs/>
              </w:rPr>
              <w:t xml:space="preserve">Pattern: </w:t>
            </w:r>
            <w:r>
              <w:t>#2 (recall can't be measured from what surfaces — you need ground truth of what should surface).</w:t>
            </w:r>
          </w:p>
        </w:tc>
      </w:tr>
    </w:tbl>
    <w:p w14:paraId="05A70DF2" w14:textId="77777777" w:rsidR="00F33557" w:rsidRDefault="00F3355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3557" w14:paraId="6409BAED" w14:textId="77777777">
        <w:tblPrEx>
          <w:tblCellMar>
            <w:top w:w="0" w:type="dxa"/>
            <w:bottom w:w="0" w:type="dxa"/>
          </w:tblCellMar>
        </w:tblPrEx>
        <w:tc>
          <w:tcPr>
            <w:tcW w:w="9360" w:type="dxa"/>
            <w:tcBorders>
              <w:top w:val="single" w:sz="1" w:space="0" w:color="C9D6E5"/>
              <w:left w:val="single" w:sz="1" w:space="0" w:color="C9D6E5"/>
              <w:bottom w:val="single" w:sz="1" w:space="0" w:color="C9D6E5"/>
              <w:right w:val="single" w:sz="1" w:space="0" w:color="C9D6E5"/>
            </w:tcBorders>
            <w:shd w:val="clear" w:color="auto" w:fill="F7FAFD"/>
            <w:tcMar>
              <w:top w:w="120" w:type="dxa"/>
              <w:left w:w="160" w:type="dxa"/>
              <w:bottom w:w="120" w:type="dxa"/>
              <w:right w:w="160" w:type="dxa"/>
            </w:tcMar>
          </w:tcPr>
          <w:p w14:paraId="74CEAC7E" w14:textId="77777777" w:rsidR="00F33557" w:rsidRDefault="00000000">
            <w:pPr>
              <w:spacing w:after="80"/>
            </w:pPr>
            <w:r>
              <w:rPr>
                <w:b/>
                <w:bCs/>
                <w:color w:val="2E5B8A"/>
                <w:sz w:val="23"/>
                <w:szCs w:val="23"/>
              </w:rPr>
              <w:t>Missing categories in the code</w:t>
            </w:r>
          </w:p>
          <w:p w14:paraId="37BC44BA" w14:textId="77777777" w:rsidR="00F33557" w:rsidRDefault="00000000">
            <w:pPr>
              <w:spacing w:after="70"/>
            </w:pPr>
            <w:r>
              <w:rPr>
                <w:b/>
                <w:bCs/>
              </w:rPr>
              <w:t xml:space="preserve">What: </w:t>
            </w:r>
            <w:r>
              <w:t>Two of the six taxonomy categories were not implemented. Cat 2 (conditional direct) was absent, silently absorbed into direct. Cat 5 (conditional burden) existed as a tag but caught the wrong thing — purpose-clause/“is to” statements, several of which the rubric excludes as non-operative.</w:t>
            </w:r>
          </w:p>
          <w:p w14:paraId="4CA55D39" w14:textId="77777777" w:rsidR="00F33557" w:rsidRDefault="00000000">
            <w:pPr>
              <w:spacing w:after="70"/>
            </w:pPr>
            <w:r>
              <w:rPr>
                <w:b/>
                <w:bCs/>
              </w:rPr>
              <w:t xml:space="preserve">What prompted the catch: </w:t>
            </w:r>
            <w:r>
              <w:t>A counting diagnostic, run for a different reason (the tag-migration scope), surfaced it incidentally.</w:t>
            </w:r>
          </w:p>
          <w:p w14:paraId="7EF642BF" w14:textId="77777777" w:rsidR="00F33557" w:rsidRDefault="00000000">
            <w:pPr>
              <w:spacing w:after="70"/>
            </w:pPr>
            <w:r>
              <w:rPr>
                <w:b/>
                <w:bCs/>
              </w:rPr>
              <w:t xml:space="preserve">Resolution: </w:t>
            </w:r>
            <w:r>
              <w:t>Largely mooted by the reframe — the candidate filter only needs to surface these sentences; the LLM+human layer assigns the category. No keyword heuristic needed for judgement categories.</w:t>
            </w:r>
          </w:p>
          <w:p w14:paraId="486BA0EF" w14:textId="77777777" w:rsidR="00F33557" w:rsidRDefault="00000000">
            <w:pPr>
              <w:spacing w:after="70"/>
            </w:pPr>
            <w:r>
              <w:rPr>
                <w:b/>
                <w:bCs/>
              </w:rPr>
              <w:t xml:space="preserve">Pattern: </w:t>
            </w:r>
            <w:r>
              <w:t>#3 (the rubric and the code had silently diverged; the code didn't express the taxonomy the docs described).</w:t>
            </w:r>
          </w:p>
        </w:tc>
      </w:tr>
    </w:tbl>
    <w:p w14:paraId="64550896" w14:textId="77777777" w:rsidR="00F33557" w:rsidRDefault="00F3355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3557" w14:paraId="106C6981" w14:textId="77777777">
        <w:tblPrEx>
          <w:tblCellMar>
            <w:top w:w="0" w:type="dxa"/>
            <w:bottom w:w="0" w:type="dxa"/>
          </w:tblCellMar>
        </w:tblPrEx>
        <w:tc>
          <w:tcPr>
            <w:tcW w:w="9360" w:type="dxa"/>
            <w:tcBorders>
              <w:top w:val="single" w:sz="1" w:space="0" w:color="C9D6E5"/>
              <w:left w:val="single" w:sz="1" w:space="0" w:color="C9D6E5"/>
              <w:bottom w:val="single" w:sz="1" w:space="0" w:color="C9D6E5"/>
              <w:right w:val="single" w:sz="1" w:space="0" w:color="C9D6E5"/>
            </w:tcBorders>
            <w:shd w:val="clear" w:color="auto" w:fill="F7FAFD"/>
            <w:tcMar>
              <w:top w:w="120" w:type="dxa"/>
              <w:left w:w="160" w:type="dxa"/>
              <w:bottom w:w="120" w:type="dxa"/>
              <w:right w:w="160" w:type="dxa"/>
            </w:tcMar>
          </w:tcPr>
          <w:p w14:paraId="2D375150" w14:textId="77777777" w:rsidR="00F33557" w:rsidRDefault="00000000">
            <w:pPr>
              <w:spacing w:after="80"/>
            </w:pPr>
            <w:r>
              <w:rPr>
                <w:b/>
                <w:bCs/>
                <w:color w:val="2E5B8A"/>
                <w:sz w:val="23"/>
                <w:szCs w:val="23"/>
              </w:rPr>
              <w:t>Count column undercount</w:t>
            </w:r>
          </w:p>
          <w:p w14:paraId="3E373657" w14:textId="77777777" w:rsidR="00F33557" w:rsidRDefault="00000000">
            <w:pPr>
              <w:spacing w:after="70"/>
            </w:pPr>
            <w:r>
              <w:rPr>
                <w:b/>
                <w:bCs/>
              </w:rPr>
              <w:t xml:space="preserve">What: </w:t>
            </w:r>
            <w:r>
              <w:t>private_actor_count summed only the Direct leaf, not the parent (direct + implied + conditional) — understating the parent by ~2.6% on the benchmark — and the column name implied “total private actor burden” when it meant “direct only.” Also a double-count trap: implied_burden_count already includes implied_burden_active.</w:t>
            </w:r>
          </w:p>
          <w:p w14:paraId="672C7DFF" w14:textId="77777777" w:rsidR="00F33557" w:rsidRDefault="00000000">
            <w:pPr>
              <w:spacing w:after="70"/>
            </w:pPr>
            <w:r>
              <w:rPr>
                <w:b/>
                <w:bCs/>
              </w:rPr>
              <w:t xml:space="preserve">What prompted the catch: </w:t>
            </w:r>
            <w:r>
              <w:t>Read-only investigation of what the count columns actually summed, before committing to a naming decision.</w:t>
            </w:r>
          </w:p>
          <w:p w14:paraId="30EA8A09" w14:textId="77777777" w:rsidR="00F33557" w:rsidRDefault="00000000">
            <w:pPr>
              <w:spacing w:after="70"/>
            </w:pPr>
            <w:r>
              <w:rPr>
                <w:b/>
                <w:bCs/>
              </w:rPr>
              <w:t xml:space="preserve">Resolution: </w:t>
            </w:r>
            <w:r>
              <w:t>Add a genuine parent-total column (respecting the no-double-count formula); rename the Direct-leaf column honestly. (Queued; mostly mooted by the reframe since the classification output is retired.)</w:t>
            </w:r>
          </w:p>
          <w:p w14:paraId="30BE526A" w14:textId="77777777" w:rsidR="00F33557" w:rsidRDefault="00000000">
            <w:pPr>
              <w:spacing w:after="70"/>
            </w:pPr>
            <w:r>
              <w:rPr>
                <w:b/>
                <w:bCs/>
              </w:rPr>
              <w:t xml:space="preserve">Pattern: </w:t>
            </w:r>
            <w:r>
              <w:t>#3 (named ≠ actual — verify what an aggregate computes, not what it's called).</w:t>
            </w:r>
          </w:p>
        </w:tc>
      </w:tr>
    </w:tbl>
    <w:p w14:paraId="2A1827CC" w14:textId="77777777" w:rsidR="00F33557" w:rsidRDefault="00F3355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3557" w14:paraId="7FE2E55C" w14:textId="77777777">
        <w:tblPrEx>
          <w:tblCellMar>
            <w:top w:w="0" w:type="dxa"/>
            <w:bottom w:w="0" w:type="dxa"/>
          </w:tblCellMar>
        </w:tblPrEx>
        <w:tc>
          <w:tcPr>
            <w:tcW w:w="9360" w:type="dxa"/>
            <w:tcBorders>
              <w:top w:val="single" w:sz="1" w:space="0" w:color="C9D6E5"/>
              <w:left w:val="single" w:sz="1" w:space="0" w:color="C9D6E5"/>
              <w:bottom w:val="single" w:sz="1" w:space="0" w:color="C9D6E5"/>
              <w:right w:val="single" w:sz="1" w:space="0" w:color="C9D6E5"/>
            </w:tcBorders>
            <w:shd w:val="clear" w:color="auto" w:fill="F7FAFD"/>
            <w:tcMar>
              <w:top w:w="120" w:type="dxa"/>
              <w:left w:w="160" w:type="dxa"/>
              <w:bottom w:w="120" w:type="dxa"/>
              <w:right w:w="160" w:type="dxa"/>
            </w:tcMar>
          </w:tcPr>
          <w:p w14:paraId="7BBB7DD8" w14:textId="77777777" w:rsidR="00F33557" w:rsidRDefault="00000000">
            <w:pPr>
              <w:spacing w:after="80"/>
            </w:pPr>
            <w:r>
              <w:rPr>
                <w:b/>
                <w:bCs/>
                <w:color w:val="2E5B8A"/>
                <w:sz w:val="23"/>
                <w:szCs w:val="23"/>
              </w:rPr>
              <w:t>spaCy model assumption (sm vs trf)</w:t>
            </w:r>
          </w:p>
          <w:p w14:paraId="62D7C546" w14:textId="77777777" w:rsidR="00F33557" w:rsidRDefault="00000000">
            <w:pPr>
              <w:spacing w:after="70"/>
            </w:pPr>
            <w:r>
              <w:rPr>
                <w:b/>
                <w:bCs/>
              </w:rPr>
              <w:t xml:space="preserve">What: </w:t>
            </w:r>
            <w:r>
              <w:t>Briefly assumed/asserted the classifier was running the transformer parser (trf) when the rule-based analyser used en_core_web_sm. (Clarified: trf was always the next-phase / Legal-BERT plan, not the current rule-based setup.)</w:t>
            </w:r>
          </w:p>
          <w:p w14:paraId="0AB7E760" w14:textId="77777777" w:rsidR="00F33557" w:rsidRDefault="00000000">
            <w:pPr>
              <w:spacing w:after="70"/>
            </w:pPr>
            <w:r>
              <w:rPr>
                <w:b/>
                <w:bCs/>
              </w:rPr>
              <w:t xml:space="preserve">Resolution: </w:t>
            </w:r>
            <w:r>
              <w:t>Made the model a single configurable constant; ultimately mooted by the reframe (rule-based subject resolution retired).</w:t>
            </w:r>
          </w:p>
          <w:p w14:paraId="4C33F24A" w14:textId="77777777" w:rsidR="00F33557" w:rsidRDefault="00000000">
            <w:pPr>
              <w:spacing w:after="70"/>
            </w:pPr>
            <w:r>
              <w:rPr>
                <w:b/>
                <w:bCs/>
              </w:rPr>
              <w:t xml:space="preserve">Pattern: </w:t>
            </w:r>
            <w:r>
              <w:t>#3 (confirm what's actually running vs what's specified).</w:t>
            </w:r>
          </w:p>
        </w:tc>
      </w:tr>
    </w:tbl>
    <w:p w14:paraId="3E85EA84" w14:textId="77777777" w:rsidR="00F33557" w:rsidRDefault="00F3355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3557" w14:paraId="793D20A9" w14:textId="77777777">
        <w:tblPrEx>
          <w:tblCellMar>
            <w:top w:w="0" w:type="dxa"/>
            <w:bottom w:w="0" w:type="dxa"/>
          </w:tblCellMar>
        </w:tblPrEx>
        <w:tc>
          <w:tcPr>
            <w:tcW w:w="9360" w:type="dxa"/>
            <w:tcBorders>
              <w:top w:val="single" w:sz="1" w:space="0" w:color="C9D6E5"/>
              <w:left w:val="single" w:sz="1" w:space="0" w:color="C9D6E5"/>
              <w:bottom w:val="single" w:sz="1" w:space="0" w:color="C9D6E5"/>
              <w:right w:val="single" w:sz="1" w:space="0" w:color="C9D6E5"/>
            </w:tcBorders>
            <w:shd w:val="clear" w:color="auto" w:fill="F7FAFD"/>
            <w:tcMar>
              <w:top w:w="120" w:type="dxa"/>
              <w:left w:w="160" w:type="dxa"/>
              <w:bottom w:w="120" w:type="dxa"/>
              <w:right w:w="160" w:type="dxa"/>
            </w:tcMar>
          </w:tcPr>
          <w:p w14:paraId="3282999A" w14:textId="77777777" w:rsidR="00F33557" w:rsidRDefault="00000000">
            <w:pPr>
              <w:spacing w:after="80"/>
            </w:pPr>
            <w:r>
              <w:rPr>
                <w:b/>
                <w:bCs/>
                <w:color w:val="2E5B8A"/>
                <w:sz w:val="23"/>
                <w:szCs w:val="23"/>
              </w:rPr>
              <w:t>Classifier over-identification finding</w:t>
            </w:r>
          </w:p>
          <w:p w14:paraId="574B8601" w14:textId="77777777" w:rsidR="00F33557" w:rsidRDefault="00000000">
            <w:pPr>
              <w:spacing w:after="70"/>
            </w:pPr>
            <w:r>
              <w:rPr>
                <w:b/>
                <w:bCs/>
              </w:rPr>
              <w:t xml:space="preserve">What: </w:t>
            </w:r>
            <w:r>
              <w:t>TNA cross-check validation found the rule-based classifier over-identifies private-actor burden, dominated by non-operative modality errors. Estimated ~60% over-identification — but explicitly PRELIMINARY (small unflagged sample, wide CI).</w:t>
            </w:r>
          </w:p>
          <w:p w14:paraId="0760C522" w14:textId="77777777" w:rsidR="00F33557" w:rsidRDefault="00000000">
            <w:pPr>
              <w:spacing w:after="70"/>
            </w:pPr>
            <w:r>
              <w:rPr>
                <w:b/>
                <w:bCs/>
              </w:rPr>
              <w:t xml:space="preserve">What prompted the catch: </w:t>
            </w:r>
            <w:r>
              <w:t>Reviewing the unflagged sample, not just the flagged set. Also found: the TNA cross-check is structurally blind to non-operative modality errors (no public-</w:t>
            </w:r>
            <w:r>
              <w:lastRenderedPageBreak/>
              <w:t>body row to disagree with), so it understates the true error — and TNA's own Claude-generated dataset shared the same blind spot.</w:t>
            </w:r>
          </w:p>
          <w:p w14:paraId="26776AFE" w14:textId="77777777" w:rsidR="00F33557" w:rsidRDefault="00000000">
            <w:pPr>
              <w:spacing w:after="70"/>
            </w:pPr>
            <w:r>
              <w:rPr>
                <w:b/>
                <w:bCs/>
              </w:rPr>
              <w:t xml:space="preserve">Resolution: </w:t>
            </w:r>
            <w:r>
              <w:t>Recorded as a preliminary qualitative finding only — never as an established figure. Motivates the trained classifier and the high-recall + human-validation design.</w:t>
            </w:r>
          </w:p>
          <w:p w14:paraId="4E504A3F" w14:textId="77777777" w:rsidR="00F33557" w:rsidRDefault="00000000">
            <w:pPr>
              <w:spacing w:after="70"/>
            </w:pPr>
            <w:r>
              <w:rPr>
                <w:b/>
                <w:bCs/>
              </w:rPr>
              <w:t xml:space="preserve">Pattern: </w:t>
            </w:r>
            <w:r>
              <w:t>#2 (sample ≠ systematic; the trusted set needed checking too) and a circularity lesson: a model-generated cross-check can share the classifier's blind spot.</w:t>
            </w:r>
          </w:p>
        </w:tc>
      </w:tr>
    </w:tbl>
    <w:p w14:paraId="391AE210" w14:textId="77777777" w:rsidR="00F33557" w:rsidRDefault="00F3355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3557" w14:paraId="4A599060" w14:textId="77777777">
        <w:tblPrEx>
          <w:tblCellMar>
            <w:top w:w="0" w:type="dxa"/>
            <w:bottom w:w="0" w:type="dxa"/>
          </w:tblCellMar>
        </w:tblPrEx>
        <w:tc>
          <w:tcPr>
            <w:tcW w:w="9360" w:type="dxa"/>
            <w:tcBorders>
              <w:top w:val="single" w:sz="1" w:space="0" w:color="C9D6E5"/>
              <w:left w:val="single" w:sz="1" w:space="0" w:color="C9D6E5"/>
              <w:bottom w:val="single" w:sz="1" w:space="0" w:color="C9D6E5"/>
              <w:right w:val="single" w:sz="1" w:space="0" w:color="C9D6E5"/>
            </w:tcBorders>
            <w:shd w:val="clear" w:color="auto" w:fill="F7FAFD"/>
            <w:tcMar>
              <w:top w:w="120" w:type="dxa"/>
              <w:left w:w="160" w:type="dxa"/>
              <w:bottom w:w="120" w:type="dxa"/>
              <w:right w:w="160" w:type="dxa"/>
            </w:tcMar>
          </w:tcPr>
          <w:p w14:paraId="575F6497" w14:textId="77777777" w:rsidR="00F33557" w:rsidRDefault="00000000">
            <w:pPr>
              <w:spacing w:after="80"/>
            </w:pPr>
            <w:r>
              <w:rPr>
                <w:b/>
                <w:bCs/>
                <w:color w:val="2E5B8A"/>
                <w:sz w:val="23"/>
                <w:szCs w:val="23"/>
              </w:rPr>
              <w:t>Colab persistence failures</w:t>
            </w:r>
          </w:p>
          <w:p w14:paraId="01A2DA76" w14:textId="77777777" w:rsidR="00F33557" w:rsidRDefault="00000000">
            <w:pPr>
              <w:spacing w:after="70"/>
            </w:pPr>
            <w:r>
              <w:rPr>
                <w:b/>
                <w:bCs/>
              </w:rPr>
              <w:t xml:space="preserve">What: </w:t>
            </w:r>
            <w:r>
              <w:t>Snapshots logged “promoted ✓” but did not durably reach Drive; FUSE-mount writes didn't persist. Lost exhaustion-sweep progress twice (June 3–4), once from ~139,659 back to ~120,829.</w:t>
            </w:r>
          </w:p>
          <w:p w14:paraId="5FA3A008" w14:textId="77777777" w:rsidR="00F33557" w:rsidRDefault="00000000">
            <w:pPr>
              <w:spacing w:after="70"/>
            </w:pPr>
            <w:r>
              <w:rPr>
                <w:b/>
                <w:bCs/>
              </w:rPr>
              <w:t xml:space="preserve">Resolution: </w:t>
            </w:r>
            <w:r>
              <w:t>Rebuilt the sweep as a resumable system using Drive REST API uploads verified by md5 comparison — not FUSE mounts. Standalone auditor to verify durability from a fresh state.</w:t>
            </w:r>
          </w:p>
          <w:p w14:paraId="233F3178" w14:textId="77777777" w:rsidR="00F33557" w:rsidRDefault="00000000">
            <w:pPr>
              <w:spacing w:after="70"/>
            </w:pPr>
            <w:r>
              <w:rPr>
                <w:b/>
                <w:bCs/>
              </w:rPr>
              <w:t xml:space="preserve">Pattern: </w:t>
            </w:r>
            <w:r>
              <w:t>#1 (success signal ≠ verified reality — the “✓” was not durable persistence).</w:t>
            </w:r>
          </w:p>
        </w:tc>
      </w:tr>
    </w:tbl>
    <w:p w14:paraId="69048D29" w14:textId="77777777" w:rsidR="00F33557" w:rsidRDefault="00F3355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3557" w14:paraId="74754751" w14:textId="77777777">
        <w:tblPrEx>
          <w:tblCellMar>
            <w:top w:w="0" w:type="dxa"/>
            <w:bottom w:w="0" w:type="dxa"/>
          </w:tblCellMar>
        </w:tblPrEx>
        <w:tc>
          <w:tcPr>
            <w:tcW w:w="9360" w:type="dxa"/>
            <w:tcBorders>
              <w:top w:val="single" w:sz="1" w:space="0" w:color="C9D6E5"/>
              <w:left w:val="single" w:sz="1" w:space="0" w:color="C9D6E5"/>
              <w:bottom w:val="single" w:sz="1" w:space="0" w:color="C9D6E5"/>
              <w:right w:val="single" w:sz="1" w:space="0" w:color="C9D6E5"/>
            </w:tcBorders>
            <w:shd w:val="clear" w:color="auto" w:fill="F7FAFD"/>
            <w:tcMar>
              <w:top w:w="120" w:type="dxa"/>
              <w:left w:w="160" w:type="dxa"/>
              <w:bottom w:w="120" w:type="dxa"/>
              <w:right w:w="160" w:type="dxa"/>
            </w:tcMar>
          </w:tcPr>
          <w:p w14:paraId="6EA85960" w14:textId="77777777" w:rsidR="00F33557" w:rsidRDefault="00000000">
            <w:pPr>
              <w:spacing w:after="80"/>
            </w:pPr>
            <w:r>
              <w:rPr>
                <w:b/>
                <w:bCs/>
                <w:color w:val="2E5B8A"/>
                <w:sz w:val="23"/>
                <w:szCs w:val="23"/>
              </w:rPr>
              <w:t>The 100%-retrieval overclaim</w:t>
            </w:r>
          </w:p>
          <w:p w14:paraId="4B799EE7" w14:textId="77777777" w:rsidR="00F33557" w:rsidRDefault="00000000">
            <w:pPr>
              <w:spacing w:after="70"/>
            </w:pPr>
            <w:r>
              <w:rPr>
                <w:b/>
                <w:bCs/>
              </w:rPr>
              <w:t xml:space="preserve">What: </w:t>
            </w:r>
            <w:r>
              <w:t>A “100% retrieval” / completeness claim was published before full validation. (Verify and soften this framing if the real history was more defensible.)</w:t>
            </w:r>
          </w:p>
          <w:p w14:paraId="13D1D478" w14:textId="77777777" w:rsidR="00F33557" w:rsidRDefault="00000000">
            <w:pPr>
              <w:spacing w:after="70"/>
            </w:pPr>
            <w:r>
              <w:rPr>
                <w:b/>
                <w:bCs/>
              </w:rPr>
              <w:t xml:space="preserve">What prompted the catch: </w:t>
            </w:r>
            <w:r>
              <w:t>A former DBT colleague (who worked on the legislation.gov.uk digitisation programme) pushed back on the gap between in-force and digitised figures.</w:t>
            </w:r>
          </w:p>
          <w:p w14:paraId="73D0BD2F" w14:textId="77777777" w:rsidR="00F33557" w:rsidRDefault="00000000">
            <w:pPr>
              <w:spacing w:after="70"/>
            </w:pPr>
            <w:r>
              <w:rPr>
                <w:b/>
                <w:bCs/>
              </w:rPr>
              <w:t xml:space="preserve">Resolution: </w:t>
            </w:r>
            <w:r>
              <w:t>Launched the systematic exhaustion sweep across seven endpoint types to establish, defensibly, what is recoverable vs structurally absent. The honest framing: exhaustive probing with stated results, not an absolute completeness claim.</w:t>
            </w:r>
          </w:p>
          <w:p w14:paraId="29F699C1" w14:textId="77777777" w:rsidR="00F33557" w:rsidRDefault="00000000">
            <w:pPr>
              <w:spacing w:after="70"/>
            </w:pPr>
            <w:r>
              <w:rPr>
                <w:b/>
                <w:bCs/>
              </w:rPr>
              <w:t xml:space="preserve">Pattern: </w:t>
            </w:r>
            <w:r>
              <w:t>#1 (a figure published before verification) — the original instance that named the discipline for everything after.</w:t>
            </w:r>
          </w:p>
        </w:tc>
      </w:tr>
    </w:tbl>
    <w:p w14:paraId="523DF632" w14:textId="77777777" w:rsidR="00F33557" w:rsidRDefault="00000000">
      <w:pPr>
        <w:pStyle w:val="Heading1"/>
      </w:pPr>
      <w:r>
        <w:t>How to use this log</w:t>
      </w:r>
    </w:p>
    <w:p w14:paraId="2E1ABB1A" w14:textId="77777777" w:rsidR="00F33557" w:rsidRDefault="00000000">
      <w:pPr>
        <w:pStyle w:val="ListParagraph"/>
        <w:numPr>
          <w:ilvl w:val="0"/>
          <w:numId w:val="3"/>
        </w:numPr>
        <w:spacing w:after="60"/>
      </w:pPr>
      <w:r>
        <w:t>Add an entry when a direction changes, an error is caught, or a decision is reversed. Date it; newest at top.</w:t>
      </w:r>
    </w:p>
    <w:p w14:paraId="52888D3D" w14:textId="77777777" w:rsidR="00F33557" w:rsidRDefault="00000000">
      <w:pPr>
        <w:pStyle w:val="ListParagraph"/>
        <w:numPr>
          <w:ilvl w:val="0"/>
          <w:numId w:val="3"/>
        </w:numPr>
        <w:spacing w:after="60"/>
      </w:pPr>
      <w:r>
        <w:t xml:space="preserve">Always fill the </w:t>
      </w:r>
      <w:r>
        <w:rPr>
          <w:b/>
          <w:bCs/>
        </w:rPr>
        <w:t>pattern</w:t>
      </w:r>
      <w:r>
        <w:t xml:space="preserve"> field — that's the transferable value.</w:t>
      </w:r>
    </w:p>
    <w:p w14:paraId="5B9F5139" w14:textId="77777777" w:rsidR="00F33557" w:rsidRDefault="00000000">
      <w:pPr>
        <w:pStyle w:val="ListParagraph"/>
        <w:numPr>
          <w:ilvl w:val="0"/>
          <w:numId w:val="3"/>
        </w:numPr>
        <w:spacing w:after="60"/>
      </w:pPr>
      <w:r>
        <w:t>Keep the tone factual. “Here's what changed and what it taught us,” not self-criticism.</w:t>
      </w:r>
    </w:p>
    <w:p w14:paraId="09FBDF69" w14:textId="77777777" w:rsidR="00F33557" w:rsidRDefault="00000000">
      <w:pPr>
        <w:pStyle w:val="ListParagraph"/>
        <w:numPr>
          <w:ilvl w:val="0"/>
          <w:numId w:val="3"/>
        </w:numPr>
        <w:spacing w:after="60"/>
      </w:pPr>
      <w:r>
        <w:t>Review the patterns section before major decisions (a corpus run, a published figure, a simplification that rests on “essentially all”, a build justified by one vivid example).</w:t>
      </w:r>
    </w:p>
    <w:sectPr w:rsidR="00F3355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94894"/>
    <w:multiLevelType w:val="hybridMultilevel"/>
    <w:tmpl w:val="48566BE2"/>
    <w:lvl w:ilvl="0" w:tplc="2A8CBBB6">
      <w:start w:val="1"/>
      <w:numFmt w:val="bullet"/>
      <w:lvlText w:val="●"/>
      <w:lvlJc w:val="left"/>
      <w:pPr>
        <w:ind w:left="720" w:hanging="360"/>
      </w:pPr>
    </w:lvl>
    <w:lvl w:ilvl="1" w:tplc="A6B4D81C">
      <w:start w:val="1"/>
      <w:numFmt w:val="bullet"/>
      <w:lvlText w:val="○"/>
      <w:lvlJc w:val="left"/>
      <w:pPr>
        <w:ind w:left="1440" w:hanging="360"/>
      </w:pPr>
    </w:lvl>
    <w:lvl w:ilvl="2" w:tplc="4788902C">
      <w:start w:val="1"/>
      <w:numFmt w:val="bullet"/>
      <w:lvlText w:val="■"/>
      <w:lvlJc w:val="left"/>
      <w:pPr>
        <w:ind w:left="2160" w:hanging="360"/>
      </w:pPr>
    </w:lvl>
    <w:lvl w:ilvl="3" w:tplc="8618A95A">
      <w:start w:val="1"/>
      <w:numFmt w:val="bullet"/>
      <w:lvlText w:val="●"/>
      <w:lvlJc w:val="left"/>
      <w:pPr>
        <w:ind w:left="2880" w:hanging="360"/>
      </w:pPr>
    </w:lvl>
    <w:lvl w:ilvl="4" w:tplc="55F86AB0">
      <w:start w:val="1"/>
      <w:numFmt w:val="bullet"/>
      <w:lvlText w:val="○"/>
      <w:lvlJc w:val="left"/>
      <w:pPr>
        <w:ind w:left="3600" w:hanging="360"/>
      </w:pPr>
    </w:lvl>
    <w:lvl w:ilvl="5" w:tplc="7E5AB62C">
      <w:start w:val="1"/>
      <w:numFmt w:val="bullet"/>
      <w:lvlText w:val="■"/>
      <w:lvlJc w:val="left"/>
      <w:pPr>
        <w:ind w:left="4320" w:hanging="360"/>
      </w:pPr>
    </w:lvl>
    <w:lvl w:ilvl="6" w:tplc="5D0CFD82">
      <w:start w:val="1"/>
      <w:numFmt w:val="bullet"/>
      <w:lvlText w:val="●"/>
      <w:lvlJc w:val="left"/>
      <w:pPr>
        <w:ind w:left="5040" w:hanging="360"/>
      </w:pPr>
    </w:lvl>
    <w:lvl w:ilvl="7" w:tplc="2F9825BA">
      <w:start w:val="1"/>
      <w:numFmt w:val="bullet"/>
      <w:lvlText w:val="●"/>
      <w:lvlJc w:val="left"/>
      <w:pPr>
        <w:ind w:left="5760" w:hanging="360"/>
      </w:pPr>
    </w:lvl>
    <w:lvl w:ilvl="8" w:tplc="B7C0B2CE">
      <w:start w:val="1"/>
      <w:numFmt w:val="bullet"/>
      <w:lvlText w:val="●"/>
      <w:lvlJc w:val="left"/>
      <w:pPr>
        <w:ind w:left="6480" w:hanging="360"/>
      </w:pPr>
    </w:lvl>
  </w:abstractNum>
  <w:abstractNum w:abstractNumId="1" w15:restartNumberingAfterBreak="0">
    <w:nsid w:val="6ABF7E41"/>
    <w:multiLevelType w:val="hybridMultilevel"/>
    <w:tmpl w:val="CB809FD6"/>
    <w:lvl w:ilvl="0" w:tplc="6D1C3134">
      <w:start w:val="1"/>
      <w:numFmt w:val="bullet"/>
      <w:lvlText w:val="•"/>
      <w:lvlJc w:val="left"/>
      <w:pPr>
        <w:ind w:left="720" w:hanging="360"/>
      </w:pPr>
    </w:lvl>
    <w:lvl w:ilvl="1" w:tplc="FB4AE482">
      <w:numFmt w:val="decimal"/>
      <w:lvlText w:val=""/>
      <w:lvlJc w:val="left"/>
    </w:lvl>
    <w:lvl w:ilvl="2" w:tplc="EA4055B6">
      <w:numFmt w:val="decimal"/>
      <w:lvlText w:val=""/>
      <w:lvlJc w:val="left"/>
    </w:lvl>
    <w:lvl w:ilvl="3" w:tplc="B7FA93A0">
      <w:numFmt w:val="decimal"/>
      <w:lvlText w:val=""/>
      <w:lvlJc w:val="left"/>
    </w:lvl>
    <w:lvl w:ilvl="4" w:tplc="FB22EA4C">
      <w:numFmt w:val="decimal"/>
      <w:lvlText w:val=""/>
      <w:lvlJc w:val="left"/>
    </w:lvl>
    <w:lvl w:ilvl="5" w:tplc="2C682156">
      <w:numFmt w:val="decimal"/>
      <w:lvlText w:val=""/>
      <w:lvlJc w:val="left"/>
    </w:lvl>
    <w:lvl w:ilvl="6" w:tplc="5E92A410">
      <w:numFmt w:val="decimal"/>
      <w:lvlText w:val=""/>
      <w:lvlJc w:val="left"/>
    </w:lvl>
    <w:lvl w:ilvl="7" w:tplc="83FAA0B4">
      <w:numFmt w:val="decimal"/>
      <w:lvlText w:val=""/>
      <w:lvlJc w:val="left"/>
    </w:lvl>
    <w:lvl w:ilvl="8" w:tplc="AADC4740">
      <w:numFmt w:val="decimal"/>
      <w:lvlText w:val=""/>
      <w:lvlJc w:val="left"/>
    </w:lvl>
  </w:abstractNum>
  <w:abstractNum w:abstractNumId="2" w15:restartNumberingAfterBreak="0">
    <w:nsid w:val="78EE0B72"/>
    <w:multiLevelType w:val="hybridMultilevel"/>
    <w:tmpl w:val="9CAE5E70"/>
    <w:lvl w:ilvl="0" w:tplc="700CDCCC">
      <w:start w:val="1"/>
      <w:numFmt w:val="decimal"/>
      <w:lvlText w:val="%1."/>
      <w:lvlJc w:val="left"/>
      <w:pPr>
        <w:ind w:left="720" w:hanging="360"/>
      </w:pPr>
    </w:lvl>
    <w:lvl w:ilvl="1" w:tplc="F910725E">
      <w:numFmt w:val="decimal"/>
      <w:lvlText w:val=""/>
      <w:lvlJc w:val="left"/>
    </w:lvl>
    <w:lvl w:ilvl="2" w:tplc="EDCC44C8">
      <w:numFmt w:val="decimal"/>
      <w:lvlText w:val=""/>
      <w:lvlJc w:val="left"/>
    </w:lvl>
    <w:lvl w:ilvl="3" w:tplc="3304ACAC">
      <w:numFmt w:val="decimal"/>
      <w:lvlText w:val=""/>
      <w:lvlJc w:val="left"/>
    </w:lvl>
    <w:lvl w:ilvl="4" w:tplc="EDA092C2">
      <w:numFmt w:val="decimal"/>
      <w:lvlText w:val=""/>
      <w:lvlJc w:val="left"/>
    </w:lvl>
    <w:lvl w:ilvl="5" w:tplc="CB3C4F64">
      <w:numFmt w:val="decimal"/>
      <w:lvlText w:val=""/>
      <w:lvlJc w:val="left"/>
    </w:lvl>
    <w:lvl w:ilvl="6" w:tplc="1FC6412C">
      <w:numFmt w:val="decimal"/>
      <w:lvlText w:val=""/>
      <w:lvlJc w:val="left"/>
    </w:lvl>
    <w:lvl w:ilvl="7" w:tplc="91328EF0">
      <w:numFmt w:val="decimal"/>
      <w:lvlText w:val=""/>
      <w:lvlJc w:val="left"/>
    </w:lvl>
    <w:lvl w:ilvl="8" w:tplc="1DD4D352">
      <w:numFmt w:val="decimal"/>
      <w:lvlText w:val=""/>
      <w:lvlJc w:val="left"/>
    </w:lvl>
  </w:abstractNum>
  <w:num w:numId="1" w16cid:durableId="356547301">
    <w:abstractNumId w:val="0"/>
    <w:lvlOverride w:ilvl="0">
      <w:startOverride w:val="1"/>
    </w:lvlOverride>
  </w:num>
  <w:num w:numId="2" w16cid:durableId="2010132211">
    <w:abstractNumId w:val="2"/>
    <w:lvlOverride w:ilvl="0">
      <w:startOverride w:val="1"/>
    </w:lvlOverride>
  </w:num>
  <w:num w:numId="3" w16cid:durableId="18886461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557"/>
    <w:rsid w:val="0030718E"/>
    <w:rsid w:val="00927BD5"/>
    <w:rsid w:val="00C47480"/>
    <w:rsid w:val="00D817D2"/>
    <w:rsid w:val="00F335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55941"/>
  <w15:docId w15:val="{5F3A581E-857E-4ED5-8FCE-BC1B72EA7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2E5B8A"/>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2471</Words>
  <Characters>14088</Characters>
  <Application>Microsoft Office Word</Application>
  <DocSecurity>0</DocSecurity>
  <Lines>117</Lines>
  <Paragraphs>33</Paragraphs>
  <ScaleCrop>false</ScaleCrop>
  <Company/>
  <LinksUpToDate>false</LinksUpToDate>
  <CharactersWithSpaces>16526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Jethro Elsden</cp:lastModifiedBy>
  <cp:revision>4</cp:revision>
  <dcterms:created xsi:type="dcterms:W3CDTF">2026-06-15T21:34:00Z</dcterms:created>
  <dcterms:modified xsi:type="dcterms:W3CDTF">2026-06-15T21:41:00Z</dcterms:modified>
</cp:coreProperties>
</file>