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82544" w14:textId="39ECC808" w:rsidR="00493C07" w:rsidRPr="00B3017D" w:rsidRDefault="00493C07" w:rsidP="00493C07">
      <w:pPr>
        <w:jc w:val="center"/>
        <w:rPr>
          <w:rFonts w:ascii="Times New Roman" w:hAnsi="Times New Roman" w:cs="Times New Roman"/>
          <w:b/>
          <w:bCs/>
          <w:sz w:val="28"/>
          <w:szCs w:val="28"/>
        </w:rPr>
      </w:pPr>
      <w:r w:rsidRPr="00B3017D">
        <w:rPr>
          <w:rFonts w:ascii="Times New Roman" w:hAnsi="Times New Roman" w:cs="Times New Roman"/>
          <w:b/>
          <w:bCs/>
          <w:sz w:val="28"/>
          <w:szCs w:val="28"/>
        </w:rPr>
        <w:t>Fiscal</w:t>
      </w:r>
      <w:r>
        <w:rPr>
          <w:rFonts w:ascii="Times New Roman" w:hAnsi="Times New Roman" w:cs="Times New Roman"/>
          <w:b/>
          <w:bCs/>
          <w:sz w:val="28"/>
          <w:szCs w:val="28"/>
        </w:rPr>
        <w:t xml:space="preserve"> </w:t>
      </w:r>
      <w:r w:rsidRPr="00B3017D">
        <w:rPr>
          <w:rFonts w:ascii="Times New Roman" w:hAnsi="Times New Roman" w:cs="Times New Roman"/>
          <w:b/>
          <w:bCs/>
          <w:sz w:val="28"/>
          <w:szCs w:val="28"/>
        </w:rPr>
        <w:t>and Monetary Policy with Heterogeneous Agents</w:t>
      </w:r>
    </w:p>
    <w:p w14:paraId="7CCA65A9" w14:textId="77777777" w:rsidR="00493C07" w:rsidRPr="00B3017D" w:rsidRDefault="00493C07" w:rsidP="00493C07">
      <w:pPr>
        <w:jc w:val="center"/>
        <w:rPr>
          <w:rFonts w:ascii="Times New Roman" w:hAnsi="Times New Roman" w:cs="Times New Roman"/>
          <w:sz w:val="28"/>
          <w:szCs w:val="28"/>
        </w:rPr>
      </w:pPr>
      <w:r w:rsidRPr="00B3017D">
        <w:rPr>
          <w:rFonts w:ascii="Times New Roman" w:hAnsi="Times New Roman" w:cs="Times New Roman"/>
          <w:sz w:val="28"/>
          <w:szCs w:val="28"/>
        </w:rPr>
        <w:t>by Adrien Auclert Matthew Rognlie Ludwig Straub (2025)</w:t>
      </w:r>
    </w:p>
    <w:p w14:paraId="7BAAFAEE" w14:textId="487890AF" w:rsidR="00493C07" w:rsidRPr="00B3017D" w:rsidRDefault="00493C07" w:rsidP="00493C07">
      <w:pPr>
        <w:jc w:val="center"/>
        <w:rPr>
          <w:rFonts w:ascii="Times New Roman" w:hAnsi="Times New Roman" w:cs="Times New Roman"/>
          <w:i/>
          <w:iCs/>
          <w:sz w:val="28"/>
          <w:szCs w:val="28"/>
        </w:rPr>
      </w:pPr>
      <w:r>
        <w:rPr>
          <w:rFonts w:ascii="Times New Roman" w:hAnsi="Times New Roman" w:cs="Times New Roman"/>
          <w:i/>
          <w:iCs/>
          <w:sz w:val="28"/>
          <w:szCs w:val="28"/>
        </w:rPr>
        <w:t>Presentation Notes</w:t>
      </w:r>
    </w:p>
    <w:p w14:paraId="6F841C8C" w14:textId="77777777" w:rsidR="00493C07" w:rsidRDefault="00493C07" w:rsidP="00493C07">
      <w:pPr>
        <w:jc w:val="both"/>
        <w:rPr>
          <w:rFonts w:ascii="Times New Roman" w:hAnsi="Times New Roman" w:cs="Times New Roman"/>
          <w:b/>
          <w:bCs/>
        </w:rPr>
      </w:pPr>
    </w:p>
    <w:p w14:paraId="0D8748EE" w14:textId="1B9CF588" w:rsidR="00493C07" w:rsidRPr="00AA3F9C" w:rsidRDefault="00493C07" w:rsidP="00493C07">
      <w:pPr>
        <w:jc w:val="both"/>
        <w:rPr>
          <w:rFonts w:ascii="Times New Roman" w:hAnsi="Times New Roman" w:cs="Times New Roman"/>
          <w:b/>
          <w:bCs/>
        </w:rPr>
      </w:pPr>
      <w:r w:rsidRPr="00AA3F9C">
        <w:rPr>
          <w:rFonts w:ascii="Times New Roman" w:hAnsi="Times New Roman" w:cs="Times New Roman"/>
          <w:b/>
          <w:bCs/>
        </w:rPr>
        <w:t>SLIDE 2</w:t>
      </w:r>
      <w:r>
        <w:rPr>
          <w:rFonts w:ascii="Times New Roman" w:hAnsi="Times New Roman" w:cs="Times New Roman"/>
          <w:b/>
          <w:bCs/>
        </w:rPr>
        <w:t xml:space="preserve"> – Research Question and Objectives</w:t>
      </w:r>
    </w:p>
    <w:p w14:paraId="1A058E68" w14:textId="77777777" w:rsidR="00493C07" w:rsidRDefault="00493C07" w:rsidP="00493C07">
      <w:pPr>
        <w:jc w:val="both"/>
        <w:rPr>
          <w:rFonts w:ascii="Times New Roman" w:hAnsi="Times New Roman" w:cs="Times New Roman"/>
        </w:rPr>
      </w:pPr>
    </w:p>
    <w:p w14:paraId="6234EB3E" w14:textId="1D089778" w:rsidR="00493C07" w:rsidRDefault="00493C07" w:rsidP="00493C07">
      <w:pPr>
        <w:jc w:val="both"/>
        <w:rPr>
          <w:rFonts w:ascii="Times New Roman" w:hAnsi="Times New Roman" w:cs="Times New Roman"/>
        </w:rPr>
      </w:pPr>
      <w:r>
        <w:rPr>
          <w:rFonts w:ascii="Times New Roman" w:hAnsi="Times New Roman" w:cs="Times New Roman"/>
        </w:rPr>
        <w:t>The authors want to understand whether heterogeneity across households changes the way fiscal and monetary policy affect the economy.</w:t>
      </w:r>
    </w:p>
    <w:p w14:paraId="2331A3F5" w14:textId="77777777" w:rsidR="00493C07" w:rsidRDefault="00493C07" w:rsidP="00493C07">
      <w:pPr>
        <w:jc w:val="both"/>
        <w:rPr>
          <w:rFonts w:ascii="Times New Roman" w:hAnsi="Times New Roman" w:cs="Times New Roman"/>
        </w:rPr>
      </w:pPr>
    </w:p>
    <w:p w14:paraId="426BC033" w14:textId="77777777" w:rsidR="00493C07" w:rsidRDefault="00493C07" w:rsidP="00493C07">
      <w:pPr>
        <w:jc w:val="both"/>
        <w:rPr>
          <w:rFonts w:ascii="Times New Roman" w:hAnsi="Times New Roman" w:cs="Times New Roman"/>
        </w:rPr>
      </w:pPr>
      <w:r>
        <w:rPr>
          <w:rFonts w:ascii="Times New Roman" w:hAnsi="Times New Roman" w:cs="Times New Roman"/>
        </w:rPr>
        <w:t>The authors compare the transmission of policy in a fully heterogeneous-agent model (HANK) with two simpler frameworks:</w:t>
      </w:r>
    </w:p>
    <w:p w14:paraId="3AB94855" w14:textId="77777777" w:rsidR="00493C07" w:rsidRDefault="00493C07" w:rsidP="00493C07">
      <w:pPr>
        <w:pStyle w:val="ListParagraph"/>
        <w:numPr>
          <w:ilvl w:val="0"/>
          <w:numId w:val="1"/>
        </w:numPr>
        <w:jc w:val="both"/>
        <w:rPr>
          <w:rFonts w:ascii="Times New Roman" w:hAnsi="Times New Roman" w:cs="Times New Roman"/>
        </w:rPr>
      </w:pPr>
      <w:r>
        <w:rPr>
          <w:rFonts w:ascii="Times New Roman" w:hAnsi="Times New Roman" w:cs="Times New Roman"/>
        </w:rPr>
        <w:t>A representative agent model in which everyone is identical, and</w:t>
      </w:r>
    </w:p>
    <w:p w14:paraId="7118BC9E" w14:textId="77777777" w:rsidR="00493C07" w:rsidRDefault="00493C07" w:rsidP="00493C07">
      <w:pPr>
        <w:pStyle w:val="ListParagraph"/>
        <w:numPr>
          <w:ilvl w:val="0"/>
          <w:numId w:val="1"/>
        </w:numPr>
        <w:jc w:val="both"/>
        <w:rPr>
          <w:rFonts w:ascii="Times New Roman" w:hAnsi="Times New Roman" w:cs="Times New Roman"/>
        </w:rPr>
      </w:pPr>
      <w:r>
        <w:rPr>
          <w:rFonts w:ascii="Times New Roman" w:hAnsi="Times New Roman" w:cs="Times New Roman"/>
        </w:rPr>
        <w:t>A two-agent model in which some households are constrained and others are unconstrained.</w:t>
      </w:r>
    </w:p>
    <w:p w14:paraId="5D08EE23" w14:textId="77777777" w:rsidR="00493C07" w:rsidRDefault="00493C07" w:rsidP="00493C07">
      <w:pPr>
        <w:jc w:val="both"/>
        <w:rPr>
          <w:rFonts w:ascii="Times New Roman" w:hAnsi="Times New Roman" w:cs="Times New Roman"/>
        </w:rPr>
      </w:pPr>
    </w:p>
    <w:p w14:paraId="3AA48E68" w14:textId="42BDB069" w:rsidR="00493C07" w:rsidRDefault="00493C07" w:rsidP="00493C07">
      <w:pPr>
        <w:jc w:val="both"/>
        <w:rPr>
          <w:rFonts w:ascii="Times New Roman" w:hAnsi="Times New Roman" w:cs="Times New Roman"/>
        </w:rPr>
      </w:pPr>
      <w:r>
        <w:rPr>
          <w:rFonts w:ascii="Times New Roman" w:hAnsi="Times New Roman" w:cs="Times New Roman"/>
        </w:rPr>
        <w:t xml:space="preserve">The first goal is to build a standard HANK model with sticky wages and flexible prices. In the model, nominal wages do not adjust instantly, and firms apply a fixed markup to marginal cost. They use sticky wages because in HANK models with sticky prices, profits may fluctuate enormously, which may be unrealistic. </w:t>
      </w:r>
    </w:p>
    <w:p w14:paraId="55F7EF84" w14:textId="77777777" w:rsidR="00493C07" w:rsidRDefault="00493C07" w:rsidP="00493C07">
      <w:pPr>
        <w:jc w:val="both"/>
        <w:rPr>
          <w:rFonts w:ascii="Times New Roman" w:hAnsi="Times New Roman" w:cs="Times New Roman"/>
        </w:rPr>
      </w:pPr>
    </w:p>
    <w:p w14:paraId="23AC7C96" w14:textId="1FC959A7" w:rsidR="00493C07" w:rsidRPr="00B51020" w:rsidRDefault="00493C07" w:rsidP="00493C07">
      <w:pPr>
        <w:jc w:val="both"/>
        <w:rPr>
          <w:rFonts w:ascii="Times New Roman" w:hAnsi="Times New Roman" w:cs="Times New Roman"/>
        </w:rPr>
      </w:pPr>
      <w:r>
        <w:rPr>
          <w:rFonts w:ascii="Times New Roman" w:hAnsi="Times New Roman" w:cs="Times New Roman"/>
        </w:rPr>
        <w:t xml:space="preserve">The second objective is to measure how fiscal policy works when households differ in their saving behavior and face incomplete markets. More specifically, the paper focuses on deficit-financed fiscal policy, meaning a tax cut paid for by issuing government debt. </w:t>
      </w:r>
    </w:p>
    <w:p w14:paraId="2B3453F8" w14:textId="77777777" w:rsidR="00493C07" w:rsidRDefault="00493C07" w:rsidP="00493C07">
      <w:pPr>
        <w:jc w:val="both"/>
        <w:rPr>
          <w:rFonts w:ascii="Times New Roman" w:hAnsi="Times New Roman" w:cs="Times New Roman"/>
        </w:rPr>
      </w:pPr>
    </w:p>
    <w:p w14:paraId="118623E5" w14:textId="77777777" w:rsidR="00493C07" w:rsidRDefault="00493C07" w:rsidP="00493C07">
      <w:pPr>
        <w:jc w:val="both"/>
        <w:rPr>
          <w:rFonts w:ascii="Times New Roman" w:hAnsi="Times New Roman" w:cs="Times New Roman"/>
        </w:rPr>
      </w:pPr>
      <w:r w:rsidRPr="00906C8E">
        <w:rPr>
          <w:rFonts w:ascii="Times New Roman" w:hAnsi="Times New Roman" w:cs="Times New Roman"/>
          <w:color w:val="747474" w:themeColor="background2" w:themeShade="80"/>
        </w:rPr>
        <w:t xml:space="preserve">Footnote: the New Keynesian Philipps Curve is a relationship that links current inflation to expected future inflation and economic activity. It comes from price or wage stickiness. In our paper we have a wage philipps curve which defines wage inflation. </w:t>
      </w:r>
    </w:p>
    <w:p w14:paraId="621BB0A7" w14:textId="77777777" w:rsidR="00493C07" w:rsidRDefault="00493C07" w:rsidP="00493C07">
      <w:pPr>
        <w:jc w:val="both"/>
        <w:rPr>
          <w:rFonts w:ascii="Times New Roman" w:hAnsi="Times New Roman" w:cs="Times New Roman"/>
        </w:rPr>
      </w:pPr>
    </w:p>
    <w:p w14:paraId="5B54D3CD" w14:textId="77777777" w:rsidR="00493C07" w:rsidRPr="008B4678" w:rsidRDefault="00493C07" w:rsidP="00493C07">
      <w:pPr>
        <w:jc w:val="both"/>
        <w:rPr>
          <w:rFonts w:ascii="Times New Roman" w:hAnsi="Times New Roman" w:cs="Times New Roman"/>
          <w:b/>
          <w:bCs/>
        </w:rPr>
      </w:pPr>
      <w:r w:rsidRPr="008B4678">
        <w:rPr>
          <w:rFonts w:ascii="Times New Roman" w:hAnsi="Times New Roman" w:cs="Times New Roman"/>
          <w:b/>
          <w:bCs/>
        </w:rPr>
        <w:t>SLIDE 3</w:t>
      </w:r>
      <w:r>
        <w:rPr>
          <w:rFonts w:ascii="Times New Roman" w:hAnsi="Times New Roman" w:cs="Times New Roman"/>
          <w:b/>
          <w:bCs/>
        </w:rPr>
        <w:t xml:space="preserve"> – </w:t>
      </w:r>
      <w:r w:rsidRPr="008B4678">
        <w:rPr>
          <w:rFonts w:ascii="Times New Roman" w:hAnsi="Times New Roman" w:cs="Times New Roman"/>
          <w:b/>
          <w:bCs/>
        </w:rPr>
        <w:t>Model Ingredients</w:t>
      </w:r>
    </w:p>
    <w:p w14:paraId="604E5735" w14:textId="77777777" w:rsidR="00493C07" w:rsidRDefault="00493C07" w:rsidP="00493C07">
      <w:pPr>
        <w:jc w:val="both"/>
        <w:rPr>
          <w:rFonts w:ascii="Times New Roman" w:hAnsi="Times New Roman" w:cs="Times New Roman"/>
        </w:rPr>
      </w:pPr>
    </w:p>
    <w:p w14:paraId="755BDB10" w14:textId="05EAE2A2" w:rsidR="00493C07" w:rsidRDefault="00493C07" w:rsidP="00493C07">
      <w:pPr>
        <w:jc w:val="both"/>
        <w:rPr>
          <w:rFonts w:ascii="Times New Roman" w:hAnsi="Times New Roman" w:cs="Times New Roman"/>
        </w:rPr>
      </w:pPr>
      <w:r>
        <w:rPr>
          <w:rFonts w:ascii="Times New Roman" w:hAnsi="Times New Roman" w:cs="Times New Roman"/>
        </w:rPr>
        <w:t xml:space="preserve">The model assumes that households face individual income shocks that they cannot fully insure. These shocks come from variations in labor productivity at the household level. </w:t>
      </w:r>
      <w:r w:rsidR="004057A6">
        <w:rPr>
          <w:rFonts w:ascii="Times New Roman" w:hAnsi="Times New Roman" w:cs="Times New Roman"/>
        </w:rPr>
        <w:t xml:space="preserve"> </w:t>
      </w:r>
      <w:r>
        <w:rPr>
          <w:rFonts w:ascii="Times New Roman" w:hAnsi="Times New Roman" w:cs="Times New Roman"/>
        </w:rPr>
        <w:t xml:space="preserve">Households also differ in how patient they are. </w:t>
      </w:r>
    </w:p>
    <w:p w14:paraId="5FEFF53D" w14:textId="77777777" w:rsidR="00493C07" w:rsidRDefault="00493C07" w:rsidP="00493C07">
      <w:pPr>
        <w:jc w:val="both"/>
        <w:rPr>
          <w:rFonts w:ascii="Times New Roman" w:hAnsi="Times New Roman" w:cs="Times New Roman"/>
        </w:rPr>
      </w:pPr>
    </w:p>
    <w:p w14:paraId="13A00BBD" w14:textId="77777777" w:rsidR="00493C07" w:rsidRDefault="00493C07" w:rsidP="00493C07">
      <w:pPr>
        <w:jc w:val="both"/>
        <w:rPr>
          <w:rFonts w:ascii="Times New Roman" w:hAnsi="Times New Roman" w:cs="Times New Roman"/>
        </w:rPr>
      </w:pPr>
      <w:r>
        <w:rPr>
          <w:rFonts w:ascii="Times New Roman" w:hAnsi="Times New Roman" w:cs="Times New Roman"/>
        </w:rPr>
        <w:t>Households do not decide how many hours to work. Instead, their earnings depend only on the aggregate wage in the economy and on their individual productivity shocks.</w:t>
      </w:r>
    </w:p>
    <w:p w14:paraId="7DEF1EAF" w14:textId="77777777" w:rsidR="00493C07" w:rsidRDefault="00493C07" w:rsidP="00493C07">
      <w:pPr>
        <w:jc w:val="both"/>
        <w:rPr>
          <w:rFonts w:ascii="Times New Roman" w:hAnsi="Times New Roman" w:cs="Times New Roman"/>
        </w:rPr>
      </w:pPr>
    </w:p>
    <w:p w14:paraId="59791549" w14:textId="0BA0AA09" w:rsidR="00493C07" w:rsidRDefault="00493C07" w:rsidP="00493C07">
      <w:pPr>
        <w:jc w:val="both"/>
        <w:rPr>
          <w:rFonts w:ascii="Times New Roman" w:hAnsi="Times New Roman" w:cs="Times New Roman"/>
        </w:rPr>
      </w:pPr>
      <w:r>
        <w:rPr>
          <w:rFonts w:ascii="Times New Roman" w:hAnsi="Times New Roman" w:cs="Times New Roman"/>
        </w:rPr>
        <w:t>Households are assumed to follow a “buffer-stock saving rule”, which means they save in order to create a buffer against the possibility of receiving a low income in the future. At the same time, when they become sufficiently wealthy, they face diminishing returns to additional</w:t>
      </w:r>
      <w:r w:rsidR="00EC03F3">
        <w:rPr>
          <w:rFonts w:ascii="Times New Roman" w:hAnsi="Times New Roman" w:cs="Times New Roman"/>
        </w:rPr>
        <w:t xml:space="preserve"> </w:t>
      </w:r>
      <w:r>
        <w:rPr>
          <w:rFonts w:ascii="Times New Roman" w:hAnsi="Times New Roman" w:cs="Times New Roman"/>
        </w:rPr>
        <w:t>savings.</w:t>
      </w:r>
    </w:p>
    <w:p w14:paraId="15327926" w14:textId="77777777" w:rsidR="00493C07" w:rsidRDefault="00493C07" w:rsidP="00493C07">
      <w:pPr>
        <w:jc w:val="both"/>
        <w:rPr>
          <w:rFonts w:ascii="Times New Roman" w:hAnsi="Times New Roman" w:cs="Times New Roman"/>
        </w:rPr>
      </w:pPr>
    </w:p>
    <w:p w14:paraId="4C5E624C" w14:textId="77777777" w:rsidR="00493C07" w:rsidRDefault="00493C07" w:rsidP="00493C07">
      <w:pPr>
        <w:jc w:val="both"/>
        <w:rPr>
          <w:rFonts w:ascii="Times New Roman" w:hAnsi="Times New Roman" w:cs="Times New Roman"/>
        </w:rPr>
      </w:pPr>
      <w:r>
        <w:rPr>
          <w:rFonts w:ascii="Times New Roman" w:hAnsi="Times New Roman" w:cs="Times New Roman"/>
        </w:rPr>
        <w:t xml:space="preserve">The authors use a computational technique called the sequence-space jacobian method to solve for impulse responses in the model. Rather than solving the entire distribution of households period by period, this technique computes how small shocks affect the economy by examining how each variable responses along a sequence of future periods. The shocks they use are MIT shocks, which are unexpected one-time disturbances at date zero, after which agents have perfect foresight. </w:t>
      </w:r>
    </w:p>
    <w:p w14:paraId="5BEDDFFD" w14:textId="77777777" w:rsidR="00493C07" w:rsidRDefault="00493C07" w:rsidP="00493C07">
      <w:pPr>
        <w:jc w:val="both"/>
        <w:rPr>
          <w:rFonts w:ascii="Times New Roman" w:hAnsi="Times New Roman" w:cs="Times New Roman"/>
        </w:rPr>
      </w:pPr>
    </w:p>
    <w:p w14:paraId="4FB6D9B5" w14:textId="77777777" w:rsidR="00493C07" w:rsidRDefault="00493C07" w:rsidP="00493C07">
      <w:pPr>
        <w:jc w:val="both"/>
        <w:rPr>
          <w:rFonts w:ascii="Times New Roman" w:hAnsi="Times New Roman" w:cs="Times New Roman"/>
        </w:rPr>
      </w:pPr>
      <w:r>
        <w:rPr>
          <w:rFonts w:ascii="Times New Roman" w:hAnsi="Times New Roman" w:cs="Times New Roman"/>
        </w:rPr>
        <w:lastRenderedPageBreak/>
        <w:t>Households behavior in this context is summarized by intertemporal MPC. These measure how much a household increases its consumption through the period when its income changes.</w:t>
      </w:r>
    </w:p>
    <w:p w14:paraId="34CAC4B4" w14:textId="77777777" w:rsidR="00493C07" w:rsidRDefault="00493C07" w:rsidP="00493C07">
      <w:pPr>
        <w:jc w:val="both"/>
        <w:rPr>
          <w:rFonts w:ascii="Times New Roman" w:hAnsi="Times New Roman" w:cs="Times New Roman"/>
        </w:rPr>
      </w:pPr>
    </w:p>
    <w:p w14:paraId="61E8FFF6" w14:textId="77777777" w:rsidR="00493C07" w:rsidRDefault="00493C07" w:rsidP="00493C07">
      <w:pPr>
        <w:jc w:val="both"/>
        <w:rPr>
          <w:rFonts w:ascii="Times New Roman" w:hAnsi="Times New Roman" w:cs="Times New Roman"/>
        </w:rPr>
      </w:pPr>
      <w:r>
        <w:rPr>
          <w:rFonts w:ascii="Times New Roman" w:hAnsi="Times New Roman" w:cs="Times New Roman"/>
        </w:rPr>
        <w:t>Combining the model’s equations with the goods-market clearing condition gives the keynesian cross. This relationship states that the change in output is equal to the change in government spending plus the change in consumption induced by after tax income. Here, M bar is the average MPC across households. This equation captures the feedback loop in which an increase in output raises household income, which raises consumption, which further raises output.</w:t>
      </w:r>
    </w:p>
    <w:p w14:paraId="42B060A6" w14:textId="77777777" w:rsidR="00493C07" w:rsidRDefault="00493C07" w:rsidP="00493C07">
      <w:pPr>
        <w:jc w:val="both"/>
        <w:rPr>
          <w:rFonts w:ascii="Times New Roman" w:hAnsi="Times New Roman" w:cs="Times New Roman"/>
        </w:rPr>
      </w:pPr>
    </w:p>
    <w:p w14:paraId="0378A9CF" w14:textId="77777777" w:rsidR="00493C07" w:rsidRPr="003B46F5" w:rsidRDefault="00493C07" w:rsidP="00493C07">
      <w:pPr>
        <w:jc w:val="both"/>
        <w:rPr>
          <w:rFonts w:ascii="Times New Roman" w:hAnsi="Times New Roman" w:cs="Times New Roman"/>
          <w:b/>
          <w:bCs/>
        </w:rPr>
      </w:pPr>
      <w:r w:rsidRPr="003B46F5">
        <w:rPr>
          <w:rFonts w:ascii="Times New Roman" w:hAnsi="Times New Roman" w:cs="Times New Roman"/>
          <w:b/>
          <w:bCs/>
        </w:rPr>
        <w:t>SLIDE 7 – Model: Households</w:t>
      </w:r>
    </w:p>
    <w:p w14:paraId="47171416" w14:textId="77777777" w:rsidR="00493C07" w:rsidRDefault="00493C07" w:rsidP="00493C07">
      <w:pPr>
        <w:jc w:val="both"/>
        <w:rPr>
          <w:rFonts w:ascii="Times New Roman" w:hAnsi="Times New Roman" w:cs="Times New Roman"/>
        </w:rPr>
      </w:pPr>
    </w:p>
    <w:p w14:paraId="5B6A5812" w14:textId="77777777" w:rsidR="00493C07" w:rsidRDefault="00493C07" w:rsidP="00493C07">
      <w:pPr>
        <w:jc w:val="both"/>
        <w:rPr>
          <w:rFonts w:ascii="Times New Roman" w:hAnsi="Times New Roman" w:cs="Times New Roman"/>
        </w:rPr>
      </w:pPr>
      <w:r>
        <w:rPr>
          <w:rFonts w:ascii="Times New Roman" w:hAnsi="Times New Roman" w:cs="Times New Roman"/>
        </w:rPr>
        <w:t>The model assumes that households experience two sources of uncertainty that they cannot insure against. First, each household faces an idiosyncratic labor productivity shock eit which determines how productive the household is when it works. Second, each household draws a time varying discount factor, denoted beta. This determines how patient the household is. Households cannot buy insurance contracts to smooth out these shocks.</w:t>
      </w:r>
    </w:p>
    <w:p w14:paraId="19C1A0B4" w14:textId="77777777" w:rsidR="00493C07" w:rsidRDefault="00493C07" w:rsidP="00493C07">
      <w:pPr>
        <w:jc w:val="both"/>
        <w:rPr>
          <w:rFonts w:ascii="Times New Roman" w:hAnsi="Times New Roman" w:cs="Times New Roman"/>
        </w:rPr>
      </w:pPr>
    </w:p>
    <w:p w14:paraId="343EDE07" w14:textId="77777777" w:rsidR="00493C07" w:rsidRDefault="00493C07" w:rsidP="00493C07">
      <w:pPr>
        <w:jc w:val="both"/>
        <w:rPr>
          <w:rFonts w:ascii="Times New Roman" w:hAnsi="Times New Roman" w:cs="Times New Roman"/>
        </w:rPr>
      </w:pPr>
      <w:r>
        <w:rPr>
          <w:rFonts w:ascii="Times New Roman" w:hAnsi="Times New Roman" w:cs="Times New Roman"/>
        </w:rPr>
        <w:t xml:space="preserve">Each household chooses a sequence of consumption levels cit in order to maximize expected discounted lifetime utility. The utility function includes two components. The first is the logarithm of consumption, which illustrates the fact that households enjoy consuming but at a diminishing rate. The second component is the disutility from working, as supplying labor is unpleasant. </w:t>
      </w:r>
    </w:p>
    <w:p w14:paraId="6AD874B4" w14:textId="77777777" w:rsidR="00493C07" w:rsidRDefault="00493C07" w:rsidP="00493C07">
      <w:pPr>
        <w:jc w:val="both"/>
        <w:rPr>
          <w:rFonts w:ascii="Times New Roman" w:hAnsi="Times New Roman" w:cs="Times New Roman"/>
        </w:rPr>
      </w:pPr>
    </w:p>
    <w:p w14:paraId="0D020625" w14:textId="77777777" w:rsidR="00493C07" w:rsidRDefault="00493C07" w:rsidP="00493C07">
      <w:pPr>
        <w:jc w:val="both"/>
        <w:rPr>
          <w:rFonts w:ascii="Times New Roman" w:hAnsi="Times New Roman" w:cs="Times New Roman"/>
        </w:rPr>
      </w:pPr>
      <w:r>
        <w:rPr>
          <w:rFonts w:ascii="Times New Roman" w:hAnsi="Times New Roman" w:cs="Times New Roman"/>
        </w:rPr>
        <w:t xml:space="preserve">Discount factors change over time, so the discounting term is a product of all past realized discount factors up to time t – 1. </w:t>
      </w:r>
    </w:p>
    <w:p w14:paraId="21B26A5F" w14:textId="77777777" w:rsidR="00493C07" w:rsidRDefault="00493C07" w:rsidP="00493C07">
      <w:pPr>
        <w:jc w:val="both"/>
        <w:rPr>
          <w:rFonts w:ascii="Times New Roman" w:hAnsi="Times New Roman" w:cs="Times New Roman"/>
        </w:rPr>
      </w:pPr>
    </w:p>
    <w:p w14:paraId="54A78970" w14:textId="77777777" w:rsidR="00493C07" w:rsidRDefault="00493C07" w:rsidP="00493C07">
      <w:pPr>
        <w:jc w:val="both"/>
        <w:rPr>
          <w:rFonts w:ascii="Times New Roman" w:hAnsi="Times New Roman" w:cs="Times New Roman"/>
        </w:rPr>
      </w:pPr>
      <w:r>
        <w:rPr>
          <w:rFonts w:ascii="Times New Roman" w:hAnsi="Times New Roman" w:cs="Times New Roman"/>
        </w:rPr>
        <w:t xml:space="preserve">The household cannot consume more than the resources it has. The household begins in period t with assets ait-1 which earn a return rpt. The household also received labor income equal to the real wage wt, multiplied by its idiosyncratic productivity eit, multiplied by the number of hours worked Nt, and then multiplied by 1 – tau t to account for taxes. With these total resources, the household must choose how much to consume and how much to save. </w:t>
      </w:r>
    </w:p>
    <w:p w14:paraId="3A50801B" w14:textId="77777777" w:rsidR="00493C07" w:rsidRDefault="00493C07" w:rsidP="00493C07">
      <w:pPr>
        <w:jc w:val="both"/>
        <w:rPr>
          <w:rFonts w:ascii="Times New Roman" w:hAnsi="Times New Roman" w:cs="Times New Roman"/>
        </w:rPr>
      </w:pPr>
    </w:p>
    <w:p w14:paraId="3D4F4D4C" w14:textId="77777777" w:rsidR="00493C07" w:rsidRDefault="00493C07" w:rsidP="00493C07">
      <w:pPr>
        <w:jc w:val="both"/>
        <w:rPr>
          <w:rFonts w:ascii="Times New Roman" w:hAnsi="Times New Roman" w:cs="Times New Roman"/>
        </w:rPr>
      </w:pPr>
      <w:r>
        <w:rPr>
          <w:rFonts w:ascii="Times New Roman" w:hAnsi="Times New Roman" w:cs="Times New Roman"/>
        </w:rPr>
        <w:t xml:space="preserve">The household cannot borrow, this is enforced by an additional constraint. </w:t>
      </w:r>
    </w:p>
    <w:p w14:paraId="26552D02" w14:textId="77777777" w:rsidR="00493C07" w:rsidRDefault="00493C07" w:rsidP="00493C07">
      <w:pPr>
        <w:jc w:val="both"/>
        <w:rPr>
          <w:rFonts w:ascii="Times New Roman" w:hAnsi="Times New Roman" w:cs="Times New Roman"/>
        </w:rPr>
      </w:pPr>
    </w:p>
    <w:p w14:paraId="2CAC7BBF" w14:textId="77777777" w:rsidR="00493C07" w:rsidRDefault="00493C07" w:rsidP="00493C07">
      <w:pPr>
        <w:jc w:val="both"/>
        <w:rPr>
          <w:rFonts w:ascii="Times New Roman" w:hAnsi="Times New Roman" w:cs="Times New Roman"/>
        </w:rPr>
      </w:pPr>
      <w:r>
        <w:rPr>
          <w:rFonts w:ascii="Times New Roman" w:hAnsi="Times New Roman" w:cs="Times New Roman"/>
        </w:rPr>
        <w:t xml:space="preserve">Finally, households do not choose their own labor supply. Instead, a union determines the total amount of labor supplied in the economy. Each household must supply the same number of hours. </w:t>
      </w:r>
    </w:p>
    <w:p w14:paraId="701415F1" w14:textId="77777777" w:rsidR="00493C07" w:rsidRDefault="00493C07" w:rsidP="00493C07">
      <w:pPr>
        <w:jc w:val="both"/>
        <w:rPr>
          <w:rFonts w:ascii="Times New Roman" w:hAnsi="Times New Roman" w:cs="Times New Roman"/>
        </w:rPr>
      </w:pPr>
    </w:p>
    <w:p w14:paraId="4D9AAA4C" w14:textId="77777777" w:rsidR="00493C07" w:rsidRPr="002E095D" w:rsidRDefault="00493C07" w:rsidP="00493C07">
      <w:pPr>
        <w:jc w:val="both"/>
        <w:rPr>
          <w:rFonts w:ascii="Times New Roman" w:hAnsi="Times New Roman" w:cs="Times New Roman"/>
          <w:b/>
          <w:bCs/>
        </w:rPr>
      </w:pPr>
      <w:r w:rsidRPr="002E095D">
        <w:rPr>
          <w:rFonts w:ascii="Times New Roman" w:hAnsi="Times New Roman" w:cs="Times New Roman"/>
          <w:b/>
          <w:bCs/>
        </w:rPr>
        <w:t>SLIDE 8 – Model: Firms and Government</w:t>
      </w:r>
    </w:p>
    <w:p w14:paraId="41840717" w14:textId="77777777" w:rsidR="00493C07" w:rsidRDefault="00493C07" w:rsidP="00493C07">
      <w:pPr>
        <w:jc w:val="both"/>
        <w:rPr>
          <w:rFonts w:ascii="Times New Roman" w:hAnsi="Times New Roman" w:cs="Times New Roman"/>
        </w:rPr>
      </w:pPr>
    </w:p>
    <w:p w14:paraId="0110E343" w14:textId="77777777" w:rsidR="00493C07" w:rsidRDefault="00493C07" w:rsidP="00493C07">
      <w:pPr>
        <w:jc w:val="both"/>
        <w:rPr>
          <w:rFonts w:ascii="Times New Roman" w:hAnsi="Times New Roman" w:cs="Times New Roman"/>
        </w:rPr>
      </w:pPr>
      <w:r>
        <w:rPr>
          <w:rFonts w:ascii="Times New Roman" w:hAnsi="Times New Roman" w:cs="Times New Roman"/>
        </w:rPr>
        <w:t xml:space="preserve">The model assumes sticky wages, not sticky prices. Firms hire labor to produce output, and they take wages as given because wage-setting occurs through unions that face adjustment costs. </w:t>
      </w:r>
    </w:p>
    <w:p w14:paraId="7FEB3603" w14:textId="77777777" w:rsidR="00493C07" w:rsidRDefault="00493C07" w:rsidP="00493C07">
      <w:pPr>
        <w:jc w:val="both"/>
        <w:rPr>
          <w:rFonts w:ascii="Times New Roman" w:hAnsi="Times New Roman" w:cs="Times New Roman"/>
        </w:rPr>
      </w:pPr>
    </w:p>
    <w:p w14:paraId="7D840587" w14:textId="77777777" w:rsidR="00493C07" w:rsidRDefault="00493C07" w:rsidP="00493C07">
      <w:pPr>
        <w:jc w:val="both"/>
        <w:rPr>
          <w:rFonts w:ascii="Times New Roman" w:hAnsi="Times New Roman" w:cs="Times New Roman"/>
        </w:rPr>
      </w:pPr>
      <w:r>
        <w:rPr>
          <w:rFonts w:ascii="Times New Roman" w:hAnsi="Times New Roman" w:cs="Times New Roman"/>
        </w:rPr>
        <w:t xml:space="preserve">Firms do not face restrictions when adjusting prices. They set the price equal to a constant markup over marginal cost. Since marginal cost in this model is the nominal wage, the price of goods is equal to the markup times the nominal wage. </w:t>
      </w:r>
    </w:p>
    <w:p w14:paraId="4CD4FBC3" w14:textId="77777777" w:rsidR="00493C07" w:rsidRDefault="00493C07" w:rsidP="00493C07">
      <w:pPr>
        <w:jc w:val="both"/>
        <w:rPr>
          <w:rFonts w:ascii="Times New Roman" w:hAnsi="Times New Roman" w:cs="Times New Roman"/>
        </w:rPr>
      </w:pPr>
    </w:p>
    <w:p w14:paraId="21CB3B16" w14:textId="77777777" w:rsidR="00493C07" w:rsidRDefault="00493C07" w:rsidP="00493C07">
      <w:pPr>
        <w:jc w:val="both"/>
        <w:rPr>
          <w:rFonts w:ascii="Times New Roman" w:hAnsi="Times New Roman" w:cs="Times New Roman"/>
        </w:rPr>
      </w:pPr>
      <w:r>
        <w:rPr>
          <w:rFonts w:ascii="Times New Roman" w:hAnsi="Times New Roman" w:cs="Times New Roman"/>
        </w:rPr>
        <w:lastRenderedPageBreak/>
        <w:t xml:space="preserve">Firms produce output using labor as the only input. Because prices are a fixed markup over wages, the real wage in the economy is constant and equal to 1/mu. Nominal wages may be adjusting but the real purchasing power is stable. </w:t>
      </w:r>
    </w:p>
    <w:p w14:paraId="0CA68D44" w14:textId="77777777" w:rsidR="00493C07" w:rsidRDefault="00493C07" w:rsidP="00493C07">
      <w:pPr>
        <w:jc w:val="both"/>
        <w:rPr>
          <w:rFonts w:ascii="Times New Roman" w:hAnsi="Times New Roman" w:cs="Times New Roman"/>
        </w:rPr>
      </w:pPr>
    </w:p>
    <w:p w14:paraId="6C862E1C" w14:textId="77777777" w:rsidR="00493C07" w:rsidRDefault="00493C07" w:rsidP="00493C07">
      <w:pPr>
        <w:jc w:val="both"/>
        <w:rPr>
          <w:rFonts w:ascii="Times New Roman" w:hAnsi="Times New Roman" w:cs="Times New Roman"/>
        </w:rPr>
      </w:pPr>
      <w:r>
        <w:rPr>
          <w:rFonts w:ascii="Times New Roman" w:hAnsi="Times New Roman" w:cs="Times New Roman"/>
        </w:rPr>
        <w:t>The wage Philipps curve determines wage inflation. This equation describes how quickly nominal wages adjust. Wage inflation today depends on two components. First, the gap between marginal disutility of labor and the marginal benefit of working (which is the after-tax real wage divided by consumption). When the marginal benefit of working is high relative to its cost, unions want to raise wages. Second, wage inflation depends on expected future wage inflation.</w:t>
      </w:r>
    </w:p>
    <w:p w14:paraId="72A3E227" w14:textId="77777777" w:rsidR="00493C07" w:rsidRDefault="00493C07" w:rsidP="00493C07">
      <w:pPr>
        <w:jc w:val="both"/>
        <w:rPr>
          <w:rFonts w:ascii="Times New Roman" w:hAnsi="Times New Roman" w:cs="Times New Roman"/>
        </w:rPr>
      </w:pPr>
    </w:p>
    <w:p w14:paraId="1427E749" w14:textId="77777777" w:rsidR="00493C07" w:rsidRDefault="00493C07" w:rsidP="00493C07">
      <w:pPr>
        <w:jc w:val="both"/>
        <w:rPr>
          <w:rFonts w:ascii="Times New Roman" w:hAnsi="Times New Roman" w:cs="Times New Roman"/>
        </w:rPr>
      </w:pPr>
      <w:r>
        <w:rPr>
          <w:rFonts w:ascii="Times New Roman" w:hAnsi="Times New Roman" w:cs="Times New Roman"/>
        </w:rPr>
        <w:t>The government collects taxes, spends resources, and issues debt. Government spending plus repayment on past debt must equal new debt issuance plus tax revenues.</w:t>
      </w:r>
    </w:p>
    <w:p w14:paraId="59E08B66" w14:textId="77777777" w:rsidR="00493C07" w:rsidRDefault="00493C07" w:rsidP="00493C07">
      <w:pPr>
        <w:jc w:val="both"/>
        <w:rPr>
          <w:rFonts w:ascii="Times New Roman" w:hAnsi="Times New Roman" w:cs="Times New Roman"/>
        </w:rPr>
      </w:pPr>
    </w:p>
    <w:p w14:paraId="1650A485" w14:textId="77777777" w:rsidR="00493C07" w:rsidRPr="00E337E1" w:rsidRDefault="00493C07" w:rsidP="00493C07">
      <w:pPr>
        <w:jc w:val="both"/>
        <w:rPr>
          <w:rFonts w:ascii="Times New Roman" w:hAnsi="Times New Roman" w:cs="Times New Roman"/>
          <w:b/>
          <w:bCs/>
        </w:rPr>
      </w:pPr>
      <w:r w:rsidRPr="00E337E1">
        <w:rPr>
          <w:rFonts w:ascii="Times New Roman" w:hAnsi="Times New Roman" w:cs="Times New Roman"/>
          <w:b/>
          <w:bCs/>
        </w:rPr>
        <w:t>SLIDE 9 – Model</w:t>
      </w:r>
    </w:p>
    <w:p w14:paraId="2EC43B57" w14:textId="77777777" w:rsidR="00493C07" w:rsidRDefault="00493C07" w:rsidP="00493C07">
      <w:pPr>
        <w:jc w:val="both"/>
        <w:rPr>
          <w:rFonts w:ascii="Times New Roman" w:hAnsi="Times New Roman" w:cs="Times New Roman"/>
        </w:rPr>
      </w:pPr>
      <w:r>
        <w:rPr>
          <w:rFonts w:ascii="Times New Roman" w:hAnsi="Times New Roman" w:cs="Times New Roman"/>
        </w:rPr>
        <w:t xml:space="preserve"> </w:t>
      </w:r>
    </w:p>
    <w:p w14:paraId="392534D9" w14:textId="77777777" w:rsidR="00493C07" w:rsidRDefault="00493C07" w:rsidP="00493C07">
      <w:pPr>
        <w:jc w:val="both"/>
        <w:rPr>
          <w:rFonts w:ascii="Times New Roman" w:hAnsi="Times New Roman" w:cs="Times New Roman"/>
        </w:rPr>
      </w:pPr>
      <w:r>
        <w:rPr>
          <w:rFonts w:ascii="Times New Roman" w:hAnsi="Times New Roman" w:cs="Times New Roman"/>
        </w:rPr>
        <w:t>The first equation describes how the return on a risk-free asset must relate to the return on a share of the firm. The right-hand side is the rate of return on the stock. The no-arbitrage condition states that a mutual fund must be indifferent in equilibrium between holding government bonds (which earn rt) and holding shares of the firm. Otherwise, investors would exploit the difference.</w:t>
      </w:r>
    </w:p>
    <w:p w14:paraId="6369442B" w14:textId="77777777" w:rsidR="00493C07" w:rsidRDefault="00493C07" w:rsidP="00493C07">
      <w:pPr>
        <w:jc w:val="both"/>
        <w:rPr>
          <w:rFonts w:ascii="Times New Roman" w:hAnsi="Times New Roman" w:cs="Times New Roman"/>
        </w:rPr>
      </w:pPr>
    </w:p>
    <w:p w14:paraId="58690F92" w14:textId="77777777" w:rsidR="00493C07" w:rsidRDefault="00493C07" w:rsidP="00493C07">
      <w:pPr>
        <w:jc w:val="both"/>
        <w:rPr>
          <w:rFonts w:ascii="Times New Roman" w:hAnsi="Times New Roman" w:cs="Times New Roman"/>
        </w:rPr>
      </w:pPr>
      <w:r>
        <w:rPr>
          <w:rFonts w:ascii="Times New Roman" w:hAnsi="Times New Roman" w:cs="Times New Roman"/>
        </w:rPr>
        <w:t xml:space="preserve">Secondly, all assets the government and firms issue are held exactly by households. </w:t>
      </w:r>
    </w:p>
    <w:p w14:paraId="518727BC" w14:textId="77777777" w:rsidR="00493C07" w:rsidRDefault="00493C07" w:rsidP="00493C07">
      <w:pPr>
        <w:jc w:val="both"/>
        <w:rPr>
          <w:rFonts w:ascii="Times New Roman" w:hAnsi="Times New Roman" w:cs="Times New Roman"/>
        </w:rPr>
      </w:pPr>
    </w:p>
    <w:p w14:paraId="490C2D04" w14:textId="77777777" w:rsidR="00493C07" w:rsidRDefault="00493C07" w:rsidP="00493C07">
      <w:pPr>
        <w:jc w:val="both"/>
        <w:rPr>
          <w:rFonts w:ascii="Times New Roman" w:hAnsi="Times New Roman" w:cs="Times New Roman"/>
        </w:rPr>
      </w:pPr>
      <w:r>
        <w:rPr>
          <w:rFonts w:ascii="Times New Roman" w:hAnsi="Times New Roman" w:cs="Times New Roman"/>
        </w:rPr>
        <w:t>When the model is initialized, the mutual fund must have a portfolio that pays exactly what households expect basedon steady stage returns. This third equation ensures that the initial valuation of the fund matches the initial value of stocks and bonds.</w:t>
      </w:r>
    </w:p>
    <w:p w14:paraId="7327C47F" w14:textId="77777777" w:rsidR="00493C07" w:rsidRDefault="00493C07" w:rsidP="00493C07">
      <w:pPr>
        <w:jc w:val="both"/>
        <w:rPr>
          <w:rFonts w:ascii="Times New Roman" w:hAnsi="Times New Roman" w:cs="Times New Roman"/>
        </w:rPr>
      </w:pPr>
    </w:p>
    <w:p w14:paraId="57AA385E" w14:textId="77777777" w:rsidR="00493C07" w:rsidRDefault="00493C07" w:rsidP="00493C07">
      <w:pPr>
        <w:jc w:val="both"/>
        <w:rPr>
          <w:rFonts w:ascii="Times New Roman" w:hAnsi="Times New Roman" w:cs="Times New Roman"/>
        </w:rPr>
      </w:pPr>
      <w:r>
        <w:rPr>
          <w:rFonts w:ascii="Times New Roman" w:hAnsi="Times New Roman" w:cs="Times New Roman"/>
        </w:rPr>
        <w:t xml:space="preserve">The final condition says that all goods produced in the economy must be either for private consumption or government spending, because the model does not include investment for capital. </w:t>
      </w:r>
    </w:p>
    <w:p w14:paraId="38414E22" w14:textId="77777777" w:rsidR="00493C07" w:rsidRDefault="00493C07" w:rsidP="00493C07">
      <w:pPr>
        <w:jc w:val="both"/>
        <w:rPr>
          <w:rFonts w:ascii="Times New Roman" w:hAnsi="Times New Roman" w:cs="Times New Roman"/>
        </w:rPr>
      </w:pPr>
    </w:p>
    <w:p w14:paraId="3C5F3BFA" w14:textId="77777777" w:rsidR="00493C07" w:rsidRPr="00DE0C03" w:rsidRDefault="00493C07" w:rsidP="00493C07">
      <w:pPr>
        <w:jc w:val="both"/>
        <w:rPr>
          <w:rFonts w:ascii="Times New Roman" w:hAnsi="Times New Roman" w:cs="Times New Roman"/>
          <w:b/>
          <w:bCs/>
        </w:rPr>
      </w:pPr>
      <w:r w:rsidRPr="00DE0C03">
        <w:rPr>
          <w:rFonts w:ascii="Times New Roman" w:hAnsi="Times New Roman" w:cs="Times New Roman"/>
          <w:b/>
          <w:bCs/>
        </w:rPr>
        <w:t>SLIDE 10 – Calibration: Key Parameters</w:t>
      </w:r>
    </w:p>
    <w:p w14:paraId="2C8CC68E" w14:textId="77777777" w:rsidR="00493C07" w:rsidRDefault="00493C07" w:rsidP="00493C07">
      <w:pPr>
        <w:jc w:val="both"/>
        <w:rPr>
          <w:rFonts w:ascii="Times New Roman" w:hAnsi="Times New Roman" w:cs="Times New Roman"/>
        </w:rPr>
      </w:pPr>
    </w:p>
    <w:p w14:paraId="2FA9FC2B" w14:textId="77777777" w:rsidR="00493C07" w:rsidRPr="00E70DAF" w:rsidRDefault="00493C07" w:rsidP="00493C07">
      <w:pPr>
        <w:pStyle w:val="ListParagraph"/>
        <w:numPr>
          <w:ilvl w:val="0"/>
          <w:numId w:val="1"/>
        </w:numPr>
        <w:jc w:val="both"/>
        <w:rPr>
          <w:rFonts w:ascii="Times New Roman" w:hAnsi="Times New Roman" w:cs="Times New Roman"/>
        </w:rPr>
      </w:pPr>
      <w:r w:rsidRPr="00E70DAF">
        <w:rPr>
          <w:rFonts w:ascii="Times New Roman" w:hAnsi="Times New Roman" w:cs="Times New Roman"/>
        </w:rPr>
        <w:t>The real interest rate is set to 2% annually.</w:t>
      </w:r>
    </w:p>
    <w:p w14:paraId="273BDB82" w14:textId="77777777" w:rsidR="00493C07" w:rsidRPr="00E70DAF" w:rsidRDefault="00493C07" w:rsidP="00493C07">
      <w:pPr>
        <w:pStyle w:val="ListParagraph"/>
        <w:numPr>
          <w:ilvl w:val="0"/>
          <w:numId w:val="1"/>
        </w:numPr>
        <w:jc w:val="both"/>
        <w:rPr>
          <w:rFonts w:ascii="Times New Roman" w:hAnsi="Times New Roman" w:cs="Times New Roman"/>
        </w:rPr>
      </w:pPr>
      <w:r w:rsidRPr="00E70DAF">
        <w:rPr>
          <w:rFonts w:ascii="Times New Roman" w:hAnsi="Times New Roman" w:cs="Times New Roman"/>
        </w:rPr>
        <w:t xml:space="preserve">Households in the US hold assets equal to roughly five times annual GDP, which is why A = 500% of GDP. </w:t>
      </w:r>
    </w:p>
    <w:p w14:paraId="3E60D48E" w14:textId="77777777" w:rsidR="00493C07" w:rsidRPr="00E70DAF" w:rsidRDefault="00493C07" w:rsidP="00493C07">
      <w:pPr>
        <w:pStyle w:val="ListParagraph"/>
        <w:numPr>
          <w:ilvl w:val="0"/>
          <w:numId w:val="1"/>
        </w:numPr>
        <w:jc w:val="both"/>
        <w:rPr>
          <w:rFonts w:ascii="Times New Roman" w:hAnsi="Times New Roman" w:cs="Times New Roman"/>
        </w:rPr>
      </w:pPr>
      <w:r w:rsidRPr="00E70DAF">
        <w:rPr>
          <w:rFonts w:ascii="Times New Roman" w:hAnsi="Times New Roman" w:cs="Times New Roman"/>
        </w:rPr>
        <w:t xml:space="preserve">The government debt-to-GDP ratio is set at one hundred percent. </w:t>
      </w:r>
    </w:p>
    <w:p w14:paraId="23C72C9F" w14:textId="77777777" w:rsidR="00493C07" w:rsidRPr="00E70DAF" w:rsidRDefault="00493C07" w:rsidP="00493C07">
      <w:pPr>
        <w:pStyle w:val="ListParagraph"/>
        <w:numPr>
          <w:ilvl w:val="0"/>
          <w:numId w:val="1"/>
        </w:numPr>
        <w:jc w:val="both"/>
        <w:rPr>
          <w:rFonts w:ascii="Times New Roman" w:hAnsi="Times New Roman" w:cs="Times New Roman"/>
        </w:rPr>
      </w:pPr>
      <w:r w:rsidRPr="00E70DAF">
        <w:rPr>
          <w:rFonts w:ascii="Times New Roman" w:hAnsi="Times New Roman" w:cs="Times New Roman"/>
        </w:rPr>
        <w:t xml:space="preserve">Government purchases of goods and services amount to about 20% of US GDP. </w:t>
      </w:r>
    </w:p>
    <w:p w14:paraId="2B078BDB" w14:textId="77777777" w:rsidR="00493C07" w:rsidRDefault="00493C07" w:rsidP="00493C07">
      <w:pPr>
        <w:pStyle w:val="ListParagraph"/>
        <w:numPr>
          <w:ilvl w:val="0"/>
          <w:numId w:val="1"/>
        </w:numPr>
        <w:jc w:val="both"/>
        <w:rPr>
          <w:rFonts w:ascii="Times New Roman" w:hAnsi="Times New Roman" w:cs="Times New Roman"/>
        </w:rPr>
      </w:pPr>
      <w:r w:rsidRPr="00E70DAF">
        <w:rPr>
          <w:rFonts w:ascii="Times New Roman" w:hAnsi="Times New Roman" w:cs="Times New Roman"/>
        </w:rPr>
        <w:t xml:space="preserve">The </w:t>
      </w:r>
      <w:r>
        <w:rPr>
          <w:rFonts w:ascii="Times New Roman" w:hAnsi="Times New Roman" w:cs="Times New Roman"/>
        </w:rPr>
        <w:t xml:space="preserve">steady-state </w:t>
      </w:r>
      <w:r w:rsidRPr="00E70DAF">
        <w:rPr>
          <w:rFonts w:ascii="Times New Roman" w:hAnsi="Times New Roman" w:cs="Times New Roman"/>
        </w:rPr>
        <w:t xml:space="preserve">average </w:t>
      </w:r>
      <w:r>
        <w:rPr>
          <w:rFonts w:ascii="Times New Roman" w:hAnsi="Times New Roman" w:cs="Times New Roman"/>
        </w:rPr>
        <w:t xml:space="preserve">INCOME WEIGHTED </w:t>
      </w:r>
      <w:r w:rsidRPr="00E70DAF">
        <w:rPr>
          <w:rFonts w:ascii="Times New Roman" w:hAnsi="Times New Roman" w:cs="Times New Roman"/>
        </w:rPr>
        <w:t>MPC is 20%. This indicates that, on average</w:t>
      </w:r>
      <w:r>
        <w:rPr>
          <w:rFonts w:ascii="Times New Roman" w:hAnsi="Times New Roman" w:cs="Times New Roman"/>
        </w:rPr>
        <w:t xml:space="preserve"> and weighted by income</w:t>
      </w:r>
      <w:r w:rsidRPr="00E70DAF">
        <w:rPr>
          <w:rFonts w:ascii="Times New Roman" w:hAnsi="Times New Roman" w:cs="Times New Roman"/>
        </w:rPr>
        <w:t>, households consume twenty cents of each additional dollar they receive today.</w:t>
      </w:r>
    </w:p>
    <w:p w14:paraId="5B8D1DF5" w14:textId="77777777" w:rsidR="00493C07" w:rsidRDefault="00493C07" w:rsidP="00493C07">
      <w:pPr>
        <w:pStyle w:val="ListParagraph"/>
        <w:numPr>
          <w:ilvl w:val="0"/>
          <w:numId w:val="1"/>
        </w:numPr>
        <w:jc w:val="both"/>
        <w:rPr>
          <w:rFonts w:ascii="Times New Roman" w:hAnsi="Times New Roman" w:cs="Times New Roman"/>
        </w:rPr>
      </w:pPr>
      <w:r>
        <w:rPr>
          <w:rFonts w:ascii="Times New Roman" w:hAnsi="Times New Roman" w:cs="Times New Roman"/>
        </w:rPr>
        <w:t xml:space="preserve">The markup mu is 1.11. This markup determines the ratio of prices to wages. This amount implies that firms price their goods eleven percent above marginal cost. </w:t>
      </w:r>
    </w:p>
    <w:p w14:paraId="4FC33232" w14:textId="77777777" w:rsidR="00493C07" w:rsidRDefault="00493C07" w:rsidP="00493C07">
      <w:pPr>
        <w:pStyle w:val="ListParagraph"/>
        <w:numPr>
          <w:ilvl w:val="0"/>
          <w:numId w:val="1"/>
        </w:numPr>
        <w:jc w:val="both"/>
        <w:rPr>
          <w:rFonts w:ascii="Times New Roman" w:hAnsi="Times New Roman" w:cs="Times New Roman"/>
        </w:rPr>
      </w:pPr>
      <w:r>
        <w:rPr>
          <w:rFonts w:ascii="Times New Roman" w:hAnsi="Times New Roman" w:cs="Times New Roman"/>
        </w:rPr>
        <w:t xml:space="preserve">Households differ in how patient they are. Impatient households have a discount factor of 0.91, while patient households have one of 1. </w:t>
      </w:r>
    </w:p>
    <w:p w14:paraId="0E697B1D" w14:textId="77777777" w:rsidR="00493C07" w:rsidRDefault="00493C07" w:rsidP="00493C07">
      <w:pPr>
        <w:pStyle w:val="ListParagraph"/>
        <w:numPr>
          <w:ilvl w:val="0"/>
          <w:numId w:val="1"/>
        </w:numPr>
        <w:jc w:val="both"/>
        <w:rPr>
          <w:rFonts w:ascii="Times New Roman" w:hAnsi="Times New Roman" w:cs="Times New Roman"/>
        </w:rPr>
      </w:pPr>
      <w:r>
        <w:rPr>
          <w:rFonts w:ascii="Times New Roman" w:hAnsi="Times New Roman" w:cs="Times New Roman"/>
        </w:rPr>
        <w:t>49% of households in the model are patient, while the rest are impatient. The authors chose this parameter to match empirical wealth concentration.</w:t>
      </w:r>
    </w:p>
    <w:p w14:paraId="7FA4BDEE" w14:textId="77777777" w:rsidR="00493C07" w:rsidRDefault="00493C07" w:rsidP="00493C07">
      <w:pPr>
        <w:pStyle w:val="ListParagraph"/>
        <w:numPr>
          <w:ilvl w:val="0"/>
          <w:numId w:val="1"/>
        </w:numPr>
        <w:jc w:val="both"/>
        <w:rPr>
          <w:rFonts w:ascii="Times New Roman" w:hAnsi="Times New Roman" w:cs="Times New Roman"/>
        </w:rPr>
      </w:pPr>
      <w:r>
        <w:rPr>
          <w:rFonts w:ascii="Times New Roman" w:hAnsi="Times New Roman" w:cs="Times New Roman"/>
        </w:rPr>
        <w:t>Each period, one percent of households randomly redraw whether they are patient or impatient. This captures generational turnover.</w:t>
      </w:r>
    </w:p>
    <w:p w14:paraId="6E174EB7" w14:textId="77777777" w:rsidR="00493C07" w:rsidRDefault="00493C07" w:rsidP="00493C07">
      <w:pPr>
        <w:pStyle w:val="ListParagraph"/>
        <w:numPr>
          <w:ilvl w:val="0"/>
          <w:numId w:val="1"/>
        </w:numPr>
        <w:jc w:val="both"/>
        <w:rPr>
          <w:rFonts w:ascii="Times New Roman" w:hAnsi="Times New Roman" w:cs="Times New Roman"/>
        </w:rPr>
      </w:pPr>
      <w:r>
        <w:rPr>
          <w:rFonts w:ascii="Times New Roman" w:hAnsi="Times New Roman" w:cs="Times New Roman"/>
        </w:rPr>
        <w:lastRenderedPageBreak/>
        <w:t>The tax-to-GDP ratio is 22%. This is because t</w:t>
      </w:r>
      <w:r w:rsidRPr="005602D3">
        <w:rPr>
          <w:rFonts w:ascii="Times New Roman" w:hAnsi="Times New Roman" w:cs="Times New Roman"/>
        </w:rPr>
        <w:t>ax revenue must cover government spending (G) which is 20% of GDP (Y), as well as interest payments on debt (rB), which is 2% of GDP.</w:t>
      </w:r>
    </w:p>
    <w:p w14:paraId="0F33BB0B" w14:textId="77777777" w:rsidR="00493C07" w:rsidRDefault="00493C07" w:rsidP="00493C07">
      <w:pPr>
        <w:jc w:val="both"/>
        <w:rPr>
          <w:rFonts w:ascii="Times New Roman" w:hAnsi="Times New Roman" w:cs="Times New Roman"/>
        </w:rPr>
      </w:pPr>
    </w:p>
    <w:p w14:paraId="4E9B5283" w14:textId="77777777" w:rsidR="00493C07" w:rsidRPr="00906C8E" w:rsidRDefault="00493C07" w:rsidP="00493C07">
      <w:pPr>
        <w:jc w:val="both"/>
        <w:rPr>
          <w:rFonts w:ascii="Times New Roman" w:hAnsi="Times New Roman" w:cs="Times New Roman"/>
          <w:b/>
          <w:bCs/>
        </w:rPr>
      </w:pPr>
      <w:r w:rsidRPr="00906C8E">
        <w:rPr>
          <w:rFonts w:ascii="Times New Roman" w:hAnsi="Times New Roman" w:cs="Times New Roman"/>
          <w:b/>
          <w:bCs/>
        </w:rPr>
        <w:t>SLIDE 11 – Defining the Steady-State</w:t>
      </w:r>
    </w:p>
    <w:p w14:paraId="37B94A4D" w14:textId="77777777" w:rsidR="00493C07" w:rsidRDefault="00493C07" w:rsidP="00493C07">
      <w:pPr>
        <w:jc w:val="both"/>
        <w:rPr>
          <w:rFonts w:ascii="Times New Roman" w:hAnsi="Times New Roman" w:cs="Times New Roman"/>
        </w:rPr>
      </w:pPr>
    </w:p>
    <w:p w14:paraId="5A64363A" w14:textId="77777777" w:rsidR="00493C07" w:rsidRDefault="00493C07" w:rsidP="00493C07">
      <w:pPr>
        <w:jc w:val="both"/>
        <w:rPr>
          <w:rFonts w:ascii="Times New Roman" w:hAnsi="Times New Roman" w:cs="Times New Roman"/>
        </w:rPr>
      </w:pPr>
      <w:r>
        <w:rPr>
          <w:rFonts w:ascii="Times New Roman" w:hAnsi="Times New Roman" w:cs="Times New Roman"/>
        </w:rPr>
        <w:t>The authors calibrated the model’s steady state to match three empirical facts about the US economy.</w:t>
      </w:r>
    </w:p>
    <w:p w14:paraId="51812922" w14:textId="77777777" w:rsidR="00493C07" w:rsidRDefault="00493C07" w:rsidP="00493C07">
      <w:pPr>
        <w:jc w:val="both"/>
        <w:rPr>
          <w:rFonts w:ascii="Times New Roman" w:hAnsi="Times New Roman" w:cs="Times New Roman"/>
        </w:rPr>
      </w:pPr>
    </w:p>
    <w:p w14:paraId="6313E3ED" w14:textId="77777777" w:rsidR="00493C07" w:rsidRDefault="00493C07" w:rsidP="00493C07">
      <w:pPr>
        <w:jc w:val="both"/>
        <w:rPr>
          <w:rFonts w:ascii="Times New Roman" w:hAnsi="Times New Roman" w:cs="Times New Roman"/>
        </w:rPr>
      </w:pPr>
      <w:r>
        <w:rPr>
          <w:rFonts w:ascii="Times New Roman" w:hAnsi="Times New Roman" w:cs="Times New Roman"/>
        </w:rPr>
        <w:t>Firstly, the model must generate a total wealth level equal to roughly 500% of GDP.</w:t>
      </w:r>
    </w:p>
    <w:p w14:paraId="0D1BEE7E" w14:textId="77777777" w:rsidR="00493C07" w:rsidRDefault="00493C07" w:rsidP="00493C07">
      <w:pPr>
        <w:jc w:val="both"/>
        <w:rPr>
          <w:rFonts w:ascii="Times New Roman" w:hAnsi="Times New Roman" w:cs="Times New Roman"/>
        </w:rPr>
      </w:pPr>
    </w:p>
    <w:p w14:paraId="039900C3" w14:textId="77777777" w:rsidR="00493C07" w:rsidRDefault="00493C07" w:rsidP="00493C07">
      <w:pPr>
        <w:jc w:val="both"/>
        <w:rPr>
          <w:rFonts w:ascii="Times New Roman" w:hAnsi="Times New Roman" w:cs="Times New Roman"/>
        </w:rPr>
      </w:pPr>
      <w:r>
        <w:rPr>
          <w:rFonts w:ascii="Times New Roman" w:hAnsi="Times New Roman" w:cs="Times New Roman"/>
        </w:rPr>
        <w:t xml:space="preserve">Secondly, the model must also reproduce a high income-weighted marginal propensity to consume, around 20% per period. Empirically, many US households consume a large fraction of additional income, especially hand to mouth or low wealth households. This MPC allows high income households to have low MPCS and low income households to have very high MPCs. </w:t>
      </w:r>
    </w:p>
    <w:p w14:paraId="1FBEFA08" w14:textId="77777777" w:rsidR="00493C07" w:rsidRDefault="00493C07" w:rsidP="00493C07">
      <w:pPr>
        <w:jc w:val="both"/>
        <w:rPr>
          <w:rFonts w:ascii="Times New Roman" w:hAnsi="Times New Roman" w:cs="Times New Roman"/>
        </w:rPr>
      </w:pPr>
    </w:p>
    <w:p w14:paraId="7C8AB96D" w14:textId="77777777" w:rsidR="00493C07" w:rsidRDefault="00493C07" w:rsidP="00493C07">
      <w:pPr>
        <w:jc w:val="both"/>
        <w:rPr>
          <w:rFonts w:ascii="Times New Roman" w:hAnsi="Times New Roman" w:cs="Times New Roman"/>
        </w:rPr>
      </w:pPr>
      <w:r>
        <w:rPr>
          <w:rFonts w:ascii="Times New Roman" w:hAnsi="Times New Roman" w:cs="Times New Roman"/>
        </w:rPr>
        <w:t>Finally, the steady state must match the unequal wealth distribution found in the US, with a w</w:t>
      </w:r>
      <w:r w:rsidRPr="006A73D6">
        <w:rPr>
          <w:rFonts w:ascii="Times New Roman" w:hAnsi="Times New Roman" w:cs="Times New Roman"/>
        </w:rPr>
        <w:t xml:space="preserve">ealth distribution </w:t>
      </w:r>
      <w:r>
        <w:rPr>
          <w:rFonts w:ascii="Times New Roman" w:hAnsi="Times New Roman" w:cs="Times New Roman"/>
        </w:rPr>
        <w:t xml:space="preserve">(Lorenz Curve) </w:t>
      </w:r>
      <w:r w:rsidRPr="006A73D6">
        <w:rPr>
          <w:rFonts w:ascii="Times New Roman" w:hAnsi="Times New Roman" w:cs="Times New Roman"/>
        </w:rPr>
        <w:t>matching the 2019 US Survey of Consumer Finances</w:t>
      </w:r>
      <w:r>
        <w:rPr>
          <w:rFonts w:ascii="Times New Roman" w:hAnsi="Times New Roman" w:cs="Times New Roman"/>
        </w:rPr>
        <w:t>.</w:t>
      </w:r>
    </w:p>
    <w:p w14:paraId="70F89776" w14:textId="77777777" w:rsidR="00493C07" w:rsidRDefault="00493C07" w:rsidP="00493C07">
      <w:pPr>
        <w:jc w:val="both"/>
        <w:rPr>
          <w:rFonts w:ascii="Times New Roman" w:hAnsi="Times New Roman" w:cs="Times New Roman"/>
        </w:rPr>
      </w:pPr>
    </w:p>
    <w:p w14:paraId="0BD7764B" w14:textId="77777777" w:rsidR="00493C07" w:rsidRDefault="00493C07" w:rsidP="00493C07">
      <w:pPr>
        <w:jc w:val="both"/>
        <w:rPr>
          <w:rFonts w:ascii="Times New Roman" w:hAnsi="Times New Roman" w:cs="Times New Roman"/>
        </w:rPr>
      </w:pPr>
      <w:r>
        <w:rPr>
          <w:rFonts w:ascii="Times New Roman" w:hAnsi="Times New Roman" w:cs="Times New Roman"/>
        </w:rPr>
        <w:t xml:space="preserve">To accomplish this, the authors use a two-state beta, where the patient households help the model achieve a high wealth to GDP ratio and the impatient households generate a high average MPC in the steady stage. </w:t>
      </w:r>
    </w:p>
    <w:p w14:paraId="63E1C86D" w14:textId="77777777" w:rsidR="00493C07" w:rsidRDefault="00493C07" w:rsidP="00493C07">
      <w:pPr>
        <w:jc w:val="both"/>
        <w:rPr>
          <w:rFonts w:ascii="Times New Roman" w:hAnsi="Times New Roman" w:cs="Times New Roman"/>
        </w:rPr>
      </w:pPr>
    </w:p>
    <w:p w14:paraId="67D2EBBD" w14:textId="77777777" w:rsidR="00493C07" w:rsidRDefault="00493C07" w:rsidP="00493C07">
      <w:pPr>
        <w:jc w:val="both"/>
        <w:rPr>
          <w:rFonts w:ascii="Times New Roman" w:hAnsi="Times New Roman" w:cs="Times New Roman"/>
        </w:rPr>
      </w:pPr>
      <w:r>
        <w:rPr>
          <w:rFonts w:ascii="Times New Roman" w:hAnsi="Times New Roman" w:cs="Times New Roman"/>
        </w:rPr>
        <w:t>They also use the generational turnover parameter q, to prevent patient households to accumulate wealth indefinitely.</w:t>
      </w:r>
    </w:p>
    <w:p w14:paraId="21AAB250" w14:textId="77777777" w:rsidR="00493C07" w:rsidRDefault="00493C07" w:rsidP="00493C07">
      <w:pPr>
        <w:jc w:val="both"/>
        <w:rPr>
          <w:rFonts w:ascii="Times New Roman" w:hAnsi="Times New Roman" w:cs="Times New Roman"/>
        </w:rPr>
      </w:pPr>
    </w:p>
    <w:p w14:paraId="2C877C2F" w14:textId="77777777" w:rsidR="00493C07" w:rsidRPr="00C951F6" w:rsidRDefault="00493C07" w:rsidP="00493C07">
      <w:pPr>
        <w:jc w:val="both"/>
        <w:rPr>
          <w:rFonts w:ascii="Times New Roman" w:hAnsi="Times New Roman" w:cs="Times New Roman"/>
          <w:color w:val="747474" w:themeColor="background2" w:themeShade="80"/>
        </w:rPr>
      </w:pPr>
      <w:r w:rsidRPr="00C951F6">
        <w:rPr>
          <w:rFonts w:ascii="Times New Roman" w:hAnsi="Times New Roman" w:cs="Times New Roman"/>
          <w:color w:val="747474" w:themeColor="background2" w:themeShade="80"/>
        </w:rPr>
        <w:t xml:space="preserve">Reminder: the simplified Gini coefficient calculation is 1 – 2 * Area under the Lorenz Curve. The Lorenz curve represents the cumulative share of people from lowest to highest income on its x axis, and the cumulative share of income earned on the y axis. The US had a gini coefficient of 42% in 2019. </w:t>
      </w:r>
    </w:p>
    <w:p w14:paraId="64B3D7BC" w14:textId="77777777" w:rsidR="00493C07" w:rsidRDefault="00493C07" w:rsidP="00493C07">
      <w:pPr>
        <w:jc w:val="both"/>
        <w:rPr>
          <w:rFonts w:ascii="Times New Roman" w:hAnsi="Times New Roman" w:cs="Times New Roman"/>
        </w:rPr>
      </w:pPr>
    </w:p>
    <w:p w14:paraId="62683E22" w14:textId="77777777" w:rsidR="00493C07" w:rsidRPr="00206854" w:rsidRDefault="00493C07" w:rsidP="00493C07">
      <w:pPr>
        <w:jc w:val="both"/>
        <w:rPr>
          <w:rFonts w:ascii="Times New Roman" w:hAnsi="Times New Roman" w:cs="Times New Roman"/>
          <w:b/>
          <w:bCs/>
        </w:rPr>
      </w:pPr>
      <w:r w:rsidRPr="00206854">
        <w:rPr>
          <w:rFonts w:ascii="Times New Roman" w:hAnsi="Times New Roman" w:cs="Times New Roman"/>
          <w:b/>
          <w:bCs/>
        </w:rPr>
        <w:t>SLIDE 12 – Computing the Steady-State</w:t>
      </w:r>
    </w:p>
    <w:p w14:paraId="54247B56" w14:textId="77777777" w:rsidR="00493C07" w:rsidRDefault="00493C07" w:rsidP="00493C07">
      <w:pPr>
        <w:jc w:val="both"/>
        <w:rPr>
          <w:rFonts w:ascii="Times New Roman" w:hAnsi="Times New Roman" w:cs="Times New Roman"/>
        </w:rPr>
      </w:pPr>
    </w:p>
    <w:p w14:paraId="169C7C0B" w14:textId="77777777" w:rsidR="00493C07" w:rsidRDefault="00493C07" w:rsidP="00493C07">
      <w:pPr>
        <w:jc w:val="both"/>
        <w:rPr>
          <w:rFonts w:ascii="Times New Roman" w:hAnsi="Times New Roman" w:cs="Times New Roman"/>
        </w:rPr>
      </w:pPr>
      <w:r>
        <w:rPr>
          <w:rFonts w:ascii="Times New Roman" w:hAnsi="Times New Roman" w:cs="Times New Roman"/>
        </w:rPr>
        <w:t>The HANK model models many different types of households that differ in their productivity, wealth, and discount factors. To compute the steady state, the authors must solve the household savings problem through backward iteration, simulate many households over time, aggregate variables across households and impose market clearing conditions.</w:t>
      </w:r>
    </w:p>
    <w:p w14:paraId="0C4F77C2" w14:textId="77777777" w:rsidR="00493C07" w:rsidRDefault="00493C07" w:rsidP="00493C07">
      <w:pPr>
        <w:jc w:val="both"/>
        <w:rPr>
          <w:rFonts w:ascii="Times New Roman" w:hAnsi="Times New Roman" w:cs="Times New Roman"/>
        </w:rPr>
      </w:pPr>
    </w:p>
    <w:p w14:paraId="5FB20512" w14:textId="77777777" w:rsidR="00493C07" w:rsidRDefault="00493C07" w:rsidP="00493C07">
      <w:pPr>
        <w:jc w:val="both"/>
        <w:rPr>
          <w:rFonts w:ascii="Times New Roman" w:hAnsi="Times New Roman" w:cs="Times New Roman"/>
        </w:rPr>
      </w:pPr>
      <w:r>
        <w:rPr>
          <w:rFonts w:ascii="Times New Roman" w:hAnsi="Times New Roman" w:cs="Times New Roman"/>
        </w:rPr>
        <w:t>With the RA model, there is not heterogeneity. It has only one household.</w:t>
      </w:r>
    </w:p>
    <w:p w14:paraId="4B797B33" w14:textId="77777777" w:rsidR="00493C07" w:rsidRDefault="00493C07" w:rsidP="00493C07">
      <w:pPr>
        <w:jc w:val="both"/>
        <w:rPr>
          <w:rFonts w:ascii="Times New Roman" w:hAnsi="Times New Roman" w:cs="Times New Roman"/>
        </w:rPr>
      </w:pPr>
    </w:p>
    <w:p w14:paraId="0E783071" w14:textId="77777777" w:rsidR="00493C07" w:rsidRDefault="00493C07" w:rsidP="00493C07">
      <w:pPr>
        <w:jc w:val="both"/>
        <w:rPr>
          <w:rFonts w:ascii="Times New Roman" w:hAnsi="Times New Roman" w:cs="Times New Roman"/>
        </w:rPr>
      </w:pPr>
      <w:r>
        <w:rPr>
          <w:rFonts w:ascii="Times New Roman" w:hAnsi="Times New Roman" w:cs="Times New Roman"/>
        </w:rPr>
        <w:t xml:space="preserve">The TA model divides the economy into a fraction lambda of hand-to-mouth households, who consume all their labor income each period, and a fraction 1 minus lambda of unconstrained households who follow an Euler equation. Since these unconstrained households behave like a representative agent, their consumption can be written in a closed form. </w:t>
      </w:r>
    </w:p>
    <w:p w14:paraId="102161C5" w14:textId="77777777" w:rsidR="00C064C1" w:rsidRDefault="00C064C1" w:rsidP="00493C07">
      <w:pPr>
        <w:jc w:val="both"/>
        <w:rPr>
          <w:rFonts w:ascii="Times New Roman" w:hAnsi="Times New Roman" w:cs="Times New Roman"/>
        </w:rPr>
      </w:pPr>
    </w:p>
    <w:p w14:paraId="209A00A4" w14:textId="77777777" w:rsidR="00C064C1" w:rsidRDefault="00C064C1" w:rsidP="00493C07">
      <w:pPr>
        <w:jc w:val="both"/>
        <w:rPr>
          <w:rFonts w:ascii="Times New Roman" w:hAnsi="Times New Roman" w:cs="Times New Roman"/>
        </w:rPr>
      </w:pPr>
    </w:p>
    <w:p w14:paraId="504379C0" w14:textId="77777777" w:rsidR="00C064C1" w:rsidRDefault="00C064C1" w:rsidP="00493C07">
      <w:pPr>
        <w:jc w:val="both"/>
        <w:rPr>
          <w:rFonts w:ascii="Times New Roman" w:hAnsi="Times New Roman" w:cs="Times New Roman"/>
        </w:rPr>
      </w:pPr>
    </w:p>
    <w:p w14:paraId="43FFECF5" w14:textId="77777777" w:rsidR="00C064C1" w:rsidRDefault="00C064C1" w:rsidP="00493C07">
      <w:pPr>
        <w:jc w:val="both"/>
        <w:rPr>
          <w:rFonts w:ascii="Times New Roman" w:hAnsi="Times New Roman" w:cs="Times New Roman"/>
        </w:rPr>
      </w:pPr>
    </w:p>
    <w:p w14:paraId="40F4498E" w14:textId="77777777" w:rsidR="00C064C1" w:rsidRDefault="00C064C1" w:rsidP="00493C07">
      <w:pPr>
        <w:jc w:val="both"/>
        <w:rPr>
          <w:rFonts w:ascii="Times New Roman" w:hAnsi="Times New Roman" w:cs="Times New Roman"/>
        </w:rPr>
      </w:pPr>
    </w:p>
    <w:p w14:paraId="6F1CEE17" w14:textId="1A490C8A" w:rsidR="00C064C1" w:rsidRPr="00C064C1" w:rsidRDefault="00C064C1" w:rsidP="00493C07">
      <w:pPr>
        <w:jc w:val="both"/>
        <w:rPr>
          <w:rFonts w:ascii="Times New Roman" w:hAnsi="Times New Roman" w:cs="Times New Roman"/>
          <w:b/>
          <w:bCs/>
        </w:rPr>
      </w:pPr>
      <w:r w:rsidRPr="00C064C1">
        <w:rPr>
          <w:rFonts w:ascii="Times New Roman" w:hAnsi="Times New Roman" w:cs="Times New Roman"/>
          <w:b/>
          <w:bCs/>
        </w:rPr>
        <w:lastRenderedPageBreak/>
        <w:t xml:space="preserve">Notes on the Two-Agent </w:t>
      </w:r>
      <w:r>
        <w:rPr>
          <w:rFonts w:ascii="Times New Roman" w:hAnsi="Times New Roman" w:cs="Times New Roman"/>
          <w:b/>
          <w:bCs/>
        </w:rPr>
        <w:t xml:space="preserve">Model </w:t>
      </w:r>
      <w:r w:rsidRPr="00C064C1">
        <w:rPr>
          <w:rFonts w:ascii="Times New Roman" w:hAnsi="Times New Roman" w:cs="Times New Roman"/>
          <w:b/>
          <w:bCs/>
        </w:rPr>
        <w:t>IRF</w:t>
      </w:r>
    </w:p>
    <w:p w14:paraId="720309A9" w14:textId="77777777" w:rsidR="00C064C1" w:rsidRDefault="00C064C1" w:rsidP="00493C07">
      <w:pPr>
        <w:jc w:val="both"/>
        <w:rPr>
          <w:rFonts w:ascii="Times New Roman" w:hAnsi="Times New Roman" w:cs="Times New Roman"/>
        </w:rPr>
      </w:pPr>
    </w:p>
    <w:p w14:paraId="56194294" w14:textId="7B682672" w:rsidR="00415AF0" w:rsidRDefault="00C064C1" w:rsidP="00C064C1">
      <w:pPr>
        <w:pStyle w:val="ListParagraph"/>
        <w:numPr>
          <w:ilvl w:val="0"/>
          <w:numId w:val="2"/>
        </w:numPr>
        <w:jc w:val="both"/>
        <w:rPr>
          <w:rFonts w:ascii="Times New Roman" w:hAnsi="Times New Roman" w:cs="Times New Roman"/>
        </w:rPr>
      </w:pPr>
      <w:r>
        <w:rPr>
          <w:rFonts w:ascii="Times New Roman" w:hAnsi="Times New Roman" w:cs="Times New Roman"/>
        </w:rPr>
        <w:t>Extract steady-state values from the two-agent model (share of constrained HH, share of unconstrained HH, constrained consumption, unconstrained consumption, total consumption, total assets).</w:t>
      </w:r>
    </w:p>
    <w:p w14:paraId="0EFB6200" w14:textId="339B6D3D" w:rsidR="00C064C1" w:rsidRDefault="00C064C1" w:rsidP="00C064C1">
      <w:pPr>
        <w:pStyle w:val="ListParagraph"/>
        <w:numPr>
          <w:ilvl w:val="0"/>
          <w:numId w:val="2"/>
        </w:numPr>
        <w:jc w:val="both"/>
        <w:rPr>
          <w:rFonts w:ascii="Times New Roman" w:hAnsi="Times New Roman" w:cs="Times New Roman"/>
        </w:rPr>
      </w:pPr>
      <w:r>
        <w:rPr>
          <w:rFonts w:ascii="Times New Roman" w:hAnsi="Times New Roman" w:cs="Times New Roman"/>
        </w:rPr>
        <w:t>Get IRFs for aggregate variables of the TA model: total assets, aggregate consumption, after tax labor income, output, interest rate, labor. These are the model’s linear impulse response (deviation from the steady state) to the deficit financed tax cut shock. We interpret them as deviations and reconstruct levels.</w:t>
      </w:r>
    </w:p>
    <w:p w14:paraId="4C56D726" w14:textId="7D59576E" w:rsidR="00C064C1" w:rsidRDefault="00C064C1" w:rsidP="00C064C1">
      <w:pPr>
        <w:pStyle w:val="ListParagraph"/>
        <w:numPr>
          <w:ilvl w:val="0"/>
          <w:numId w:val="2"/>
        </w:numPr>
        <w:jc w:val="both"/>
        <w:rPr>
          <w:rFonts w:ascii="Times New Roman" w:hAnsi="Times New Roman" w:cs="Times New Roman"/>
        </w:rPr>
      </w:pPr>
      <w:r>
        <w:rPr>
          <w:rFonts w:ascii="Times New Roman" w:hAnsi="Times New Roman" w:cs="Times New Roman"/>
        </w:rPr>
        <w:t>Recover household level consumption from aggregates: we solve for consumption of hand to mouth households and of unconstrained households</w:t>
      </w:r>
    </w:p>
    <w:p w14:paraId="1D6C4533" w14:textId="4F8298B9" w:rsidR="00C064C1" w:rsidRDefault="00C064C1" w:rsidP="00C064C1">
      <w:pPr>
        <w:pStyle w:val="ListParagraph"/>
        <w:numPr>
          <w:ilvl w:val="0"/>
          <w:numId w:val="2"/>
        </w:numPr>
        <w:jc w:val="both"/>
        <w:rPr>
          <w:rFonts w:ascii="Times New Roman" w:hAnsi="Times New Roman" w:cs="Times New Roman"/>
        </w:rPr>
      </w:pPr>
      <w:r>
        <w:rPr>
          <w:rFonts w:ascii="Times New Roman" w:hAnsi="Times New Roman" w:cs="Times New Roman"/>
        </w:rPr>
        <w:t>We define inequality metrics for the TA model: consumption of hand to mouth households, consumption of unconstrained households, total assets in the economy (held by the unconstrained), population share of constrained and unconstrained households.</w:t>
      </w:r>
    </w:p>
    <w:p w14:paraId="4048070C" w14:textId="35D73973" w:rsidR="00C064C1" w:rsidRDefault="00C064C1" w:rsidP="00C064C1">
      <w:pPr>
        <w:pStyle w:val="ListParagraph"/>
        <w:numPr>
          <w:ilvl w:val="0"/>
          <w:numId w:val="2"/>
        </w:numPr>
        <w:jc w:val="both"/>
        <w:rPr>
          <w:rFonts w:ascii="Times New Roman" w:hAnsi="Times New Roman" w:cs="Times New Roman"/>
        </w:rPr>
      </w:pPr>
      <w:r>
        <w:rPr>
          <w:rFonts w:ascii="Times New Roman" w:hAnsi="Times New Roman" w:cs="Times New Roman"/>
        </w:rPr>
        <w:t>Compute steady state inequality.</w:t>
      </w:r>
    </w:p>
    <w:p w14:paraId="1F1B573E" w14:textId="47CE10CF" w:rsidR="00C064C1" w:rsidRPr="00C064C1" w:rsidRDefault="00C064C1" w:rsidP="00C064C1">
      <w:pPr>
        <w:pStyle w:val="ListParagraph"/>
        <w:numPr>
          <w:ilvl w:val="0"/>
          <w:numId w:val="2"/>
        </w:numPr>
        <w:jc w:val="both"/>
        <w:rPr>
          <w:rFonts w:ascii="Times New Roman" w:hAnsi="Times New Roman" w:cs="Times New Roman"/>
        </w:rPr>
      </w:pPr>
      <w:r>
        <w:rPr>
          <w:rFonts w:ascii="Times New Roman" w:hAnsi="Times New Roman" w:cs="Times New Roman"/>
        </w:rPr>
        <w:t>Compute inequalilty IRF along the path.</w:t>
      </w:r>
    </w:p>
    <w:sectPr w:rsidR="00C064C1" w:rsidRPr="00C064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176D7"/>
    <w:multiLevelType w:val="hybridMultilevel"/>
    <w:tmpl w:val="5DB447F2"/>
    <w:lvl w:ilvl="0" w:tplc="F9CEF0B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D7C2978"/>
    <w:multiLevelType w:val="hybridMultilevel"/>
    <w:tmpl w:val="A2A2AF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48927882">
    <w:abstractNumId w:val="0"/>
  </w:num>
  <w:num w:numId="2" w16cid:durableId="1431857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C07"/>
    <w:rsid w:val="001437E9"/>
    <w:rsid w:val="004057A6"/>
    <w:rsid w:val="00415AF0"/>
    <w:rsid w:val="00464045"/>
    <w:rsid w:val="00493C07"/>
    <w:rsid w:val="00C064C1"/>
    <w:rsid w:val="00E11BC1"/>
    <w:rsid w:val="00EC03F3"/>
    <w:rsid w:val="00EE6675"/>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0DC5ACAA"/>
  <w15:chartTrackingRefBased/>
  <w15:docId w15:val="{8F0C37BA-9B4D-B744-8B10-7C2701FED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C07"/>
  </w:style>
  <w:style w:type="paragraph" w:styleId="Heading1">
    <w:name w:val="heading 1"/>
    <w:basedOn w:val="Normal"/>
    <w:next w:val="Normal"/>
    <w:link w:val="Heading1Char"/>
    <w:uiPriority w:val="9"/>
    <w:qFormat/>
    <w:rsid w:val="00493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C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C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C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C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C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C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C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C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C07"/>
    <w:rPr>
      <w:rFonts w:eastAsiaTheme="majorEastAsia" w:cstheme="majorBidi"/>
      <w:color w:val="272727" w:themeColor="text1" w:themeTint="D8"/>
    </w:rPr>
  </w:style>
  <w:style w:type="paragraph" w:styleId="Title">
    <w:name w:val="Title"/>
    <w:basedOn w:val="Normal"/>
    <w:next w:val="Normal"/>
    <w:link w:val="TitleChar"/>
    <w:uiPriority w:val="10"/>
    <w:qFormat/>
    <w:rsid w:val="00493C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C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C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3C07"/>
    <w:rPr>
      <w:i/>
      <w:iCs/>
      <w:color w:val="404040" w:themeColor="text1" w:themeTint="BF"/>
    </w:rPr>
  </w:style>
  <w:style w:type="paragraph" w:styleId="ListParagraph">
    <w:name w:val="List Paragraph"/>
    <w:basedOn w:val="Normal"/>
    <w:uiPriority w:val="34"/>
    <w:qFormat/>
    <w:rsid w:val="00493C07"/>
    <w:pPr>
      <w:ind w:left="720"/>
      <w:contextualSpacing/>
    </w:pPr>
  </w:style>
  <w:style w:type="character" w:styleId="IntenseEmphasis">
    <w:name w:val="Intense Emphasis"/>
    <w:basedOn w:val="DefaultParagraphFont"/>
    <w:uiPriority w:val="21"/>
    <w:qFormat/>
    <w:rsid w:val="00493C07"/>
    <w:rPr>
      <w:i/>
      <w:iCs/>
      <w:color w:val="0F4761" w:themeColor="accent1" w:themeShade="BF"/>
    </w:rPr>
  </w:style>
  <w:style w:type="paragraph" w:styleId="IntenseQuote">
    <w:name w:val="Intense Quote"/>
    <w:basedOn w:val="Normal"/>
    <w:next w:val="Normal"/>
    <w:link w:val="IntenseQuoteChar"/>
    <w:uiPriority w:val="30"/>
    <w:qFormat/>
    <w:rsid w:val="00493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C07"/>
    <w:rPr>
      <w:i/>
      <w:iCs/>
      <w:color w:val="0F4761" w:themeColor="accent1" w:themeShade="BF"/>
    </w:rPr>
  </w:style>
  <w:style w:type="character" w:styleId="IntenseReference">
    <w:name w:val="Intense Reference"/>
    <w:basedOn w:val="DefaultParagraphFont"/>
    <w:uiPriority w:val="32"/>
    <w:qFormat/>
    <w:rsid w:val="00493C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1746</Words>
  <Characters>9958</Characters>
  <Application>Microsoft Office Word</Application>
  <DocSecurity>0</DocSecurity>
  <Lines>82</Lines>
  <Paragraphs>23</Paragraphs>
  <ScaleCrop>false</ScaleCrop>
  <Company/>
  <LinksUpToDate>false</LinksUpToDate>
  <CharactersWithSpaces>11681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Yesmine Hachana</dc:creator>
  <cp:keywords/>
  <dc:description/>
  <cp:lastModifiedBy>Yesmine Hachana</cp:lastModifiedBy>
  <cp:revision>4</cp:revision>
  <dcterms:created xsi:type="dcterms:W3CDTF">2025-12-10T15:11:00Z</dcterms:created>
  <dcterms:modified xsi:type="dcterms:W3CDTF">2025-12-10T17:34:00Z</dcterms:modified>
</cp:coreProperties>
</file>