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F17" w:rsidRPr="00C31F17" w:rsidRDefault="00C31F17" w:rsidP="00C31F17">
      <w:pPr>
        <w:shd w:val="clear" w:color="auto" w:fill="FFFFFF"/>
        <w:spacing w:after="420" w:line="405" w:lineRule="atLeast"/>
        <w:outlineLvl w:val="1"/>
        <w:rPr>
          <w:rFonts w:ascii="Lato" w:eastAsia="Times New Roman" w:hAnsi="Lato" w:cs="Times New Roman"/>
          <w:b/>
          <w:bCs/>
          <w:color w:val="0C2340"/>
          <w:sz w:val="27"/>
          <w:szCs w:val="27"/>
        </w:rPr>
      </w:pPr>
      <w:r w:rsidRPr="00C31F17">
        <w:rPr>
          <w:rFonts w:ascii="Lato" w:eastAsia="Times New Roman" w:hAnsi="Lato" w:cs="Times New Roman"/>
          <w:b/>
          <w:bCs/>
          <w:color w:val="0C2340"/>
          <w:sz w:val="27"/>
          <w:szCs w:val="27"/>
        </w:rPr>
        <w:t>Combining a line chart with pie charts in Tableau – LODs (or table calculations) in action</w:t>
      </w:r>
    </w:p>
    <w:p w:rsidR="00C31F17" w:rsidRPr="00C31F17" w:rsidRDefault="00C31F17" w:rsidP="00C31F17">
      <w:pPr>
        <w:shd w:val="clear" w:color="auto" w:fill="FFFFFF"/>
        <w:spacing w:after="300" w:line="240" w:lineRule="auto"/>
        <w:rPr>
          <w:rFonts w:ascii="Lato" w:eastAsia="Times New Roman" w:hAnsi="Lato" w:cs="Times New Roman"/>
          <w:color w:val="0C2340"/>
          <w:sz w:val="20"/>
          <w:szCs w:val="20"/>
        </w:rPr>
      </w:pPr>
      <w:r w:rsidRPr="00C31F17">
        <w:rPr>
          <w:rFonts w:ascii="Lato" w:eastAsia="Times New Roman" w:hAnsi="Lato" w:cs="Times New Roman"/>
          <w:color w:val="0C2340"/>
          <w:sz w:val="20"/>
          <w:szCs w:val="20"/>
        </w:rPr>
        <w:t xml:space="preserve">Let’s assume you want to know your overall sales numbers per </w:t>
      </w:r>
      <w:r w:rsidR="0053493A">
        <w:rPr>
          <w:rFonts w:ascii="Lato" w:eastAsia="Times New Roman" w:hAnsi="Lato" w:cs="Times New Roman"/>
          <w:color w:val="0C2340"/>
          <w:sz w:val="20"/>
          <w:szCs w:val="20"/>
        </w:rPr>
        <w:t>month</w:t>
      </w:r>
      <w:r w:rsidRPr="00C31F17">
        <w:rPr>
          <w:rFonts w:ascii="Lato" w:eastAsia="Times New Roman" w:hAnsi="Lato" w:cs="Times New Roman"/>
          <w:color w:val="0C2340"/>
          <w:sz w:val="20"/>
          <w:szCs w:val="20"/>
        </w:rPr>
        <w:t>, broken down by category within the same chart. But there is a way to display this specific need for information. A fancy line chart with pie charts per each data point on top will give you this level of information.</w:t>
      </w:r>
    </w:p>
    <w:p w:rsidR="00C31F17" w:rsidRPr="00C31F17" w:rsidRDefault="00C31F17" w:rsidP="00C31F17">
      <w:pPr>
        <w:shd w:val="clear" w:color="auto" w:fill="FFFFFF"/>
        <w:spacing w:after="300" w:line="240" w:lineRule="auto"/>
        <w:rPr>
          <w:rFonts w:ascii="Lato" w:eastAsia="Times New Roman" w:hAnsi="Lato" w:cs="Times New Roman"/>
          <w:color w:val="0C2340"/>
          <w:sz w:val="20"/>
          <w:szCs w:val="20"/>
        </w:rPr>
      </w:pPr>
      <w:r w:rsidRPr="00C31F17">
        <w:rPr>
          <w:rFonts w:ascii="Lato" w:eastAsia="Times New Roman" w:hAnsi="Lato" w:cs="Times New Roman"/>
          <w:noProof/>
          <w:color w:val="0C2340"/>
          <w:sz w:val="20"/>
          <w:szCs w:val="20"/>
        </w:rPr>
        <w:drawing>
          <wp:inline distT="0" distB="0" distL="0" distR="0">
            <wp:extent cx="6371590" cy="2764155"/>
            <wp:effectExtent l="0" t="0" r="0" b="0"/>
            <wp:docPr id="2" name="Picture 2" descr="https://m2dot.com/wp-content/uploads/2015/09/pline_chart_without_LOD2-1030x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2dot.com/wp-content/uploads/2015/09/pline_chart_without_LOD2-1030x44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71590" cy="2764155"/>
                    </a:xfrm>
                    <a:prstGeom prst="rect">
                      <a:avLst/>
                    </a:prstGeom>
                    <a:noFill/>
                    <a:ln>
                      <a:noFill/>
                    </a:ln>
                  </pic:spPr>
                </pic:pic>
              </a:graphicData>
            </a:graphic>
          </wp:inline>
        </w:drawing>
      </w:r>
      <w:r w:rsidRPr="00C31F17">
        <w:rPr>
          <w:rFonts w:ascii="Lato" w:eastAsia="Times New Roman" w:hAnsi="Lato" w:cs="Times New Roman"/>
          <w:color w:val="0C2340"/>
          <w:sz w:val="20"/>
          <w:szCs w:val="20"/>
        </w:rPr>
        <w:br/>
      </w:r>
    </w:p>
    <w:p w:rsidR="00C31F17" w:rsidRPr="00C31F17" w:rsidRDefault="00C31F17" w:rsidP="00C31F17">
      <w:pPr>
        <w:shd w:val="clear" w:color="auto" w:fill="FFFFFF"/>
        <w:spacing w:after="300" w:line="240" w:lineRule="auto"/>
        <w:rPr>
          <w:rFonts w:ascii="Lato" w:eastAsia="Times New Roman" w:hAnsi="Lato" w:cs="Times New Roman"/>
          <w:color w:val="0C2340"/>
          <w:sz w:val="20"/>
          <w:szCs w:val="20"/>
        </w:rPr>
      </w:pPr>
      <w:r w:rsidRPr="00C31F17">
        <w:rPr>
          <w:rFonts w:ascii="Lato" w:eastAsia="Times New Roman" w:hAnsi="Lato" w:cs="Times New Roman"/>
          <w:color w:val="0C2340"/>
          <w:sz w:val="20"/>
          <w:szCs w:val="20"/>
        </w:rPr>
        <w:t>You would think that creating a dual axis view with a line chart and a pie chart using your secondary dimension in the “Angle” pillow solves your problem, but it doesn’t. You end up with this:</w:t>
      </w:r>
    </w:p>
    <w:p w:rsidR="00C31F17" w:rsidRPr="00C31F17" w:rsidRDefault="00C31F17" w:rsidP="00C31F17">
      <w:pPr>
        <w:shd w:val="clear" w:color="auto" w:fill="FFFFFF"/>
        <w:spacing w:after="300" w:line="240" w:lineRule="auto"/>
        <w:rPr>
          <w:rFonts w:ascii="Lato" w:eastAsia="Times New Roman" w:hAnsi="Lato" w:cs="Times New Roman"/>
          <w:color w:val="0C2340"/>
          <w:sz w:val="20"/>
          <w:szCs w:val="20"/>
        </w:rPr>
      </w:pPr>
      <w:r w:rsidRPr="00C31F17">
        <w:rPr>
          <w:rFonts w:ascii="Lato" w:eastAsia="Times New Roman" w:hAnsi="Lato" w:cs="Times New Roman"/>
          <w:noProof/>
          <w:color w:val="0C2340"/>
          <w:sz w:val="20"/>
          <w:szCs w:val="20"/>
        </w:rPr>
        <w:drawing>
          <wp:inline distT="0" distB="0" distL="0" distR="0">
            <wp:extent cx="6371590" cy="2743200"/>
            <wp:effectExtent l="0" t="0" r="0" b="0"/>
            <wp:docPr id="1" name="Picture 1" descr="https://m2dot.com/wp-content/uploads/2015/09/pline_chart2-1030x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2dot.com/wp-content/uploads/2015/09/pline_chart2-1030x44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1590" cy="2743200"/>
                    </a:xfrm>
                    <a:prstGeom prst="rect">
                      <a:avLst/>
                    </a:prstGeom>
                    <a:noFill/>
                    <a:ln>
                      <a:noFill/>
                    </a:ln>
                  </pic:spPr>
                </pic:pic>
              </a:graphicData>
            </a:graphic>
          </wp:inline>
        </w:drawing>
      </w:r>
    </w:p>
    <w:p w:rsidR="00C31F17" w:rsidRPr="00C31F17" w:rsidRDefault="00C31F17" w:rsidP="00C31F17">
      <w:pPr>
        <w:shd w:val="clear" w:color="auto" w:fill="FFFFFF"/>
        <w:spacing w:after="300" w:line="240" w:lineRule="auto"/>
        <w:rPr>
          <w:rFonts w:ascii="Lato" w:eastAsia="Times New Roman" w:hAnsi="Lato" w:cs="Times New Roman"/>
          <w:color w:val="0C2340"/>
          <w:sz w:val="20"/>
          <w:szCs w:val="20"/>
        </w:rPr>
      </w:pPr>
      <w:r w:rsidRPr="00C31F17">
        <w:rPr>
          <w:rFonts w:ascii="Lato" w:eastAsia="Times New Roman" w:hAnsi="Lato" w:cs="Times New Roman"/>
          <w:color w:val="0C2340"/>
          <w:sz w:val="20"/>
          <w:szCs w:val="20"/>
        </w:rPr>
        <w:lastRenderedPageBreak/>
        <w:t>This is because Tableau is missing a valuable information: the sum of the measures to be split up by Category (or whatever secondary dimension you are interested in). Only the numbers PER Category are known, as the level of detail is based on the dimensions in the view.</w:t>
      </w:r>
    </w:p>
    <w:p w:rsidR="00C31F17" w:rsidRPr="00C31F17" w:rsidRDefault="00C31F17" w:rsidP="00C31F17">
      <w:pPr>
        <w:shd w:val="clear" w:color="auto" w:fill="FFFFFF"/>
        <w:spacing w:after="300" w:line="240" w:lineRule="auto"/>
        <w:rPr>
          <w:rFonts w:ascii="Lato" w:eastAsia="Times New Roman" w:hAnsi="Lato" w:cs="Times New Roman"/>
          <w:color w:val="0C2340"/>
          <w:sz w:val="20"/>
          <w:szCs w:val="20"/>
        </w:rPr>
      </w:pPr>
      <w:r w:rsidRPr="00C31F17">
        <w:rPr>
          <w:rFonts w:ascii="Lato" w:eastAsia="Times New Roman" w:hAnsi="Lato" w:cs="Times New Roman"/>
          <w:color w:val="0C2340"/>
          <w:sz w:val="20"/>
          <w:szCs w:val="20"/>
        </w:rPr>
        <w:t>LOD calculations come to the rescue.</w:t>
      </w:r>
    </w:p>
    <w:p w:rsidR="00C31F17" w:rsidRPr="00C31F17" w:rsidRDefault="00C31F17" w:rsidP="00C31F17">
      <w:pPr>
        <w:shd w:val="clear" w:color="auto" w:fill="FFFFFF"/>
        <w:spacing w:after="300" w:line="240" w:lineRule="auto"/>
        <w:rPr>
          <w:rFonts w:ascii="Lato" w:eastAsia="Times New Roman" w:hAnsi="Lato" w:cs="Times New Roman"/>
          <w:color w:val="0C2340"/>
          <w:sz w:val="20"/>
          <w:szCs w:val="20"/>
        </w:rPr>
      </w:pPr>
      <w:r w:rsidRPr="00C31F17">
        <w:rPr>
          <w:rFonts w:ascii="Lato" w:eastAsia="Times New Roman" w:hAnsi="Lato" w:cs="Times New Roman"/>
          <w:color w:val="0C2340"/>
          <w:sz w:val="20"/>
          <w:szCs w:val="20"/>
        </w:rPr>
        <w:t>With a calculated field „Sales (LOD</w:t>
      </w:r>
      <w:proofErr w:type="gramStart"/>
      <w:r w:rsidRPr="00C31F17">
        <w:rPr>
          <w:rFonts w:ascii="Lato" w:eastAsia="Times New Roman" w:hAnsi="Lato" w:cs="Times New Roman"/>
          <w:color w:val="0C2340"/>
          <w:sz w:val="20"/>
          <w:szCs w:val="20"/>
        </w:rPr>
        <w:t>)“ using</w:t>
      </w:r>
      <w:proofErr w:type="gramEnd"/>
      <w:r w:rsidRPr="00C31F17">
        <w:rPr>
          <w:rFonts w:ascii="Lato" w:eastAsia="Times New Roman" w:hAnsi="Lato" w:cs="Times New Roman"/>
          <w:color w:val="0C2340"/>
          <w:sz w:val="20"/>
          <w:szCs w:val="20"/>
        </w:rPr>
        <w:t xml:space="preserve"> the formula </w:t>
      </w:r>
      <w:r w:rsidRPr="00C31F17">
        <w:rPr>
          <w:rFonts w:ascii="Courier New" w:eastAsia="Times New Roman" w:hAnsi="Courier New" w:cs="Courier New"/>
          <w:color w:val="0C2340"/>
          <w:sz w:val="20"/>
          <w:szCs w:val="20"/>
        </w:rPr>
        <w:t>{EXCLUDE</w:t>
      </w:r>
    </w:p>
    <w:p w:rsidR="00C31F17" w:rsidRPr="00C31F17" w:rsidRDefault="00C31F17" w:rsidP="00C31F17">
      <w:pPr>
        <w:shd w:val="clear" w:color="auto" w:fill="FFFFFF"/>
        <w:spacing w:after="0" w:line="240" w:lineRule="auto"/>
        <w:rPr>
          <w:rFonts w:ascii="Lato" w:eastAsia="Times New Roman" w:hAnsi="Lato" w:cs="Times New Roman"/>
          <w:color w:val="0C2340"/>
          <w:sz w:val="20"/>
          <w:szCs w:val="20"/>
        </w:rPr>
      </w:pPr>
      <w:r w:rsidRPr="00C31F17">
        <w:rPr>
          <w:rFonts w:ascii="Courier New" w:eastAsia="Times New Roman" w:hAnsi="Courier New" w:cs="Courier New"/>
          <w:color w:val="0C2340"/>
          <w:sz w:val="20"/>
          <w:szCs w:val="20"/>
        </w:rPr>
        <w:t>[Category</w:t>
      </w:r>
      <w:proofErr w:type="gramStart"/>
      <w:r w:rsidRPr="00C31F17">
        <w:rPr>
          <w:rFonts w:ascii="Courier New" w:eastAsia="Times New Roman" w:hAnsi="Courier New" w:cs="Courier New"/>
          <w:color w:val="0C2340"/>
          <w:sz w:val="20"/>
          <w:szCs w:val="20"/>
        </w:rPr>
        <w:t>]:SUM</w:t>
      </w:r>
      <w:proofErr w:type="gramEnd"/>
      <w:r w:rsidRPr="00C31F17">
        <w:rPr>
          <w:rFonts w:ascii="Courier New" w:eastAsia="Times New Roman" w:hAnsi="Courier New" w:cs="Courier New"/>
          <w:color w:val="0C2340"/>
          <w:sz w:val="20"/>
          <w:szCs w:val="20"/>
        </w:rPr>
        <w:t>([Sales])}</w:t>
      </w:r>
      <w:r w:rsidRPr="00C31F17">
        <w:rPr>
          <w:rFonts w:ascii="Lato" w:eastAsia="Times New Roman" w:hAnsi="Lato" w:cs="Times New Roman"/>
          <w:color w:val="0C2340"/>
          <w:sz w:val="20"/>
          <w:szCs w:val="20"/>
        </w:rPr>
        <w:t> we are able calculate the sum of Sales at the level of detail defined in the view without including Category as part of the level of detail, even if Category is in the view.</w:t>
      </w:r>
    </w:p>
    <w:p w:rsidR="00C31F17" w:rsidRPr="00C31F17" w:rsidRDefault="00C31F17" w:rsidP="00C31F17">
      <w:pPr>
        <w:shd w:val="clear" w:color="auto" w:fill="FFFFFF"/>
        <w:spacing w:after="300" w:line="240" w:lineRule="auto"/>
        <w:rPr>
          <w:rFonts w:ascii="Lato" w:eastAsia="Times New Roman" w:hAnsi="Lato" w:cs="Times New Roman"/>
          <w:color w:val="0C2340"/>
          <w:sz w:val="20"/>
          <w:szCs w:val="20"/>
        </w:rPr>
      </w:pPr>
      <w:r w:rsidRPr="00C31F17">
        <w:rPr>
          <w:rFonts w:ascii="Lato" w:eastAsia="Times New Roman" w:hAnsi="Lato" w:cs="Times New Roman"/>
          <w:color w:val="0C2340"/>
          <w:sz w:val="20"/>
          <w:szCs w:val="20"/>
        </w:rPr>
        <w:t>So, this is what you need to do in order to get fancy:</w:t>
      </w:r>
      <w:r w:rsidRPr="00C31F17">
        <w:rPr>
          <w:rFonts w:ascii="Lato" w:eastAsia="Times New Roman" w:hAnsi="Lato" w:cs="Times New Roman"/>
          <w:color w:val="0C2340"/>
          <w:sz w:val="20"/>
          <w:szCs w:val="20"/>
        </w:rPr>
        <w:br/>
        <w:t>1. Create a Line Chart with Sales over time</w:t>
      </w:r>
      <w:r w:rsidRPr="00C31F17">
        <w:rPr>
          <w:rFonts w:ascii="Lato" w:eastAsia="Times New Roman" w:hAnsi="Lato" w:cs="Times New Roman"/>
          <w:color w:val="0C2340"/>
          <w:sz w:val="20"/>
          <w:szCs w:val="20"/>
        </w:rPr>
        <w:br/>
        <w:t>2. Create a Calculated Field „Sales (LOD)“ using the formula </w:t>
      </w:r>
      <w:bookmarkStart w:id="0" w:name="_GoBack"/>
      <w:r w:rsidRPr="00C31F17">
        <w:rPr>
          <w:rFonts w:ascii="Courier New" w:eastAsia="Times New Roman" w:hAnsi="Courier New" w:cs="Courier New"/>
          <w:color w:val="0C2340"/>
          <w:sz w:val="20"/>
          <w:szCs w:val="20"/>
        </w:rPr>
        <w:t>{EXCLUDE [Category]:SUM([Sales])}</w:t>
      </w:r>
      <w:r w:rsidRPr="00C31F17">
        <w:rPr>
          <w:rFonts w:ascii="Lato" w:eastAsia="Times New Roman" w:hAnsi="Lato" w:cs="Times New Roman"/>
          <w:color w:val="0C2340"/>
          <w:sz w:val="20"/>
          <w:szCs w:val="20"/>
        </w:rPr>
        <w:br/>
      </w:r>
      <w:bookmarkEnd w:id="0"/>
      <w:r w:rsidRPr="00C31F17">
        <w:rPr>
          <w:rFonts w:ascii="Lato" w:eastAsia="Times New Roman" w:hAnsi="Lato" w:cs="Times New Roman"/>
          <w:color w:val="0C2340"/>
          <w:sz w:val="20"/>
          <w:szCs w:val="20"/>
        </w:rPr>
        <w:t>3. Place Sales (LOD) as the second measure on the Rows shelf</w:t>
      </w:r>
      <w:r w:rsidRPr="00C31F17">
        <w:rPr>
          <w:rFonts w:ascii="Lato" w:eastAsia="Times New Roman" w:hAnsi="Lato" w:cs="Times New Roman"/>
          <w:color w:val="0C2340"/>
          <w:sz w:val="20"/>
          <w:szCs w:val="20"/>
        </w:rPr>
        <w:br/>
        <w:t>4. Change the mark type to Pie Chart for the second mark</w:t>
      </w:r>
      <w:r w:rsidRPr="00C31F17">
        <w:rPr>
          <w:rFonts w:ascii="Lato" w:eastAsia="Times New Roman" w:hAnsi="Lato" w:cs="Times New Roman"/>
          <w:color w:val="0C2340"/>
          <w:sz w:val="20"/>
          <w:szCs w:val="20"/>
        </w:rPr>
        <w:br/>
        <w:t>5. Add Category to the Color pillow and Sales to the Angle pillow</w:t>
      </w:r>
      <w:r w:rsidRPr="00C31F17">
        <w:rPr>
          <w:rFonts w:ascii="Lato" w:eastAsia="Times New Roman" w:hAnsi="Lato" w:cs="Times New Roman"/>
          <w:color w:val="0C2340"/>
          <w:sz w:val="20"/>
          <w:szCs w:val="20"/>
        </w:rPr>
        <w:br/>
        <w:t>6. Choose Dual Axis for Sales (LOD) on the Rows shelf</w:t>
      </w:r>
      <w:r w:rsidRPr="00C31F17">
        <w:rPr>
          <w:rFonts w:ascii="Lato" w:eastAsia="Times New Roman" w:hAnsi="Lato" w:cs="Times New Roman"/>
          <w:color w:val="0C2340"/>
          <w:sz w:val="20"/>
          <w:szCs w:val="20"/>
        </w:rPr>
        <w:br/>
        <w:t>7. Synchronize axis</w:t>
      </w:r>
    </w:p>
    <w:p w:rsidR="00117C1F" w:rsidRDefault="00117C1F"/>
    <w:sectPr w:rsidR="00117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F17"/>
    <w:rsid w:val="000A4B8E"/>
    <w:rsid w:val="00117C1F"/>
    <w:rsid w:val="001860E1"/>
    <w:rsid w:val="0053493A"/>
    <w:rsid w:val="00A94127"/>
    <w:rsid w:val="00C31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00CF0-5807-443C-8E0D-9396B683F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31F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F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1F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1F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891963">
      <w:bodyDiv w:val="1"/>
      <w:marLeft w:val="0"/>
      <w:marRight w:val="0"/>
      <w:marTop w:val="0"/>
      <w:marBottom w:val="0"/>
      <w:divBdr>
        <w:top w:val="none" w:sz="0" w:space="0" w:color="auto"/>
        <w:left w:val="none" w:sz="0" w:space="0" w:color="auto"/>
        <w:bottom w:val="none" w:sz="0" w:space="0" w:color="auto"/>
        <w:right w:val="none" w:sz="0" w:space="0" w:color="auto"/>
      </w:divBdr>
      <w:divsChild>
        <w:div w:id="1032611012">
          <w:marLeft w:val="0"/>
          <w:marRight w:val="0"/>
          <w:marTop w:val="0"/>
          <w:marBottom w:val="0"/>
          <w:divBdr>
            <w:top w:val="none" w:sz="0" w:space="0" w:color="auto"/>
            <w:left w:val="none" w:sz="0" w:space="0" w:color="auto"/>
            <w:bottom w:val="none" w:sz="0" w:space="0" w:color="auto"/>
            <w:right w:val="none" w:sz="0" w:space="0" w:color="auto"/>
          </w:divBdr>
          <w:divsChild>
            <w:div w:id="1784498109">
              <w:marLeft w:val="0"/>
              <w:marRight w:val="0"/>
              <w:marTop w:val="0"/>
              <w:marBottom w:val="0"/>
              <w:divBdr>
                <w:top w:val="none" w:sz="0" w:space="0" w:color="auto"/>
                <w:left w:val="none" w:sz="0" w:space="0" w:color="auto"/>
                <w:bottom w:val="none" w:sz="0" w:space="0" w:color="auto"/>
                <w:right w:val="none" w:sz="0" w:space="0" w:color="auto"/>
              </w:divBdr>
              <w:divsChild>
                <w:div w:id="1113133530">
                  <w:marLeft w:val="0"/>
                  <w:marRight w:val="0"/>
                  <w:marTop w:val="0"/>
                  <w:marBottom w:val="0"/>
                  <w:divBdr>
                    <w:top w:val="none" w:sz="0" w:space="0" w:color="auto"/>
                    <w:left w:val="none" w:sz="0" w:space="0" w:color="auto"/>
                    <w:bottom w:val="none" w:sz="0" w:space="0" w:color="auto"/>
                    <w:right w:val="none" w:sz="0" w:space="0" w:color="auto"/>
                  </w:divBdr>
                  <w:divsChild>
                    <w:div w:id="54088081">
                      <w:marLeft w:val="0"/>
                      <w:marRight w:val="0"/>
                      <w:marTop w:val="0"/>
                      <w:marBottom w:val="0"/>
                      <w:divBdr>
                        <w:top w:val="none" w:sz="0" w:space="0" w:color="auto"/>
                        <w:left w:val="none" w:sz="0" w:space="0" w:color="auto"/>
                        <w:bottom w:val="none" w:sz="0" w:space="0" w:color="auto"/>
                        <w:right w:val="none" w:sz="0" w:space="0" w:color="auto"/>
                      </w:divBdr>
                      <w:divsChild>
                        <w:div w:id="16995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2020-03-18T03:54:00Z</dcterms:created>
  <dcterms:modified xsi:type="dcterms:W3CDTF">2020-03-18T03:54:00Z</dcterms:modified>
</cp:coreProperties>
</file>