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linical-review-checklist"/>
    <w:p>
      <w:pPr>
        <w:pStyle w:val="Heading1"/>
      </w:pPr>
      <w:r>
        <w:t xml:space="preserve">Clinical review checklist</w:t>
      </w:r>
    </w:p>
    <w:p>
      <w:pPr>
        <w:pStyle w:val="FirstParagraph"/>
      </w:pPr>
      <w:r>
        <w:t xml:space="preserve">Ibà is decision support, not diagnosis. Every clinical default below was set by the build</w:t>
      </w:r>
      <w:r>
        <w:t xml:space="preserve"> </w:t>
      </w:r>
      <w:r>
        <w:t xml:space="preserve">team from the cited guideline,</w:t>
      </w:r>
      <w:r>
        <w:t xml:space="preserve"> </w:t>
      </w:r>
      <w:r>
        <w:rPr>
          <w:b/>
          <w:bCs/>
        </w:rPr>
        <w:t xml:space="preserve">and needs sign-off by a qualified clinician</w:t>
      </w:r>
      <w:r>
        <w:t xml:space="preserve"> </w:t>
      </w:r>
      <w:r>
        <w:t xml:space="preserve">before Ibà is</w:t>
      </w:r>
      <w:r>
        <w:t xml:space="preserve"> </w:t>
      </w:r>
      <w:r>
        <w:t xml:space="preserve">used with real patients. Where the guideline doesn’t settle a question, we chose the option</w:t>
      </w:r>
      <w:r>
        <w:t xml:space="preserve"> </w:t>
      </w:r>
      <w:r>
        <w:t xml:space="preserve">that refers more, because under-triage costs more than over-triage.</w:t>
      </w:r>
    </w:p>
    <w:p>
      <w:pPr>
        <w:pStyle w:val="BodyText"/>
      </w:pPr>
      <w:r>
        <w:t xml:space="preserve">Status key: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= not yet reviewed.</w:t>
      </w:r>
    </w:p>
    <w:bookmarkStart w:id="10" w:name="reviewer-sign-off"/>
    <w:p>
      <w:pPr>
        <w:pStyle w:val="Heading2"/>
      </w:pPr>
      <w:r>
        <w:t xml:space="preserve">Reviewer sign-off</w:t>
      </w:r>
    </w:p>
    <w:p>
      <w:pPr>
        <w:pStyle w:val="FirstParagraph"/>
      </w:pPr>
      <w:r>
        <w:rPr>
          <w:b/>
          <w:bCs/>
        </w:rPr>
        <w:t xml:space="preserve">Reviewer:</w:t>
      </w:r>
      <w:r>
        <w:t xml:space="preserve"> </w:t>
      </w:r>
      <w:r>
        <w:t xml:space="preserve">Dr. Oluba O. Amos, Pharmacist (</w:t>
      </w:r>
      <w:hyperlink r:id="rId9">
        <w:r>
          <w:rPr>
            <w:rStyle w:val="Hyperlink"/>
          </w:rPr>
          <w:t xml:space="preserve">@AmazingAmos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Date reviewed:</w:t>
      </w:r>
      <w:r>
        <w:t xml:space="preserve"> </w:t>
      </w:r>
      <w:r>
        <w:rPr>
          <w:i/>
          <w:iCs/>
        </w:rPr>
        <w:t xml:space="preserve">pending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Not yet started. Credited for this review only — not a project collaborator or</w:t>
      </w:r>
      <w:r>
        <w:t xml:space="preserve"> </w:t>
      </w:r>
      <w:r>
        <w:t xml:space="preserve">commit co-author (see README and About page).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Agree</w:t>
            </w:r>
          </w:p>
        </w:tc>
        <w:tc>
          <w:tcPr/>
          <w:p>
            <w:pPr>
              <w:pStyle w:val="Compact"/>
            </w:pPr>
            <w:r>
              <w:t xml:space="preserve">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Lassa fever suspicion tiers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Danger-sign rules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Dose table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Endemic-state baseline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Treat &amp; monitor advice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Eval vignettes (60 cases — per-vignette Agree/Correction in the exported review doc)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2" w:name="lassa-fever-suspicion-tiers-pending"/>
    <w:p>
      <w:pPr>
        <w:pStyle w:val="Heading2"/>
      </w:pPr>
      <w:r>
        <w:t xml:space="preserve">1. Lassa fever suspicion tiers (Pending)</w:t>
      </w:r>
    </w:p>
    <w:p>
      <w:pPr>
        <w:pStyle w:val="FirstParagraph"/>
      </w:pPr>
      <w:r>
        <w:t xml:space="preserve">Code:</w:t>
      </w:r>
      <w:r>
        <w:t xml:space="preserve"> </w:t>
      </w:r>
      <w:r>
        <w:rPr>
          <w:rStyle w:val="VerbatimChar"/>
        </w:rPr>
        <w:t xml:space="preserve">lassa_assessment</w:t>
      </w:r>
      <w:r>
        <w:t xml:space="preserve"> </w:t>
      </w:r>
      <w:r>
        <w:t xml:space="preserve">in</w:t>
      </w:r>
      <w:r>
        <w:t xml:space="preserve"> </w:t>
      </w:r>
      <w:hyperlink r:id="rId11">
        <w:r>
          <w:rPr>
            <w:rStyle w:val="Hyperlink"/>
          </w:rPr>
          <w:t xml:space="preserve">backend/app/rules/danger_signs.py</w:t>
        </w:r>
      </w:hyperlink>
      <w:r>
        <w:t xml:space="preserve">.</w:t>
      </w:r>
      <w:r>
        <w:t xml:space="preserve"> </w:t>
      </w:r>
      <w:r>
        <w:t xml:space="preserve">Source: NCDC</w:t>
      </w:r>
      <w:r>
        <w:t xml:space="preserve"> </w:t>
      </w:r>
      <w:r>
        <w:rPr>
          <w:i/>
          <w:iCs/>
        </w:rPr>
        <w:t xml:space="preserve">National Guideline for Lassa Fever Case Management</w:t>
      </w:r>
      <w:r>
        <w:t xml:space="preserve"> </w:t>
      </w:r>
      <w:r>
        <w:t xml:space="preserve">(2018), §1.1.2 Suspected case</w:t>
      </w:r>
      <w:r>
        <w:t xml:space="preserve"> </w:t>
      </w:r>
      <w:r>
        <w:t xml:space="preserve">(pp. 8–9) and §2.1.1 triage of a suspected case (p. 11).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Ibà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live outbreak signal in the patient’s state + case definition met, OR fever ≥ 3 days not responding to treatment, OR abnormal bleeding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 now</w:t>
            </w:r>
            <w:r>
              <w:t xml:space="preserve"> </w:t>
            </w:r>
            <w:r>
              <w:t xml:space="preserve">+ isolation/IPC advice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Endemic state (baseline list) + case definition met (fever 3–21 days + ≥ 1 of vomiting, diarrhoea, sore throat, myalgia, generalised weakness, abnormal bleeding, abdominal pain)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 now</w:t>
            </w:r>
            <w:r>
              <w:t xml:space="preserve"> </w:t>
            </w:r>
            <w:r>
              <w:t xml:space="preserve">+ isolation/IPC advice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Endemic state + partial features only (fever ≥ 3 days with no treatment response or possible contact, none of the listed symptoms)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 within 24h</w:t>
            </w:r>
            <w:r>
              <w:t xml:space="preserve"> </w:t>
            </w:r>
            <w:r>
              <w:t xml:space="preserve">+ isolation/IPC advice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Non-endemic state, no live signal</w:t>
            </w:r>
          </w:p>
        </w:tc>
        <w:tc>
          <w:tcPr/>
          <w:p>
            <w:pPr>
              <w:pStyle w:val="Compact"/>
            </w:pPr>
            <w:r>
              <w:t xml:space="preserve">No rule; the reasoning model may still raise Lassa</w:t>
            </w:r>
          </w:p>
        </w:tc>
      </w:tr>
    </w:tbl>
    <w:p>
      <w:pPr>
        <w:pStyle w:val="BodyText"/>
      </w:pPr>
      <w:r>
        <w:t xml:space="preserve">Rationale: NCDC treats any suspected case as isolate-and-notify, and a missed case can infect</w:t>
      </w:r>
      <w:r>
        <w:t xml:space="preserve"> </w:t>
      </w:r>
      <w:r>
        <w:t xml:space="preserve">the health worker.</w:t>
      </w:r>
    </w:p>
    <w:p>
      <w:pPr>
        <w:pStyle w:val="BodyText"/>
      </w:pPr>
      <w:r>
        <w:t xml:space="preserve">Questions for the reviewer:</w:t>
      </w:r>
      <w:r>
        <w:t xml:space="preserve"> </w:t>
      </w:r>
      <w:r>
        <w:t xml:space="preserve">1. The case definition is broad. In an endemic state, most febrile patients with 3+ days of</w:t>
      </w:r>
      <w:r>
        <w:t xml:space="preserve"> </w:t>
      </w:r>
      <w:r>
        <w:t xml:space="preserve">fever and vomiting or weakness will be told to refer now and isolate,</w:t>
      </w:r>
      <w:r>
        <w:t xml:space="preserve"> </w:t>
      </w:r>
      <w:r>
        <w:rPr>
          <w:b/>
          <w:bCs/>
        </w:rPr>
        <w:t xml:space="preserve">including</w:t>
      </w:r>
      <w:r>
        <w:rPr>
          <w:b/>
          <w:bCs/>
        </w:rPr>
        <w:t xml:space="preserve"> </w:t>
      </w:r>
      <w:r>
        <w:rPr>
          <w:b/>
          <w:bCs/>
        </w:rPr>
        <w:t xml:space="preserve">RDT-positive malaria</w:t>
      </w:r>
      <w:r>
        <w:t xml:space="preserve">. Is that the intended trade-off, or should an RDT-positive result</w:t>
      </w:r>
      <w:r>
        <w:t xml:space="preserve"> </w:t>
      </w:r>
      <w:r>
        <w:t xml:space="preserve">without treatment failure drop to Refer within 24h?</w:t>
      </w:r>
      <w:r>
        <w:t xml:space="preserve"> </w:t>
      </w:r>
      <w:r>
        <w:t xml:space="preserve">2. An unmeasured temperature counts as meeting the fever criterion; a measured temperature</w:t>
      </w:r>
      <w:r>
        <w:t xml:space="preserve"> </w:t>
      </w:r>
      <w:r>
        <w:t xml:space="preserve">below 38 °C excludes. Agree?</w:t>
      </w:r>
      <w:r>
        <w:t xml:space="preserve"> </w:t>
      </w:r>
      <w:r>
        <w:t xml:space="preserve">3. Is</w:t>
      </w:r>
      <w:r>
        <w:t xml:space="preserve"> </w:t>
      </w:r>
      <w:r>
        <w:t xml:space="preserve">“Refer within 24h”</w:t>
      </w:r>
      <w:r>
        <w:t xml:space="preserve"> </w:t>
      </w:r>
      <w:r>
        <w:t xml:space="preserve">right for the partial-features tier?</w:t>
      </w:r>
    </w:p>
    <w:bookmarkEnd w:id="12"/>
    <w:bookmarkStart w:id="13" w:name="danger-sign-rules-pending"/>
    <w:p>
      <w:pPr>
        <w:pStyle w:val="Heading2"/>
      </w:pPr>
      <w:r>
        <w:t xml:space="preserve">2. Danger-sign rules (Pending)</w:t>
      </w:r>
    </w:p>
    <w:p>
      <w:pPr>
        <w:pStyle w:val="FirstParagraph"/>
      </w:pPr>
      <w:r>
        <w:t xml:space="preserve">Code:</w:t>
      </w:r>
      <w:r>
        <w:t xml:space="preserve"> </w:t>
      </w:r>
      <w:hyperlink r:id="rId11">
        <w:r>
          <w:rPr>
            <w:rStyle w:val="Hyperlink"/>
          </w:rPr>
          <w:t xml:space="preserve">backend/app/rules/danger_signs.py</w:t>
        </w:r>
      </w:hyperlink>
      <w:r>
        <w:t xml:space="preserve">. Sources: WHO IMCI</w:t>
      </w:r>
      <w:r>
        <w:t xml:space="preserve"> </w:t>
      </w:r>
      <w:r>
        <w:t xml:space="preserve">Chart Booklet (2014) general danger signs; WHO Guidelines for Malaria, severe malaria features.</w:t>
      </w:r>
    </w:p>
    <w:p>
      <w:pPr>
        <w:pStyle w:val="Compact"/>
        <w:numPr>
          <w:ilvl w:val="0"/>
          <w:numId w:val="1001"/>
        </w:numPr>
      </w:pPr>
      <w:r>
        <w:t xml:space="preserve">Any detected sign →</w:t>
      </w:r>
      <w:r>
        <w:t xml:space="preserve"> </w:t>
      </w:r>
      <w:r>
        <w:rPr>
          <w:b/>
          <w:bCs/>
        </w:rPr>
        <w:t xml:space="preserve">Refer now</w:t>
      </w:r>
      <w:r>
        <w:t xml:space="preserve">; the model cannot lower it.</w:t>
      </w:r>
    </w:p>
    <w:p>
      <w:pPr>
        <w:pStyle w:val="Compact"/>
        <w:numPr>
          <w:ilvl w:val="0"/>
          <w:numId w:val="1001"/>
        </w:numPr>
      </w:pPr>
      <w:r>
        <w:t xml:space="preserve">Beyond the spec’s list we also trigger on: persistent/repeated vomiting, confusion,</w:t>
      </w:r>
      <w:r>
        <w:t xml:space="preserve"> </w:t>
      </w:r>
      <w:r>
        <w:t xml:space="preserve">drowsiness,</w:t>
      </w:r>
      <w:r>
        <w:t xml:space="preserve"> </w:t>
      </w:r>
      <w:r>
        <w:t xml:space="preserve">“floppy”</w:t>
      </w:r>
      <w:r>
        <w:t xml:space="preserve"> </w:t>
      </w:r>
      <w:r>
        <w:t xml:space="preserve">infant.</w:t>
      </w:r>
    </w:p>
    <w:p>
      <w:pPr>
        <w:pStyle w:val="Compact"/>
        <w:numPr>
          <w:ilvl w:val="0"/>
          <w:numId w:val="1001"/>
        </w:numPr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trigger on</w:t>
      </w:r>
      <w:r>
        <w:t xml:space="preserve"> </w:t>
      </w:r>
      <w:r>
        <w:t xml:space="preserve">“fast breathing”</w:t>
      </w:r>
      <w:r>
        <w:t xml:space="preserve"> </w:t>
      </w:r>
      <w:r>
        <w:t xml:space="preserve">alone (IMCI classifies it as pneumonia, not a</w:t>
      </w:r>
      <w:r>
        <w:t xml:space="preserve"> </w:t>
      </w:r>
      <w:r>
        <w:t xml:space="preserve">general danger sign); chest indrawing, grunting, labored breathing and stridor do trigger.</w:t>
      </w:r>
    </w:p>
    <w:p>
      <w:pPr>
        <w:pStyle w:val="Compact"/>
        <w:numPr>
          <w:ilvl w:val="0"/>
          <w:numId w:val="1001"/>
        </w:numPr>
      </w:pPr>
      <w:r>
        <w:t xml:space="preserve">Negation handling (</w:t>
      </w:r>
      <w:r>
        <w:t xml:space="preserve">“no convulsions”</w:t>
      </w:r>
      <w:r>
        <w:t xml:space="preserve">) only suppresses the text rules, never the</w:t>
      </w:r>
      <w:r>
        <w:t xml:space="preserve"> </w:t>
      </w:r>
      <w:r>
        <w:t xml:space="preserve">intake model’s flags.</w:t>
      </w:r>
    </w:p>
    <w:p>
      <w:pPr>
        <w:pStyle w:val="FirstParagraph"/>
      </w:pPr>
      <w:r>
        <w:t xml:space="preserve">Question: are the additions and the fast-breathing exclusion right for PHC use?</w:t>
      </w:r>
    </w:p>
    <w:bookmarkEnd w:id="13"/>
    <w:bookmarkStart w:id="15" w:name="dose-table-pending-unverified-stub"/>
    <w:p>
      <w:pPr>
        <w:pStyle w:val="Heading2"/>
      </w:pPr>
      <w:r>
        <w:t xml:space="preserve">3. Dose table (Pending: UNVERIFIED stub)</w:t>
      </w:r>
    </w:p>
    <w:p>
      <w:pPr>
        <w:pStyle w:val="FirstParagraph"/>
      </w:pPr>
      <w:r>
        <w:t xml:space="preserve">Code:</w:t>
      </w:r>
      <w:r>
        <w:t xml:space="preserve"> </w:t>
      </w:r>
      <w:hyperlink r:id="rId14">
        <w:r>
          <w:rPr>
            <w:rStyle w:val="Hyperlink"/>
          </w:rPr>
          <w:t xml:space="preserve">backend/app/rules/dosing.py</w:t>
        </w:r>
      </w:hyperlink>
      <w:r>
        <w:t xml:space="preserve">. Artemether-lumefantrine</w:t>
      </w:r>
      <w:r>
        <w:t xml:space="preserve"> </w:t>
      </w:r>
      <w:r>
        <w:t xml:space="preserve">weight bands (5–&lt;15 kg: 1 tablet; 15–&lt;25: 2; 25–&lt;35: 3; ≥ 35: 4; 6 doses over 3 days). Shown</w:t>
      </w:r>
      <w:r>
        <w:t xml:space="preserve"> </w:t>
      </w:r>
      <w:r>
        <w:t xml:space="preserve">with an UNVERIFIED warning until checked against the NMEP 4th edition (2020) or, as an</w:t>
      </w:r>
      <w:r>
        <w:t xml:space="preserve"> </w:t>
      </w:r>
      <w:r>
        <w:t xml:space="preserve">interim, the WHO malaria guideline. Doses are only attached for RDT-positive, Treat &amp; monitor</w:t>
      </w:r>
      <w:r>
        <w:t xml:space="preserve"> </w:t>
      </w:r>
      <w:r>
        <w:t xml:space="preserve">cases with a known weight; no pre-referral doses yet.</w:t>
      </w:r>
    </w:p>
    <w:bookmarkEnd w:id="15"/>
    <w:bookmarkStart w:id="17" w:name="Xdae688bba8aa5f9b87fdac6ab77d341b69b06a5"/>
    <w:p>
      <w:pPr>
        <w:pStyle w:val="Heading2"/>
      </w:pPr>
      <w:r>
        <w:t xml:space="preserve">4. Endemic-state baseline (Pending: provisional lists)</w:t>
      </w:r>
    </w:p>
    <w:p>
      <w:pPr>
        <w:pStyle w:val="FirstParagraph"/>
      </w:pPr>
      <w:r>
        <w:t xml:space="preserve">Data:</w:t>
      </w:r>
      <w:r>
        <w:t xml:space="preserve"> </w:t>
      </w:r>
      <w:hyperlink r:id="rId16">
        <w:r>
          <w:rPr>
            <w:rStyle w:val="Hyperlink"/>
          </w:rPr>
          <w:t xml:space="preserve">data/endemicity.yaml</w:t>
        </w:r>
      </w:hyperlink>
      <w:r>
        <w:t xml:space="preserve">. Lassa: Ondo, Edo, Bauchi, Taraba, Ebonyi</w:t>
      </w:r>
      <w:r>
        <w:t xml:space="preserve"> </w:t>
      </w:r>
      <w:r>
        <w:t xml:space="preserve">(peak December–April). CSM and cholera lists also provisional. To confirm against current</w:t>
      </w:r>
      <w:r>
        <w:t xml:space="preserve"> </w:t>
      </w:r>
      <w:r>
        <w:t xml:space="preserve">NCDC situation reports.</w:t>
      </w:r>
    </w:p>
    <w:bookmarkEnd w:id="17"/>
    <w:bookmarkStart w:id="19" w:name="treat-monitor-advice-pending"/>
    <w:p>
      <w:pPr>
        <w:pStyle w:val="Heading2"/>
      </w:pPr>
      <w:r>
        <w:t xml:space="preserve">5. Treat &amp; monitor advice (Pending)</w:t>
      </w:r>
    </w:p>
    <w:p>
      <w:pPr>
        <w:pStyle w:val="FirstParagraph"/>
      </w:pPr>
      <w:r>
        <w:t xml:space="preserve">Code:</w:t>
      </w:r>
      <w:r>
        <w:t xml:space="preserve"> </w:t>
      </w:r>
      <w:hyperlink r:id="rId18">
        <w:r>
          <w:rPr>
            <w:rStyle w:val="Hyperlink"/>
          </w:rPr>
          <w:t xml:space="preserve">backend/app/rules/followup.py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t xml:space="preserve">“Review in 3 days if the fever persists; return immediately with any danger sign”</w:t>
      </w:r>
      <w:r>
        <w:t xml:space="preserve"> </w:t>
      </w:r>
      <w:r>
        <w:t xml:space="preserve">(WHO IMCI</w:t>
      </w:r>
      <w:r>
        <w:t xml:space="preserve"> </w:t>
      </w:r>
      <w:r>
        <w:t xml:space="preserve">p. 8, fever).</w:t>
      </w:r>
      <w:r>
        <w:t xml:space="preserve"> </w:t>
      </w:r>
      <w:r>
        <w:rPr>
          <w:b/>
          <w:bCs/>
        </w:rPr>
        <w:t xml:space="preserve">IMCI is for children 2 months–5 years; we apply the same interval to adults.</w:t>
      </w:r>
      <w:r>
        <w:t xml:space="preserve"> </w:t>
      </w:r>
      <w:r>
        <w:t xml:space="preserve">Is that acceptable, or should adults get a different interval?</w:t>
      </w:r>
      <w:r>
        <w:t xml:space="preserve"> </w:t>
      </w:r>
      <w:r>
        <w:t xml:space="preserve">- RDT negative:</w:t>
      </w:r>
      <w:r>
        <w:t xml:space="preserve"> </w:t>
      </w:r>
      <w:r>
        <w:t xml:space="preserve">“do not give antimalarials”</w:t>
      </w:r>
      <w:r>
        <w:t xml:space="preserve"> </w:t>
      </w:r>
      <w:r>
        <w:t xml:space="preserve">(WHO test-before-treat) and</w:t>
      </w:r>
      <w:r>
        <w:t xml:space="preserve"> </w:t>
      </w:r>
      <w:r>
        <w:t xml:space="preserve">“refer for further</w:t>
      </w:r>
      <w:r>
        <w:t xml:space="preserve"> </w:t>
      </w:r>
      <w:r>
        <w:t xml:space="preserve">tests, e.g. typhoid, if fever persists; refer if fever every day &gt; 7 days”</w:t>
      </w:r>
      <w:r>
        <w:t xml:space="preserve"> </w:t>
      </w:r>
      <w:r>
        <w:t xml:space="preserve">(IMCI p. 8).</w:t>
      </w:r>
    </w:p>
    <w:bookmarkEnd w:id="19"/>
    <w:bookmarkStart w:id="21" w:name="eval-vignettes-pending"/>
    <w:p>
      <w:pPr>
        <w:pStyle w:val="Heading2"/>
      </w:pPr>
      <w:r>
        <w:t xml:space="preserve">6. Eval vignettes (Pending)</w:t>
      </w:r>
    </w:p>
    <w:p>
      <w:pPr>
        <w:pStyle w:val="FirstParagraph"/>
      </w:pPr>
      <w:hyperlink r:id="rId20">
        <w:r>
          <w:rPr>
            <w:rStyle w:val="Hyperlink"/>
          </w:rPr>
          <w:t xml:space="preserve">eval/vignettes.jsonl</w:t>
        </w:r>
      </w:hyperlink>
      <w:r>
        <w:t xml:space="preserve">: 60 synthetic cases with gold labels and a</w:t>
      </w:r>
      <w:r>
        <w:t xml:space="preserve"> </w:t>
      </w:r>
      <w:r>
        <w:t xml:space="preserve">guideline rationale each, all</w:t>
      </w:r>
      <w:r>
        <w:t xml:space="preserve"> </w:t>
      </w:r>
      <w:r>
        <w:rPr>
          <w:rStyle w:val="VerbatimChar"/>
        </w:rPr>
        <w:t xml:space="preserve">clinician_reviewed: false</w:t>
      </w:r>
      <w:r>
        <w:t xml:space="preserve">. Please review the gold</w:t>
      </w:r>
      <w:r>
        <w:t xml:space="preserve"> </w:t>
      </w:r>
      <w:r>
        <w:rPr>
          <w:rStyle w:val="VerbatimChar"/>
        </w:rPr>
        <w:t xml:space="preserve">triage_level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danger_signs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top_differential</w:t>
      </w:r>
      <w:r>
        <w:t xml:space="preserve"> </w:t>
      </w:r>
      <w:r>
        <w:t xml:space="preserve">for each case; the full eval runs</w:t>
      </w:r>
      <w:r>
        <w:t xml:space="preserve"> </w:t>
      </w:r>
      <w:r>
        <w:t xml:space="preserve">only after review. Where a live outbreak signal should change the expected triage, a case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gold_live</w:t>
      </w:r>
      <w:r>
        <w:t xml:space="preserve"> </w:t>
      </w:r>
      <w:r>
        <w:t xml:space="preserve">overrides (currently la-06: partial Lassa features → Refer within 24h on</w:t>
      </w:r>
      <w:r>
        <w:t xml:space="preserve"> </w:t>
      </w:r>
      <w:r>
        <w:t xml:space="preserve">baseline data, Refer now with a live signal).</w:t>
      </w:r>
    </w:p>
    <w:bookmarkEnd w:id="21"/>
    <w:bookmarkStart w:id="22" w:name="sign-off"/>
    <w:p>
      <w:pPr>
        <w:pStyle w:val="Heading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Decision /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Lassa tiers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Danger-sign rules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Dose table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 Endemic-state baseline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 Treat &amp; monitor advice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 Eval vignettes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backend/app/rules/danger_signs.py" TargetMode="External" /><Relationship Type="http://schemas.openxmlformats.org/officeDocument/2006/relationships/hyperlink" Id="rId14" Target="../backend/app/rules/dosing.py" TargetMode="External" /><Relationship Type="http://schemas.openxmlformats.org/officeDocument/2006/relationships/hyperlink" Id="rId18" Target="../backend/app/rules/followup.py" TargetMode="External" /><Relationship Type="http://schemas.openxmlformats.org/officeDocument/2006/relationships/hyperlink" Id="rId16" Target="../data/endemicity.yaml" TargetMode="External" /><Relationship Type="http://schemas.openxmlformats.org/officeDocument/2006/relationships/hyperlink" Id="rId20" Target="../eval/vignettes.jsonl" TargetMode="External" /><Relationship Type="http://schemas.openxmlformats.org/officeDocument/2006/relationships/hyperlink" Id="rId9" Target="https://github.com/AmazingAmo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backend/app/rules/danger_signs.py" TargetMode="External" /><Relationship Type="http://schemas.openxmlformats.org/officeDocument/2006/relationships/hyperlink" Id="rId14" Target="../backend/app/rules/dosing.py" TargetMode="External" /><Relationship Type="http://schemas.openxmlformats.org/officeDocument/2006/relationships/hyperlink" Id="rId18" Target="../backend/app/rules/followup.py" TargetMode="External" /><Relationship Type="http://schemas.openxmlformats.org/officeDocument/2006/relationships/hyperlink" Id="rId16" Target="../data/endemicity.yaml" TargetMode="External" /><Relationship Type="http://schemas.openxmlformats.org/officeDocument/2006/relationships/hyperlink" Id="rId20" Target="../eval/vignettes.jsonl" TargetMode="External" /><Relationship Type="http://schemas.openxmlformats.org/officeDocument/2006/relationships/hyperlink" Id="rId9" Target="https://github.com/AmazingAmo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2026-09-28T07:10:55Z</dcterms:created>
  <dcterms:modified xsi:type="dcterms:W3CDTF">2026-09-28T07:10:55Z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