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Rule="auto" w:line="300"/>
        <w:jc w:val="center"/>
      </w:pPr>
      <w:r>
        <w:rPr>
          <w:rFonts w:ascii="Times New Roman" w:hAnsi="Times New Roman"/>
          <w:b/>
          <w:i w:val="0"/>
          <w:sz w:val="32"/>
        </w:rPr>
        <w:t>An LLM-Enhanced Clinical Decision Support System for Malaria Diagnosis in Resource-Limited Settings: A Hybrid Approach</w:t>
      </w:r>
    </w:p>
    <w:p>
      <w:pPr>
        <w:spacing w:before="100" w:after="40" w:lineRule="auto" w:line="288"/>
        <w:jc w:val="center"/>
      </w:pPr>
      <w:r>
        <w:rPr>
          <w:rFonts w:ascii="Times New Roman" w:hAnsi="Times New Roman"/>
          <w:b/>
          <w:i w:val="0"/>
          <w:sz w:val="22"/>
        </w:rPr>
        <w:t>Running Title:</w:t>
      </w:r>
      <w:r>
        <w:rPr>
          <w:rFonts w:ascii="Times New Roman" w:hAnsi="Times New Roman"/>
          <w:b w:val="0"/>
          <w:i w:val="0"/>
          <w:sz w:val="22"/>
        </w:rPr>
        <w:t xml:space="preserve"> LLM-Enhanced Hybrid Malaria Diagnosis System</w:t>
      </w:r>
    </w:p>
    <w:p>
      <w:pPr>
        <w:spacing w:before="100" w:after="40" w:lineRule="auto" w:line="288"/>
        <w:jc w:val="center"/>
      </w:pPr>
      <w:r>
        <w:rPr>
          <w:rFonts w:ascii="Times New Roman" w:hAnsi="Times New Roman"/>
          <w:b/>
          <w:i w:val="0"/>
          <w:sz w:val="22"/>
        </w:rPr>
        <w:t>Author:</w:t>
      </w:r>
    </w:p>
    <w:p>
      <w:pPr>
        <w:spacing w:before="20" w:after="20" w:lineRule="auto" w:line="288"/>
        <w:jc w:val="center"/>
      </w:pPr>
      <w:r>
        <w:rPr>
          <w:rFonts w:ascii="Times New Roman" w:hAnsi="Times New Roman"/>
          <w:b w:val="0"/>
          <w:i w:val="0"/>
          <w:sz w:val="22"/>
        </w:rPr>
        <w:t>Jemiri Daniel Taiwo, B.Tech</w:t>
      </w:r>
    </w:p>
    <w:p>
      <w:pPr>
        <w:spacing w:before="20" w:after="20" w:lineRule="auto" w:line="288"/>
        <w:jc w:val="center"/>
      </w:pPr>
      <w:r>
        <w:rPr>
          <w:rFonts w:ascii="Times New Roman" w:hAnsi="Times New Roman"/>
          <w:b w:val="0"/>
          <w:i w:val="0"/>
          <w:sz w:val="22"/>
        </w:rPr>
        <w:t>Department of Computer Science, Federal University of Technology Owerri (FUTO), Owerri, Imo State, Nigeria</w:t>
      </w:r>
    </w:p>
    <w:p>
      <w:pPr>
        <w:spacing w:before="20" w:after="20" w:lineRule="auto" w:line="288"/>
        <w:jc w:val="center"/>
      </w:pPr>
      <w:r>
        <w:rPr>
          <w:rFonts w:ascii="Times New Roman" w:hAnsi="Times New Roman"/>
          <w:b w:val="0"/>
          <w:i w:val="0"/>
          <w:sz w:val="20"/>
        </w:rPr>
        <w:t>ORCID: https://orcid.org/0009-0005-9338-7682</w:t>
      </w:r>
    </w:p>
    <w:p>
      <w:pPr>
        <w:spacing w:before="20" w:after="20" w:lineRule="auto" w:line="288"/>
        <w:jc w:val="center"/>
      </w:pPr>
      <w:r>
        <w:rPr>
          <w:rFonts w:ascii="Times New Roman" w:hAnsi="Times New Roman"/>
          <w:b w:val="0"/>
          <w:i w:val="0"/>
          <w:sz w:val="20"/>
        </w:rPr>
        <w:t>Email: danieljemiri@gmail.com</w:t>
      </w:r>
    </w:p>
    <w:p>
      <w:pPr>
        <w:spacing w:before="100" w:after="40" w:lineRule="auto" w:line="288"/>
        <w:jc w:val="center"/>
      </w:pPr>
      <w:r>
        <w:rPr>
          <w:rFonts w:ascii="Times New Roman" w:hAnsi="Times New Roman"/>
          <w:b/>
          <w:i w:val="0"/>
          <w:sz w:val="22"/>
        </w:rPr>
        <w:t>Corresponding Author:</w:t>
      </w:r>
    </w:p>
    <w:p>
      <w:pPr>
        <w:spacing w:before="20" w:after="20" w:lineRule="auto" w:line="288"/>
        <w:jc w:val="center"/>
      </w:pPr>
      <w:r>
        <w:rPr>
          <w:rFonts w:ascii="Times New Roman" w:hAnsi="Times New Roman"/>
          <w:b w:val="0"/>
          <w:i w:val="0"/>
          <w:sz w:val="22"/>
        </w:rPr>
        <w:t>Jemiri Daniel Taiwo</w:t>
      </w:r>
    </w:p>
    <w:p>
      <w:pPr>
        <w:spacing w:before="20" w:after="20" w:lineRule="auto" w:line="288"/>
        <w:jc w:val="center"/>
      </w:pPr>
      <w:r>
        <w:rPr>
          <w:rFonts w:ascii="Times New Roman" w:hAnsi="Times New Roman"/>
          <w:b w:val="0"/>
          <w:i w:val="0"/>
          <w:sz w:val="22"/>
        </w:rPr>
        <w:t>Department of Computer Science, Federal University of Technology Owerri (FUTO), Owerri, Imo State, Nigeria</w:t>
      </w:r>
    </w:p>
    <w:p>
      <w:pPr>
        <w:spacing w:before="20" w:after="20" w:lineRule="auto" w:line="288"/>
        <w:jc w:val="center"/>
      </w:pPr>
      <w:r>
        <w:rPr>
          <w:rFonts w:ascii="Times New Roman" w:hAnsi="Times New Roman"/>
          <w:b w:val="0"/>
          <w:i w:val="0"/>
          <w:sz w:val="20"/>
        </w:rPr>
        <w:t>Email: danieljemiri@gmail.com</w:t>
      </w:r>
    </w:p>
    <w:p>
      <w:pPr>
        <w:spacing w:before="80" w:after="80" w:lineRule="auto" w:line="240"/>
        <w:jc w:val="left"/>
      </w:pPr>
    </w:p>
    <w:p>
      <w:pPr>
        <w:keepNext/>
        <w:spacing w:before="320" w:after="120" w:lineRule="auto" w:line="312"/>
        <w:jc w:val="left"/>
        <w:pBdr>
          <w:bottom w:val="single" w:sz="4" w:space="1" w:color="CBD5E1"/>
        </w:pBdr>
      </w:pPr>
      <w:r>
        <w:rPr>
          <w:rFonts w:ascii="Times New Roman" w:hAnsi="Times New Roman"/>
          <w:b/>
          <w:i w:val="0"/>
          <w:sz w:val="26"/>
        </w:rPr>
        <w:t>Abstract</w:t>
      </w:r>
    </w:p>
    <w:p>
      <w:pPr>
        <w:spacing w:before="60" w:after="60" w:lineRule="auto" w:line="312"/>
        <w:ind w:left="648" w:right="648"/>
        <w:jc w:val="both"/>
      </w:pPr>
      <w:r>
        <w:rPr>
          <w:rFonts w:ascii="Times New Roman" w:hAnsi="Times New Roman"/>
          <w:b/>
          <w:i w:val="0"/>
          <w:sz w:val="22"/>
        </w:rPr>
        <w:t>Background:</w:t>
      </w:r>
      <w:r>
        <w:rPr>
          <w:rFonts w:ascii="Times New Roman" w:hAnsi="Times New Roman"/>
          <w:b w:val="0"/>
          <w:i w:val="0"/>
          <w:sz w:val="22"/>
        </w:rPr>
        <w:t xml:space="preserve"> Malaria remains a leading cause of preventable death globally, with an estimated 249 million cases and approximately 608,000 deaths reported in 2022, concentrated predominantly in sub-Saharan Africa where access to specialist diagnostic services is severely limited. Traditional rule-based expert systems for malaria diagnosis, while computationally efficient and deterministic, are constrained by rigid classification rules that cannot accommodate symptom variability or provide clinical reasoning to support healthcare worker decision-making.</w:t>
      </w:r>
    </w:p>
    <w:p>
      <w:pPr>
        <w:spacing w:before="60" w:after="60" w:lineRule="auto" w:line="312"/>
        <w:ind w:left="648" w:right="648"/>
        <w:jc w:val="both"/>
      </w:pPr>
      <w:r>
        <w:rPr>
          <w:rFonts w:ascii="Times New Roman" w:hAnsi="Times New Roman"/>
          <w:b/>
          <w:i w:val="0"/>
          <w:sz w:val="22"/>
        </w:rPr>
        <w:t>Objective:</w:t>
      </w:r>
      <w:r>
        <w:rPr>
          <w:rFonts w:ascii="Times New Roman" w:hAnsi="Times New Roman"/>
          <w:b w:val="0"/>
          <w:i w:val="0"/>
          <w:sz w:val="22"/>
        </w:rPr>
        <w:t xml:space="preserve"> We aimed to develop and evaluate a hybrid clinical decision support system (CDSS) for malaria diagnosis that integrates deterministic rule-based classification with large language model (LLM) reasoning to improve both diagnostic accuracy and clinical explainability in resource-limited settings.</w:t>
      </w:r>
    </w:p>
    <w:p>
      <w:pPr>
        <w:spacing w:before="60" w:after="60" w:lineRule="auto" w:line="312"/>
        <w:ind w:left="648" w:right="648"/>
        <w:jc w:val="both"/>
      </w:pPr>
      <w:r>
        <w:rPr>
          <w:rFonts w:ascii="Times New Roman" w:hAnsi="Times New Roman"/>
          <w:b/>
          <w:i w:val="0"/>
          <w:sz w:val="22"/>
        </w:rPr>
        <w:t>Methods:</w:t>
      </w:r>
      <w:r>
        <w:rPr>
          <w:rFonts w:ascii="Times New Roman" w:hAnsi="Times New Roman"/>
          <w:b w:val="0"/>
          <w:i w:val="0"/>
          <w:sz w:val="22"/>
        </w:rPr>
        <w:t xml:space="preserve"> We developed a three-component hybrid system comprising: (1) a structured 19-symptom assessment module with patient demographic capture; (2) a deterministic rule-based classification engine implementing WHO malaria severity guidelines across four severity tiers; and (3) an LLM reasoning module using Llama 3.1 8B deployed locally via Ollama for natural language explanation generation. The system was evaluated on 1,682 malaria cases (1,622 real-world cases from the Kaggle Malaria Diagnosis Dataset and 60 synthetic cases) spanning four severity levels: No Malaria, Stage I (uncomplicated), Stage II (moderate), and Critical. Performance was benchmarked against the original rule-based baseline system using overall accuracy, macro-averaged precision, recall, and F1-score.</w:t>
      </w:r>
    </w:p>
    <w:p>
      <w:pPr>
        <w:spacing w:before="60" w:after="60" w:lineRule="auto" w:line="312"/>
        <w:ind w:left="648" w:right="648"/>
        <w:jc w:val="both"/>
      </w:pPr>
      <w:r>
        <w:rPr>
          <w:rFonts w:ascii="Times New Roman" w:hAnsi="Times New Roman"/>
          <w:b/>
          <w:i w:val="0"/>
          <w:sz w:val="22"/>
        </w:rPr>
        <w:t>Results:</w:t>
      </w:r>
      <w:r>
        <w:rPr>
          <w:rFonts w:ascii="Times New Roman" w:hAnsi="Times New Roman"/>
          <w:b w:val="0"/>
          <w:i w:val="0"/>
          <w:sz w:val="22"/>
        </w:rPr>
        <w:t xml:space="preserve"> The hybrid LLM-enhanced system achieved 87.22% overall diagnostic accuracy (1,467/1,682 cases correctly classified) compared to 30.62% for the baseline rule-based system, representing a 56.60 percentage point improvement (relative improvement: 185%; p&lt;0.001). Stage I malaria detection improved from 1.84% to 98.90%, and 100% sensitivity for critical malaria identification was maintained in both systems. The macro F1-score improved from 0.174 to 0.853. Average processing time was 6.3 seconds per case, and the LLM generated patient-specific explanations with a mean confidence score of 85%. The system operates entirely offline with no recurring API costs.</w:t>
      </w:r>
    </w:p>
    <w:p>
      <w:pPr>
        <w:spacing w:before="60" w:after="60" w:lineRule="auto" w:line="312"/>
        <w:ind w:left="648" w:right="648"/>
        <w:jc w:val="both"/>
      </w:pPr>
      <w:r>
        <w:rPr>
          <w:rFonts w:ascii="Times New Roman" w:hAnsi="Times New Roman"/>
          <w:b/>
          <w:i w:val="0"/>
          <w:sz w:val="22"/>
        </w:rPr>
        <w:t>Conclusions:</w:t>
      </w:r>
      <w:r>
        <w:rPr>
          <w:rFonts w:ascii="Times New Roman" w:hAnsi="Times New Roman"/>
          <w:b w:val="0"/>
          <w:i w:val="0"/>
          <w:sz w:val="22"/>
        </w:rPr>
        <w:t xml:space="preserve"> Integrating large language models with deterministic rule-based classification substantially improves malaria diagnostic accuracy while providing natural language clinical reasoning specific to each patient's reported symptoms. The offline, privacy-preserving, zero-cost architecture directly addresses key barriers to AI adoption in low- and middle-income country healthcare settings. Prospective clinical validation and multilingual support represent the primary directions for future development.</w:t>
      </w:r>
    </w:p>
    <w:p>
      <w:pPr>
        <w:spacing w:before="60" w:after="60" w:lineRule="auto" w:line="312"/>
        <w:ind w:left="648" w:right="648"/>
        <w:jc w:val="both"/>
      </w:pPr>
      <w:r>
        <w:rPr>
          <w:rFonts w:ascii="Times New Roman" w:hAnsi="Times New Roman"/>
          <w:b/>
          <w:i w:val="0"/>
          <w:sz w:val="22"/>
        </w:rPr>
        <w:t>Keywords:</w:t>
      </w:r>
      <w:r>
        <w:rPr>
          <w:rFonts w:ascii="Times New Roman" w:hAnsi="Times New Roman"/>
          <w:b w:val="0"/>
          <w:i w:val="0"/>
          <w:sz w:val="22"/>
        </w:rPr>
        <w:t xml:space="preserve"> malaria diagnosis; clinical decision support systems; large language models; hybrid AI systems; explainable AI; resource-limited settings; global health informatics; Llama</w:t>
      </w:r>
    </w:p>
    <w:p>
      <w:pPr>
        <w:spacing w:before="80" w:after="80" w:lineRule="auto" w:line="240"/>
        <w:jc w:val="left"/>
      </w:pPr>
    </w:p>
    <w:p>
      <w:pPr>
        <w:keepNext/>
        <w:spacing w:before="320" w:after="120" w:lineRule="auto" w:line="312"/>
        <w:jc w:val="left"/>
        <w:pBdr>
          <w:bottom w:val="single" w:sz="4" w:space="1" w:color="CBD5E1"/>
        </w:pBdr>
      </w:pPr>
      <w:r>
        <w:rPr>
          <w:rFonts w:ascii="Times New Roman" w:hAnsi="Times New Roman"/>
          <w:b/>
          <w:i w:val="0"/>
          <w:sz w:val="26"/>
        </w:rPr>
        <w:t>1. Introduction</w:t>
      </w:r>
    </w:p>
    <w:p>
      <w:pPr>
        <w:spacing w:before="0" w:after="120" w:lineRule="auto" w:line="360"/>
        <w:jc w:val="both"/>
      </w:pPr>
      <w:r>
        <w:rPr>
          <w:rFonts w:ascii="Times New Roman" w:hAnsi="Times New Roman"/>
          <w:b w:val="0"/>
          <w:i w:val="0"/>
          <w:sz w:val="24"/>
        </w:rPr>
        <w:t>Malaria remains one of the most preventable yet deadly infectious diseases globally. According to the World Health Organization's World Malaria Report 2023, there were an estimated 249 million malaria cases and approximately 608,000 deaths in 2022 alone, with 94% of cases concentrated in sub-Saharan Africa [10]. Children under five years of age and pregnant women carry the highest disease burden, and malaria exerts a devastating economic toll on already fragile health systems through treatment costs, lost productivity, and chronic morbidity [23]. Despite decades of intervention, malaria incidence has risen since 2015 in several endemic countries, and emerging artemisinin resistance threatens existing treatment paradigms [23].</w:t>
      </w:r>
    </w:p>
    <w:p>
      <w:pPr>
        <w:spacing w:before="0" w:after="120" w:lineRule="auto" w:line="360"/>
        <w:jc w:val="both"/>
      </w:pPr>
      <w:r>
        <w:rPr>
          <w:rFonts w:ascii="Times New Roman" w:hAnsi="Times New Roman"/>
          <w:b w:val="0"/>
          <w:i w:val="0"/>
          <w:sz w:val="24"/>
        </w:rPr>
        <w:t>A central challenge in malaria management is timely, accurate diagnosis. While malaria is caused by Plasmodium parasites transmitted by Anopheles mosquitoes, its clinical presentation overlaps substantially with other febrile illnesses—typhoid fever, pneumonia, and dengue—making symptom-based discrimination inherently difficult [18]. The WHO recommends parasitological confirmation before treatment initiation, using either microscopy or rapid diagnostic tests (RDTs) [2]. However, microscopy requires trained laboratory technicians and functional equipment, and RDTs, while more accessible, carry sensitivity and specificity limitations that vary by Plasmodium species, parasite density, and storage conditions [11]. In rural sub-Saharan Africa, an estimated 50–70% of febrile patients are treated empirically for malaria without confirmed diagnosis, contributing to drug resistance emergence, unnecessary medication costs, and delayed diagnosis of alternative conditions [23].</w:t>
      </w:r>
    </w:p>
    <w:p>
      <w:pPr>
        <w:spacing w:before="0" w:after="120" w:lineRule="auto" w:line="360"/>
        <w:jc w:val="both"/>
      </w:pPr>
      <w:r>
        <w:rPr>
          <w:rFonts w:ascii="Times New Roman" w:hAnsi="Times New Roman"/>
          <w:b w:val="0"/>
          <w:i w:val="0"/>
          <w:sz w:val="24"/>
        </w:rPr>
        <w:t>Rule-based clinical decision support systems (CDSS) have been proposed as a low-cost solution to assist community health workers and nurses in making diagnostic decisions when physicians and laboratory resources are unavailable [7]. These systems encode expert clinical knowledge as structured IF-THEN rules and can operate on consumer hardware without internet connectivity. Abu-Naser and Mahdi demonstrated the feasibility of rule-based expert systems for tropical disease triage in resource-poor settings [14]. However, conventional rule-based systems suffer from well-documented limitations: they cannot generalize beyond explicitly programmed rules, fail to handle atypical symptom presentations, provide no natural language rationale for their decisions, and require labor-intensive expert knowledge engineering to maintain and update [7]. The original rule-based malaria diagnostic system developed at the Federal University of Technology Owerri (FUTO), Nigeria, in 2020—which forms the baseline for this study—achieved only 30.62% overall accuracy on a comprehensive evaluation dataset, illustrating the practical ceiling of purely deterministic approaches when symptom patterns deviate from coded rule templates.</w:t>
      </w:r>
    </w:p>
    <w:p>
      <w:pPr>
        <w:spacing w:before="0" w:after="120" w:lineRule="auto" w:line="360"/>
        <w:jc w:val="both"/>
      </w:pPr>
      <w:r>
        <w:rPr>
          <w:rFonts w:ascii="Times New Roman" w:hAnsi="Times New Roman"/>
          <w:b w:val="0"/>
          <w:i w:val="0"/>
          <w:sz w:val="24"/>
        </w:rPr>
        <w:t>Large language models (LLMs) have recently demonstrated remarkable capabilities in clinical reasoning tasks. GPT-4 achieved near-passing performance on the United States Medical Licensing Examination [5], and subsequent studies have shown that LLMs can generate differential diagnoses, summarize patient records, and provide treatment recommendations with clinician-level accuracy in specific domains [1,3,15]. Critically, LLMs excel at handling natural language variability—a significant advantage over rigid rule systems when patient symptom descriptions are imprecise or overlapping. However, LLMs also carry substantial risks in clinical settings: they are prone to generating confident but factually incorrect clinical statements (hallucination) [22], typically require cloud API access that raises patient privacy concerns and introduces recurring per-query costs, and lack the deterministic guarantees necessary for safety-critical severity classification [20].</w:t>
      </w:r>
    </w:p>
    <w:p>
      <w:pPr>
        <w:spacing w:before="0" w:after="120" w:lineRule="auto" w:line="360"/>
        <w:jc w:val="both"/>
      </w:pPr>
      <w:r>
        <w:rPr>
          <w:rFonts w:ascii="Times New Roman" w:hAnsi="Times New Roman"/>
          <w:b w:val="0"/>
          <w:i w:val="0"/>
          <w:sz w:val="24"/>
        </w:rPr>
        <w:t>This tension between the reliability of rule-based systems and the flexibility of LLMs motivates a hybrid architectural approach. By reserving deterministic classification for severity determination—where rules can be verified against established clinical standards—and using LLMs exclusively for natural language reasoning and explanation generation, we exploit the complementary strengths of both paradigms [12]. The hybrid architecture ensures that the final diagnosis class is never hallucinated by the LLM, while providing clinically meaningful, personalized explanations that enhance healthcare worker understanding and trust.</w:t>
      </w:r>
    </w:p>
    <w:p>
      <w:pPr>
        <w:spacing w:before="0" w:after="120" w:lineRule="auto" w:line="360"/>
        <w:jc w:val="both"/>
      </w:pPr>
      <w:r>
        <w:rPr>
          <w:rFonts w:ascii="Times New Roman" w:hAnsi="Times New Roman"/>
          <w:b w:val="0"/>
          <w:i w:val="0"/>
          <w:sz w:val="24"/>
        </w:rPr>
        <w:t>The principal contributions of this work are:</w:t>
      </w:r>
    </w:p>
    <w:p>
      <w:pPr>
        <w:spacing w:before="40" w:after="60" w:lineRule="auto" w:line="312"/>
        <w:ind w:left="576" w:hanging="576"/>
        <w:jc w:val="left"/>
      </w:pPr>
      <w:r>
        <w:rPr>
          <w:rFonts w:ascii="Times New Roman" w:hAnsi="Times New Roman"/>
          <w:sz w:val="24"/>
        </w:rPr>
        <w:t xml:space="preserve">1. </w:t>
      </w:r>
      <w:r>
        <w:rPr>
          <w:rFonts w:ascii="Times New Roman" w:hAnsi="Times New Roman"/>
          <w:b/>
          <w:i w:val="0"/>
          <w:sz w:val="24"/>
        </w:rPr>
        <w:t>Hybrid architecture with separation of concerns:</w:t>
      </w:r>
      <w:r>
        <w:rPr>
          <w:rFonts w:ascii="Times New Roman" w:hAnsi="Times New Roman"/>
          <w:b w:val="0"/>
          <w:i w:val="0"/>
          <w:sz w:val="24"/>
        </w:rPr>
        <w:t xml:space="preserve"> We demonstrate that combining deterministic rule-based severity classification with LLM-generated clinical reasoning significantly outperforms either approach in isolation, improving overall accuracy by 56.60 percentage points over the rule-based baseline on a 1,682-case evaluation dataset.</w:t>
      </w:r>
    </w:p>
    <w:p>
      <w:pPr>
        <w:spacing w:before="40" w:after="60" w:lineRule="auto" w:line="312"/>
        <w:ind w:left="576" w:hanging="576"/>
        <w:jc w:val="left"/>
      </w:pPr>
      <w:r>
        <w:rPr>
          <w:rFonts w:ascii="Times New Roman" w:hAnsi="Times New Roman"/>
          <w:sz w:val="24"/>
        </w:rPr>
        <w:t xml:space="preserve">2. </w:t>
      </w:r>
      <w:r>
        <w:rPr>
          <w:rFonts w:ascii="Times New Roman" w:hAnsi="Times New Roman"/>
          <w:b/>
          <w:i w:val="0"/>
          <w:sz w:val="24"/>
        </w:rPr>
        <w:t>Preserved safety-critical performance:</w:t>
      </w:r>
      <w:r>
        <w:rPr>
          <w:rFonts w:ascii="Times New Roman" w:hAnsi="Times New Roman"/>
          <w:b w:val="0"/>
          <w:i w:val="0"/>
          <w:sz w:val="24"/>
        </w:rPr>
        <w:t xml:space="preserve"> The system maintains 100% sensitivity for critical malaria—a non-negotiable clinical safety requirement—while dramatically improving early-stage detection from 1.84% to 98.90%.</w:t>
      </w:r>
    </w:p>
    <w:p>
      <w:pPr>
        <w:spacing w:before="40" w:after="60" w:lineRule="auto" w:line="312"/>
        <w:ind w:left="576" w:hanging="576"/>
        <w:jc w:val="left"/>
      </w:pPr>
      <w:r>
        <w:rPr>
          <w:rFonts w:ascii="Times New Roman" w:hAnsi="Times New Roman"/>
          <w:sz w:val="24"/>
        </w:rPr>
        <w:t xml:space="preserve">3. </w:t>
      </w:r>
      <w:r>
        <w:rPr>
          <w:rFonts w:ascii="Times New Roman" w:hAnsi="Times New Roman"/>
          <w:b/>
          <w:i w:val="0"/>
          <w:sz w:val="24"/>
        </w:rPr>
        <w:t>Resource-constrained deployment:</w:t>
      </w:r>
      <w:r>
        <w:rPr>
          <w:rFonts w:ascii="Times New Roman" w:hAnsi="Times New Roman"/>
          <w:b w:val="0"/>
          <w:i w:val="0"/>
          <w:sz w:val="24"/>
        </w:rPr>
        <w:t xml:space="preserve"> The system uses Llama 3.1 8B deployed locally via Ollama, enabling fully offline operation on commodity hardware with zero recurring API costs—directly addressing deployment barriers in sub-Saharan Africa and other low- and middle-income settings.</w:t>
      </w:r>
    </w:p>
    <w:p>
      <w:pPr>
        <w:spacing w:before="40" w:after="60" w:lineRule="auto" w:line="312"/>
        <w:ind w:left="576" w:hanging="576"/>
        <w:jc w:val="left"/>
      </w:pPr>
      <w:r>
        <w:rPr>
          <w:rFonts w:ascii="Times New Roman" w:hAnsi="Times New Roman"/>
          <w:sz w:val="24"/>
        </w:rPr>
        <w:t xml:space="preserve">4. </w:t>
      </w:r>
      <w:r>
        <w:rPr>
          <w:rFonts w:ascii="Times New Roman" w:hAnsi="Times New Roman"/>
          <w:b/>
          <w:i w:val="0"/>
          <w:sz w:val="24"/>
        </w:rPr>
        <w:t>Clinical explainability:</w:t>
      </w:r>
      <w:r>
        <w:rPr>
          <w:rFonts w:ascii="Times New Roman" w:hAnsi="Times New Roman"/>
          <w:b w:val="0"/>
          <w:i w:val="0"/>
          <w:sz w:val="24"/>
        </w:rPr>
        <w:t xml:space="preserve"> The LLM component generates natural language clinical reasoning that references each patient's specific reported symptoms, addressing a fundamental limitation of prior rule-based approaches and providing the transparency necessary for healthcare worker adoption.</w:t>
      </w:r>
    </w:p>
    <w:p>
      <w:pPr>
        <w:spacing w:before="0" w:after="120" w:lineRule="auto" w:line="360"/>
        <w:jc w:val="both"/>
      </w:pPr>
      <w:r>
        <w:rPr>
          <w:rFonts w:ascii="Times New Roman" w:hAnsi="Times New Roman"/>
          <w:b w:val="0"/>
          <w:i w:val="0"/>
          <w:sz w:val="24"/>
        </w:rPr>
        <w:t>The remainder of this paper is organized as follows: Section 2 reviews related work across rule-based expert systems, AI-based malaria diagnosis, LLMs in clinical decision support, and explainable AI; Section 3 describes the system architecture, dataset, and evaluation methodology; Section 4 presents experimental results; Section 5 discusses clinical implications, limitations, and deployment considerations; and Section 6 concludes with directions for future research.</w:t>
      </w:r>
    </w:p>
    <w:p>
      <w:pPr>
        <w:spacing w:before="80" w:after="80" w:lineRule="auto" w:line="240"/>
        <w:jc w:val="left"/>
      </w:pPr>
    </w:p>
    <w:p>
      <w:pPr>
        <w:keepNext/>
        <w:spacing w:before="320" w:after="120" w:lineRule="auto" w:line="312"/>
        <w:jc w:val="left"/>
        <w:pBdr>
          <w:bottom w:val="single" w:sz="4" w:space="1" w:color="CBD5E1"/>
        </w:pBdr>
      </w:pPr>
      <w:r>
        <w:rPr>
          <w:rFonts w:ascii="Times New Roman" w:hAnsi="Times New Roman"/>
          <w:b/>
          <w:i w:val="0"/>
          <w:sz w:val="26"/>
        </w:rPr>
        <w:t>2. Related Work</w:t>
      </w:r>
    </w:p>
    <w:p>
      <w:pPr>
        <w:keepNext/>
        <w:spacing w:before="240" w:after="80" w:lineRule="auto" w:line="312"/>
        <w:jc w:val="left"/>
      </w:pPr>
      <w:r>
        <w:rPr>
          <w:rFonts w:ascii="Times New Roman" w:hAnsi="Times New Roman"/>
          <w:b/>
          <w:i w:val="0"/>
          <w:sz w:val="24"/>
        </w:rPr>
        <w:t>2.1 Rule-Based Expert Systems in Clinical Diagnosis</w:t>
      </w:r>
    </w:p>
    <w:p>
      <w:pPr>
        <w:spacing w:before="0" w:after="120" w:lineRule="auto" w:line="360"/>
        <w:jc w:val="both"/>
      </w:pPr>
      <w:r>
        <w:rPr>
          <w:rFonts w:ascii="Times New Roman" w:hAnsi="Times New Roman"/>
          <w:b w:val="0"/>
          <w:i w:val="0"/>
          <w:sz w:val="24"/>
        </w:rPr>
        <w:t>Rule-based expert systems applying forward-chaining inference to medical diagnosis have a history spanning four decades, with early implementations in oncology (ONCOCIN), cardiology (MYCIN), and infectious disease. Abu-Naser and Mahdi surveyed expert systems applied to tropical and non-communicable disease diagnosis, demonstrating feasibility but noting that classification accuracy degrades sharply when patient presentations deviate from explicitly programmed rule patterns [14]. Sutton et al. conducted a comprehensive review of modern CDSS architectures, concluding that purely rule-based systems face significant scalability challenges and cannot adapt to emerging clinical evidence or unusual case presentations without manual rule updates [7]. In the malaria domain specifically, prior expert systems encoded WHO severity criteria as rigid rule trees, achieving high specificity for critical presentations but near-zero sensitivity for early-stage cases where symptom overlap with non-malarial febrile illness is most pronounced. These known limitations directly motivated the hybrid enhancement pursued in this study.</w:t>
      </w:r>
    </w:p>
    <w:p>
      <w:pPr>
        <w:keepNext/>
        <w:spacing w:before="240" w:after="80" w:lineRule="auto" w:line="312"/>
        <w:jc w:val="left"/>
      </w:pPr>
      <w:r>
        <w:rPr>
          <w:rFonts w:ascii="Times New Roman" w:hAnsi="Times New Roman"/>
          <w:b/>
          <w:i w:val="0"/>
          <w:sz w:val="24"/>
        </w:rPr>
        <w:t>2.2 AI and Image-Based Malaria Diagnosis</w:t>
      </w:r>
    </w:p>
    <w:p>
      <w:pPr>
        <w:spacing w:before="0" w:after="120" w:lineRule="auto" w:line="360"/>
        <w:jc w:val="both"/>
      </w:pPr>
      <w:r>
        <w:rPr>
          <w:rFonts w:ascii="Times New Roman" w:hAnsi="Times New Roman"/>
          <w:b w:val="0"/>
          <w:i w:val="0"/>
          <w:sz w:val="24"/>
        </w:rPr>
        <w:t>A complementary line of research applies convolutional neural networks and deep learning to automated analysis of blood smear microscopy images. Rajaraman et al. demonstrated high accuracy for automated malaria parasite detection and cell counting in thin blood smear images using transfer-learned deep learning models [6]. While these approaches achieve impressive performance in laboratory settings, they require microscopy equipment, digitization hardware, and trained sample preparation technicians—resources unavailable in many rural health posts across sub-Saharan Africa. Our system takes a fundamentally different approach: symptom-based clinical decision support that requires no laboratory equipment beyond a structured questionnaire. Cunningham et al. further found that standard RDTs, the most widely deployed parasitological test, carry non-trivial false-negative rates in low-transmission settings [11], underscoring the clinical value of symptom-based triage systems as a complementary diagnostic layer alongside—rather than in replacement of—parasitological testing.</w:t>
      </w:r>
    </w:p>
    <w:p>
      <w:pPr>
        <w:keepNext/>
        <w:spacing w:before="240" w:after="80" w:lineRule="auto" w:line="312"/>
        <w:jc w:val="left"/>
      </w:pPr>
      <w:r>
        <w:rPr>
          <w:rFonts w:ascii="Times New Roman" w:hAnsi="Times New Roman"/>
          <w:b/>
          <w:i w:val="0"/>
          <w:sz w:val="24"/>
        </w:rPr>
        <w:t>2.3 Large Language Models in Clinical Decision Support</w:t>
      </w:r>
    </w:p>
    <w:p>
      <w:pPr>
        <w:spacing w:before="0" w:after="120" w:lineRule="auto" w:line="360"/>
        <w:jc w:val="both"/>
      </w:pPr>
      <w:r>
        <w:rPr>
          <w:rFonts w:ascii="Times New Roman" w:hAnsi="Times New Roman"/>
          <w:b w:val="0"/>
          <w:i w:val="0"/>
          <w:sz w:val="24"/>
        </w:rPr>
        <w:t>The past two years have witnessed rapid evaluation of LLMs in clinical contexts. Kung et al. reported that ChatGPT (GPT-3.5) passed USMLE Steps 1, 2, and 3 at scores near the passing threshold, suggesting emergent medical reasoning capabilities [5]. Zhou et al. conducted a scoping review of LLM deployment in medical diagnostics and identified diagnostic support, patient education, and clinical summarization as the three principal use cases, noting that most deployments rely on cloud-based proprietary APIs [1]. Wang et al. demonstrated that LLMs can generate probabilistically calibrated differential diagnoses for internal medicine cases, with performance approaching physician-level in controlled settings [3]. Liévin et al. further established that chain-of-thought prompting substantially improves LLM clinical reasoning accuracy across medical benchmark tasks [15].</w:t>
      </w:r>
    </w:p>
    <w:p>
      <w:pPr>
        <w:spacing w:before="0" w:after="120" w:lineRule="auto" w:line="360"/>
        <w:jc w:val="both"/>
      </w:pPr>
      <w:r>
        <w:rPr>
          <w:rFonts w:ascii="Times New Roman" w:hAnsi="Times New Roman"/>
          <w:b w:val="0"/>
          <w:i w:val="0"/>
          <w:sz w:val="24"/>
        </w:rPr>
        <w:t>Despite this promise, significant challenges remain. Chen et al. documented that medical LLMs, including domain-fine-tuned variants, produce confident but factually incorrect clinical statements at non-trivial rates, with error frequency varying by clinical domain and population [22]. Lee et al. cautioned that GPT-4's clinical performance in structured benchmark tasks may not reliably transfer to free-form clinical environments [25]. The clinical NLP literature also highlights that LLM performance degrades for under-represented diseases and populations from low-income countries where training data is sparse [21]. Our hybrid approach directly mitigates hallucination risk by restricting LLM use to explanation generation—never to severity classification—while still capturing the explainability benefits of generative AI.</w:t>
      </w:r>
    </w:p>
    <w:p>
      <w:pPr>
        <w:keepNext/>
        <w:spacing w:before="240" w:after="80" w:lineRule="auto" w:line="312"/>
        <w:jc w:val="left"/>
      </w:pPr>
      <w:r>
        <w:rPr>
          <w:rFonts w:ascii="Times New Roman" w:hAnsi="Times New Roman"/>
          <w:b/>
          <w:i w:val="0"/>
          <w:sz w:val="24"/>
        </w:rPr>
        <w:t>2.4 Explainable AI and Deployment in Resource-Limited Settings</w:t>
      </w:r>
    </w:p>
    <w:p>
      <w:pPr>
        <w:spacing w:before="0" w:after="120" w:lineRule="auto" w:line="360"/>
        <w:jc w:val="both"/>
      </w:pPr>
      <w:r>
        <w:rPr>
          <w:rFonts w:ascii="Times New Roman" w:hAnsi="Times New Roman"/>
          <w:b w:val="0"/>
          <w:i w:val="0"/>
          <w:sz w:val="24"/>
        </w:rPr>
        <w:t>Explainability has emerged as a critical requirement for clinical AI adoption. Albahri et al.'s systematic review found that clinicians are significantly more likely to act on AI recommendations when accompanied by transparent reasoning explanations [8]. In resource-limited settings, this requirement is amplified: community health workers without formal clinical training need explanations that translate diagnostic decisions into actionable guidance. Wahl et al. identified three key barriers to AI adoption in resource-poor healthcare: computational cost, connectivity requirements, and lack of transparency [20]. Our system directly addresses all three: Llama 3.1 8B runs on commodity hardware via Ollama [9,13] with no internet dependency, and generates symptom-specific natural language explanations for every diagnosis. Prompt engineering approaches described by Zhang et al. informed our structured prompting design [17]. Privacy considerations are addressed by the fully local architecture, consistent with best practices for privacy-preserving AI in healthcare [30], and with the data sovereignty requirements identified as a key adoption barrier in sub-Saharan Africa [16].</w:t>
      </w:r>
    </w:p>
    <w:p>
      <w:pPr>
        <w:spacing w:before="80" w:after="80" w:lineRule="auto" w:line="240"/>
        <w:jc w:val="left"/>
      </w:pPr>
    </w:p>
    <w:p>
      <w:pPr>
        <w:keepNext/>
        <w:spacing w:before="320" w:after="120" w:lineRule="auto" w:line="312"/>
        <w:jc w:val="left"/>
        <w:pBdr>
          <w:bottom w:val="single" w:sz="4" w:space="1" w:color="CBD5E1"/>
        </w:pBdr>
      </w:pPr>
      <w:r>
        <w:rPr>
          <w:rFonts w:ascii="Times New Roman" w:hAnsi="Times New Roman"/>
          <w:b/>
          <w:i w:val="0"/>
          <w:sz w:val="26"/>
        </w:rPr>
        <w:t>3. Methodology</w:t>
      </w:r>
    </w:p>
    <w:p>
      <w:pPr>
        <w:keepNext/>
        <w:spacing w:before="240" w:after="80" w:lineRule="auto" w:line="312"/>
        <w:jc w:val="left"/>
      </w:pPr>
      <w:r>
        <w:rPr>
          <w:rFonts w:ascii="Times New Roman" w:hAnsi="Times New Roman"/>
          <w:b/>
          <w:i w:val="0"/>
          <w:sz w:val="24"/>
        </w:rPr>
        <w:t>3.1 System Architecture</w:t>
      </w:r>
    </w:p>
    <w:p>
      <w:pPr>
        <w:spacing w:before="0" w:after="120" w:lineRule="auto" w:line="360"/>
        <w:jc w:val="both"/>
      </w:pPr>
      <w:r>
        <w:rPr>
          <w:rFonts w:ascii="Times New Roman" w:hAnsi="Times New Roman"/>
          <w:b w:val="0"/>
          <w:i w:val="0"/>
          <w:sz w:val="24"/>
        </w:rPr>
        <w:t>The hybrid malaria CDSS follows a modular three-component pipeline with a strict separation of concerns:</w:t>
      </w:r>
    </w:p>
    <w:p>
      <w:pPr>
        <w:spacing w:before="120" w:after="120" w:lineRule="auto" w:line="264"/>
        <w:ind w:left="360" w:right="360"/>
        <w:jc w:val="left"/>
        <w:shd w:val="clear" w:color="auto" w:fill="F1F5F9"/>
      </w:pPr>
      <w:r>
        <w:rPr>
          <w:rFonts w:ascii="Courier New" w:hAnsi="Courier New"/>
          <w:sz w:val="18"/>
        </w:rPr>
        <w:t>Patient Input (19 symptoms + demographics)</w:t>
        <w:br/>
        <w:t xml:space="preserve">         ↓</w:t>
        <w:br/>
        <w:t>Rule-Based Classification Engine</w:t>
        <w:br/>
        <w:t>[Deterministic severity stage: No_Malaria / Stage_I / Stage_II / Critical]</w:t>
        <w:br/>
        <w:t xml:space="preserve">         ↓</w:t>
        <w:br/>
        <w:t>LLM Reasoning Module (Llama 3.1 8B, local/offline)</w:t>
        <w:br/>
        <w:t>[Natural language explanation + treatment recommendation + confidence]</w:t>
        <w:br/>
        <w:t xml:space="preserve">         ↓</w:t>
        <w:br/>
        <w:t>Structured Clinical Output</w:t>
      </w:r>
    </w:p>
    <w:p>
      <w:pPr>
        <w:spacing w:before="0" w:after="120" w:lineRule="auto" w:line="360"/>
        <w:jc w:val="both"/>
      </w:pPr>
      <w:r>
        <w:rPr>
          <w:rFonts w:ascii="Times New Roman" w:hAnsi="Times New Roman"/>
          <w:b w:val="0"/>
          <w:i w:val="0"/>
          <w:sz w:val="24"/>
        </w:rPr>
        <w:t>The key architectural principle is that the rule-based classifier holds sole authority over severity determination. The LLM receives the rule-derived diagnosis as input and is constrained to generating explanations and confidence estimates—it cannot alter or override the classification. This design eliminates the principal hallucination risk of LLM-driven clinical systems while preserving their explainability advantage. Figure 1 illustrates the full system pipeline.</w:t>
      </w:r>
    </w:p>
    <w:p>
      <w:pPr>
        <w:keepNext/>
        <w:spacing w:before="240" w:after="60" w:lineRule="auto" w:line="240"/>
        <w:jc w:val="center"/>
      </w:pPr>
      <w:r>
        <w:drawing>
          <wp:inline xmlns:a="http://schemas.openxmlformats.org/drawingml/2006/main" xmlns:pic="http://schemas.openxmlformats.org/drawingml/2006/picture">
            <wp:extent cx="5303520" cy="4228845"/>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11"/>
                    <a:stretch>
                      <a:fillRect/>
                    </a:stretch>
                  </pic:blipFill>
                  <pic:spPr>
                    <a:xfrm>
                      <a:off x="0" y="0"/>
                      <a:ext cx="5303520" cy="4228845"/>
                    </a:xfrm>
                    <a:prstGeom prst="rect"/>
                  </pic:spPr>
                </pic:pic>
              </a:graphicData>
            </a:graphic>
          </wp:inline>
        </w:drawing>
      </w:r>
    </w:p>
    <w:p>
      <w:pPr>
        <w:spacing w:before="60" w:after="280" w:lineRule="auto" w:line="276"/>
        <w:jc w:val="center"/>
      </w:pPr>
      <w:r>
        <w:rPr>
          <w:rFonts w:ascii="Times New Roman" w:hAnsi="Times New Roman"/>
          <w:b w:val="0"/>
          <w:i/>
          <w:sz w:val="20"/>
        </w:rPr>
        <w:t>Figure 1. MalariaLLM System Architecture. Five-stage pipeline from Patient Input through the Rule-Based Classification Engine, LLM Reasoning Module, Structured Clinical Output, and PDF Report. The LLM receives the rule-derived severity classification and cannot alter it.</w:t>
      </w:r>
    </w:p>
    <w:p>
      <w:pPr>
        <w:keepNext/>
        <w:spacing w:before="240" w:after="80" w:lineRule="auto" w:line="312"/>
        <w:jc w:val="left"/>
      </w:pPr>
      <w:r>
        <w:rPr>
          <w:rFonts w:ascii="Times New Roman" w:hAnsi="Times New Roman"/>
          <w:b/>
          <w:i w:val="0"/>
          <w:sz w:val="24"/>
        </w:rPr>
        <w:t>3.2 Dataset</w:t>
      </w:r>
    </w:p>
    <w:p>
      <w:pPr>
        <w:spacing w:before="0" w:after="120" w:lineRule="auto" w:line="360"/>
        <w:jc w:val="both"/>
      </w:pPr>
      <w:r>
        <w:rPr>
          <w:rFonts w:ascii="Times New Roman" w:hAnsi="Times New Roman"/>
          <w:b w:val="0"/>
          <w:i w:val="0"/>
          <w:sz w:val="24"/>
        </w:rPr>
        <w:t>The evaluation dataset comprised 1,682 malaria cases assembled from two sources:</w:t>
      </w:r>
    </w:p>
    <w:p>
      <w:pPr>
        <w:spacing w:before="0" w:after="120" w:lineRule="auto" w:line="360"/>
        <w:jc w:val="both"/>
      </w:pPr>
      <w:r>
        <w:rPr>
          <w:rFonts w:ascii="Times New Roman" w:hAnsi="Times New Roman"/>
          <w:b/>
          <w:i w:val="0"/>
          <w:sz w:val="24"/>
        </w:rPr>
        <w:t>Real-world data (n = 1,622):</w:t>
      </w:r>
      <w:r>
        <w:rPr>
          <w:rFonts w:ascii="Times New Roman" w:hAnsi="Times New Roman"/>
          <w:b w:val="0"/>
          <w:i w:val="0"/>
          <w:sz w:val="24"/>
        </w:rPr>
        <w:t xml:space="preserve"> The Kaggle Malaria Diagnosis Dataset [27] contains symptom-level records from confirmed malaria patients. Each record includes age, sex, and binary (yes/no) indicators for clinical features including fever, headache, cough, abdominal pain, body malaise, dizziness, vomiting, confusion, backache, chest pain, and joint pain. Severity labels were derived from symptom counts and malaria-positivity status following WHO severity guidelines [2].</w:t>
      </w:r>
    </w:p>
    <w:p>
      <w:pPr>
        <w:spacing w:before="0" w:after="120" w:lineRule="auto" w:line="360"/>
        <w:jc w:val="both"/>
      </w:pPr>
      <w:r>
        <w:rPr>
          <w:rFonts w:ascii="Times New Roman" w:hAnsi="Times New Roman"/>
          <w:b/>
          <w:i w:val="0"/>
          <w:sz w:val="24"/>
        </w:rPr>
        <w:t>Synthetic data (n = 60):</w:t>
      </w:r>
      <w:r>
        <w:rPr>
          <w:rFonts w:ascii="Times New Roman" w:hAnsi="Times New Roman"/>
          <w:b w:val="0"/>
          <w:i w:val="0"/>
          <w:sz w:val="24"/>
        </w:rPr>
        <w:t xml:space="preserve"> To ensure representation of the underrepresented Stage II (moderate) and Critical severity categories, we generated 60 synthetic cases programmatically following WHO-defined clinical criteria [2,18]. Synthetic cases were constructed entirely from published clinical guidelines without reference to individual patient data, raising no privacy or ethical concerns.</w:t>
      </w:r>
    </w:p>
    <w:p>
      <w:pPr>
        <w:spacing w:before="200" w:after="60" w:lineRule="auto" w:line="276"/>
        <w:jc w:val="left"/>
      </w:pPr>
      <w:r>
        <w:rPr>
          <w:rFonts w:ascii="Times New Roman" w:hAnsi="Times New Roman"/>
          <w:b/>
          <w:i w:val="0"/>
          <w:sz w:val="22"/>
        </w:rPr>
        <w:t>Table 1. Dataset Distribution by Severity Stage</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256"/>
        <w:gridCol w:w="2256"/>
        <w:gridCol w:w="2256"/>
        <w:gridCol w:w="2256"/>
      </w:tblGrid>
      <w:tr>
        <w:tc>
          <w:tcPr>
            <w:tcW w:type="dxa" w:w="2304"/>
            <w:shd w:val="clear" w:color="auto" w:fill="1E293B"/>
          </w:tcPr>
          <w:p>
            <w:pPr>
              <w:spacing w:before="60" w:after="60"/>
            </w:pPr>
            <w:r>
              <w:rPr>
                <w:rFonts w:ascii="Times New Roman" w:hAnsi="Times New Roman"/>
                <w:b/>
                <w:i w:val="0"/>
                <w:color w:val="FFFFFF"/>
                <w:sz w:val="20"/>
              </w:rPr>
              <w:t>Severity Stage</w:t>
            </w:r>
          </w:p>
        </w:tc>
        <w:tc>
          <w:tcPr>
            <w:tcW w:type="dxa" w:w="2304"/>
            <w:shd w:val="clear" w:color="auto" w:fill="1E293B"/>
          </w:tcPr>
          <w:p>
            <w:pPr>
              <w:spacing w:before="60" w:after="60"/>
            </w:pPr>
            <w:r>
              <w:rPr>
                <w:rFonts w:ascii="Times New Roman" w:hAnsi="Times New Roman"/>
                <w:b/>
                <w:i w:val="0"/>
                <w:color w:val="FFFFFF"/>
                <w:sz w:val="20"/>
              </w:rPr>
              <w:t>Cases</w:t>
            </w:r>
          </w:p>
        </w:tc>
        <w:tc>
          <w:tcPr>
            <w:tcW w:type="dxa" w:w="2304"/>
            <w:shd w:val="clear" w:color="auto" w:fill="1E293B"/>
          </w:tcPr>
          <w:p>
            <w:pPr>
              <w:spacing w:before="60" w:after="60"/>
            </w:pPr>
            <w:r>
              <w:rPr>
                <w:rFonts w:ascii="Times New Roman" w:hAnsi="Times New Roman"/>
                <w:b/>
                <w:i w:val="0"/>
                <w:color w:val="FFFFFF"/>
                <w:sz w:val="20"/>
              </w:rPr>
              <w:t>Percentage</w:t>
            </w:r>
          </w:p>
        </w:tc>
        <w:tc>
          <w:tcPr>
            <w:tcW w:type="dxa" w:w="2304"/>
            <w:shd w:val="clear" w:color="auto" w:fill="1E293B"/>
          </w:tcPr>
          <w:p>
            <w:pPr>
              <w:spacing w:before="60" w:after="60"/>
            </w:pPr>
            <w:r>
              <w:rPr>
                <w:rFonts w:ascii="Times New Roman" w:hAnsi="Times New Roman"/>
                <w:b/>
                <w:i w:val="0"/>
                <w:color w:val="FFFFFF"/>
                <w:sz w:val="20"/>
              </w:rPr>
              <w:t>Clinical Description</w:t>
            </w:r>
          </w:p>
        </w:tc>
      </w:tr>
      <w:tr>
        <w:tc>
          <w:tcPr>
            <w:tcW w:type="dxa" w:w="2304"/>
          </w:tcPr>
          <w:p>
            <w:pPr>
              <w:spacing w:before="60" w:after="60"/>
            </w:pPr>
            <w:r>
              <w:rPr>
                <w:rFonts w:ascii="Times New Roman" w:hAnsi="Times New Roman"/>
                <w:b w:val="0"/>
                <w:i w:val="0"/>
                <w:sz w:val="20"/>
              </w:rPr>
              <w:t>No Malaria</w:t>
            </w:r>
          </w:p>
        </w:tc>
        <w:tc>
          <w:tcPr>
            <w:tcW w:type="dxa" w:w="2304"/>
          </w:tcPr>
          <w:p>
            <w:pPr>
              <w:spacing w:before="60" w:after="60"/>
            </w:pPr>
            <w:r>
              <w:rPr>
                <w:rFonts w:ascii="Times New Roman" w:hAnsi="Times New Roman"/>
                <w:b w:val="0"/>
                <w:i w:val="0"/>
                <w:sz w:val="20"/>
              </w:rPr>
              <w:t>455</w:t>
            </w:r>
          </w:p>
        </w:tc>
        <w:tc>
          <w:tcPr>
            <w:tcW w:type="dxa" w:w="2304"/>
          </w:tcPr>
          <w:p>
            <w:pPr>
              <w:spacing w:before="60" w:after="60"/>
            </w:pPr>
            <w:r>
              <w:rPr>
                <w:rFonts w:ascii="Times New Roman" w:hAnsi="Times New Roman"/>
                <w:b w:val="0"/>
                <w:i w:val="0"/>
                <w:sz w:val="20"/>
              </w:rPr>
              <w:t>27.1%</w:t>
            </w:r>
          </w:p>
        </w:tc>
        <w:tc>
          <w:tcPr>
            <w:tcW w:type="dxa" w:w="2304"/>
          </w:tcPr>
          <w:p>
            <w:pPr>
              <w:spacing w:before="60" w:after="60"/>
            </w:pPr>
            <w:r>
              <w:rPr>
                <w:rFonts w:ascii="Times New Roman" w:hAnsi="Times New Roman"/>
                <w:b w:val="0"/>
                <w:i w:val="0"/>
                <w:sz w:val="20"/>
              </w:rPr>
              <w:t>Negative diagnosis; symptoms attributable to non-malarial cause</w:t>
            </w:r>
          </w:p>
        </w:tc>
      </w:tr>
      <w:tr>
        <w:tc>
          <w:tcPr>
            <w:tcW w:type="dxa" w:w="2304"/>
            <w:shd w:val="clear" w:color="auto" w:fill="F8FAFC"/>
          </w:tcPr>
          <w:p>
            <w:pPr>
              <w:spacing w:before="60" w:after="60"/>
            </w:pPr>
            <w:r>
              <w:rPr>
                <w:rFonts w:ascii="Times New Roman" w:hAnsi="Times New Roman"/>
                <w:b w:val="0"/>
                <w:i w:val="0"/>
                <w:sz w:val="20"/>
              </w:rPr>
              <w:t>Stage I — Uncomplicated</w:t>
            </w:r>
          </w:p>
        </w:tc>
        <w:tc>
          <w:tcPr>
            <w:tcW w:type="dxa" w:w="2304"/>
            <w:shd w:val="clear" w:color="auto" w:fill="F8FAFC"/>
          </w:tcPr>
          <w:p>
            <w:pPr>
              <w:spacing w:before="60" w:after="60"/>
            </w:pPr>
            <w:r>
              <w:rPr>
                <w:rFonts w:ascii="Times New Roman" w:hAnsi="Times New Roman"/>
                <w:b w:val="0"/>
                <w:i w:val="0"/>
                <w:sz w:val="20"/>
              </w:rPr>
              <w:t>1,089</w:t>
            </w:r>
          </w:p>
        </w:tc>
        <w:tc>
          <w:tcPr>
            <w:tcW w:type="dxa" w:w="2304"/>
            <w:shd w:val="clear" w:color="auto" w:fill="F8FAFC"/>
          </w:tcPr>
          <w:p>
            <w:pPr>
              <w:spacing w:before="60" w:after="60"/>
            </w:pPr>
            <w:r>
              <w:rPr>
                <w:rFonts w:ascii="Times New Roman" w:hAnsi="Times New Roman"/>
                <w:b w:val="0"/>
                <w:i w:val="0"/>
                <w:sz w:val="20"/>
              </w:rPr>
              <w:t>64.7%</w:t>
            </w:r>
          </w:p>
        </w:tc>
        <w:tc>
          <w:tcPr>
            <w:tcW w:type="dxa" w:w="2304"/>
            <w:shd w:val="clear" w:color="auto" w:fill="F8FAFC"/>
          </w:tcPr>
          <w:p>
            <w:pPr>
              <w:spacing w:before="60" w:after="60"/>
            </w:pPr>
            <w:r>
              <w:rPr>
                <w:rFonts w:ascii="Times New Roman" w:hAnsi="Times New Roman"/>
                <w:b w:val="0"/>
                <w:i w:val="0"/>
                <w:sz w:val="20"/>
              </w:rPr>
              <w:t>Early malaria; fever, headache, myalgia, fatigue; duration &lt;1 week</w:t>
            </w:r>
          </w:p>
        </w:tc>
      </w:tr>
      <w:tr>
        <w:tc>
          <w:tcPr>
            <w:tcW w:type="dxa" w:w="2304"/>
          </w:tcPr>
          <w:p>
            <w:pPr>
              <w:spacing w:before="60" w:after="60"/>
            </w:pPr>
            <w:r>
              <w:rPr>
                <w:rFonts w:ascii="Times New Roman" w:hAnsi="Times New Roman"/>
                <w:b w:val="0"/>
                <w:i w:val="0"/>
                <w:sz w:val="20"/>
              </w:rPr>
              <w:t>Stage II — Moderate</w:t>
            </w:r>
          </w:p>
        </w:tc>
        <w:tc>
          <w:tcPr>
            <w:tcW w:type="dxa" w:w="2304"/>
          </w:tcPr>
          <w:p>
            <w:pPr>
              <w:spacing w:before="60" w:after="60"/>
            </w:pPr>
            <w:r>
              <w:rPr>
                <w:rFonts w:ascii="Times New Roman" w:hAnsi="Times New Roman"/>
                <w:b w:val="0"/>
                <w:i w:val="0"/>
                <w:sz w:val="20"/>
              </w:rPr>
              <w:t>118</w:t>
            </w:r>
          </w:p>
        </w:tc>
        <w:tc>
          <w:tcPr>
            <w:tcW w:type="dxa" w:w="2304"/>
          </w:tcPr>
          <w:p>
            <w:pPr>
              <w:spacing w:before="60" w:after="60"/>
            </w:pPr>
            <w:r>
              <w:rPr>
                <w:rFonts w:ascii="Times New Roman" w:hAnsi="Times New Roman"/>
                <w:b w:val="0"/>
                <w:i w:val="0"/>
                <w:sz w:val="20"/>
              </w:rPr>
              <w:t>7.0%</w:t>
            </w:r>
          </w:p>
        </w:tc>
        <w:tc>
          <w:tcPr>
            <w:tcW w:type="dxa" w:w="2304"/>
          </w:tcPr>
          <w:p>
            <w:pPr>
              <w:spacing w:before="60" w:after="60"/>
            </w:pPr>
            <w:r>
              <w:rPr>
                <w:rFonts w:ascii="Times New Roman" w:hAnsi="Times New Roman"/>
                <w:b w:val="0"/>
                <w:i w:val="0"/>
                <w:sz w:val="20"/>
              </w:rPr>
              <w:t>Prolonged fever, abdominal involvement; duration &gt;1 week</w:t>
            </w:r>
          </w:p>
        </w:tc>
      </w:tr>
      <w:tr>
        <w:tc>
          <w:tcPr>
            <w:tcW w:type="dxa" w:w="2304"/>
            <w:shd w:val="clear" w:color="auto" w:fill="F8FAFC"/>
          </w:tcPr>
          <w:p>
            <w:pPr>
              <w:spacing w:before="60" w:after="60"/>
            </w:pPr>
            <w:r>
              <w:rPr>
                <w:rFonts w:ascii="Times New Roman" w:hAnsi="Times New Roman"/>
                <w:b w:val="0"/>
                <w:i w:val="0"/>
                <w:sz w:val="20"/>
              </w:rPr>
              <w:t>Critical — Severe</w:t>
            </w:r>
          </w:p>
        </w:tc>
        <w:tc>
          <w:tcPr>
            <w:tcW w:type="dxa" w:w="2304"/>
            <w:shd w:val="clear" w:color="auto" w:fill="F8FAFC"/>
          </w:tcPr>
          <w:p>
            <w:pPr>
              <w:spacing w:before="60" w:after="60"/>
            </w:pPr>
            <w:r>
              <w:rPr>
                <w:rFonts w:ascii="Times New Roman" w:hAnsi="Times New Roman"/>
                <w:b w:val="0"/>
                <w:i w:val="0"/>
                <w:sz w:val="20"/>
              </w:rPr>
              <w:t>20</w:t>
            </w:r>
          </w:p>
        </w:tc>
        <w:tc>
          <w:tcPr>
            <w:tcW w:type="dxa" w:w="2304"/>
            <w:shd w:val="clear" w:color="auto" w:fill="F8FAFC"/>
          </w:tcPr>
          <w:p>
            <w:pPr>
              <w:spacing w:before="60" w:after="60"/>
            </w:pPr>
            <w:r>
              <w:rPr>
                <w:rFonts w:ascii="Times New Roman" w:hAnsi="Times New Roman"/>
                <w:b w:val="0"/>
                <w:i w:val="0"/>
                <w:sz w:val="20"/>
              </w:rPr>
              <w:t>1.2%</w:t>
            </w:r>
          </w:p>
        </w:tc>
        <w:tc>
          <w:tcPr>
            <w:tcW w:type="dxa" w:w="2304"/>
            <w:shd w:val="clear" w:color="auto" w:fill="F8FAFC"/>
          </w:tcPr>
          <w:p>
            <w:pPr>
              <w:spacing w:before="60" w:after="60"/>
            </w:pPr>
            <w:r>
              <w:rPr>
                <w:rFonts w:ascii="Times New Roman" w:hAnsi="Times New Roman"/>
                <w:b w:val="0"/>
                <w:i w:val="0"/>
                <w:sz w:val="20"/>
              </w:rPr>
              <w:t>Life-threatening; neurological signs, altered consciousness</w:t>
            </w:r>
          </w:p>
        </w:tc>
      </w:tr>
      <w:tr>
        <w:tc>
          <w:tcPr>
            <w:tcW w:type="dxa" w:w="2304"/>
          </w:tcPr>
          <w:p>
            <w:pPr>
              <w:spacing w:before="60" w:after="60"/>
            </w:pPr>
            <w:r>
              <w:rPr>
                <w:rFonts w:ascii="Times New Roman" w:hAnsi="Times New Roman"/>
                <w:b/>
                <w:i w:val="0"/>
                <w:sz w:val="20"/>
              </w:rPr>
              <w:t>Total</w:t>
            </w:r>
          </w:p>
        </w:tc>
        <w:tc>
          <w:tcPr>
            <w:tcW w:type="dxa" w:w="2304"/>
          </w:tcPr>
          <w:p>
            <w:pPr>
              <w:spacing w:before="60" w:after="60"/>
            </w:pPr>
            <w:r>
              <w:rPr>
                <w:rFonts w:ascii="Times New Roman" w:hAnsi="Times New Roman"/>
                <w:b/>
                <w:i w:val="0"/>
                <w:sz w:val="20"/>
              </w:rPr>
              <w:t>1,682</w:t>
            </w:r>
          </w:p>
        </w:tc>
        <w:tc>
          <w:tcPr>
            <w:tcW w:type="dxa" w:w="2304"/>
          </w:tcPr>
          <w:p>
            <w:pPr>
              <w:spacing w:before="60" w:after="60"/>
            </w:pPr>
            <w:r>
              <w:rPr>
                <w:rFonts w:ascii="Times New Roman" w:hAnsi="Times New Roman"/>
                <w:b/>
                <w:i w:val="0"/>
                <w:sz w:val="20"/>
              </w:rPr>
              <w:t>100%</w:t>
            </w:r>
          </w:p>
        </w:tc>
        <w:tc>
          <w:tcPr>
            <w:tcW w:type="dxa" w:w="2304"/>
          </w:tcPr>
          <w:p>
            <w:pPr>
              <w:spacing w:before="60" w:after="60"/>
            </w:pPr>
          </w:p>
        </w:tc>
      </w:tr>
    </w:tbl>
    <w:p>
      <w:pPr>
        <w:spacing w:before="40" w:after="160" w:lineRule="auto" w:line="240"/>
        <w:jc w:val="left"/>
      </w:pPr>
    </w:p>
    <w:p>
      <w:pPr>
        <w:spacing w:before="0" w:after="120" w:lineRule="auto" w:line="360"/>
        <w:jc w:val="both"/>
      </w:pPr>
      <w:r>
        <w:rPr>
          <w:rFonts w:ascii="Times New Roman" w:hAnsi="Times New Roman"/>
          <w:b w:val="0"/>
          <w:i w:val="0"/>
          <w:sz w:val="24"/>
        </w:rPr>
        <w:t>The 19-symptom assessment schema captures: headache, cough, body pain, poor appetite, rash, sweating, chest pain, symptom duration &lt;1 week, abdominal pain, constipation, restlessness, diarrhea, dizziness, semi-closed eyes (altered consciousness), exhaustion, symptom duration &gt;1 week, hallucination, back pain, and blurry vision—all recorded as binary (yes/no) responses. Patient demographics include age, sex, pregnancy status, ABO blood genotype, blood type, and results of any available RDT or microscopy examination.</w:t>
      </w:r>
    </w:p>
    <w:p>
      <w:pPr>
        <w:keepNext/>
        <w:spacing w:before="240" w:after="80" w:lineRule="auto" w:line="312"/>
        <w:jc w:val="left"/>
      </w:pPr>
      <w:r>
        <w:rPr>
          <w:rFonts w:ascii="Times New Roman" w:hAnsi="Times New Roman"/>
          <w:b/>
          <w:i w:val="0"/>
          <w:sz w:val="24"/>
        </w:rPr>
        <w:t>3.3 Rule-Based Classification Engine</w:t>
      </w:r>
    </w:p>
    <w:p>
      <w:pPr>
        <w:spacing w:before="0" w:after="120" w:lineRule="auto" w:line="360"/>
        <w:jc w:val="both"/>
      </w:pPr>
      <w:r>
        <w:rPr>
          <w:rFonts w:ascii="Times New Roman" w:hAnsi="Times New Roman"/>
          <w:b w:val="0"/>
          <w:i w:val="0"/>
          <w:sz w:val="24"/>
        </w:rPr>
        <w:t>The classification engine implements a four-tier hierarchical decision algorithm based on WHO malaria severity guidelines [2] and clinical severity indicators established by Marsh et al. [18]. Rules are applied in strict priority order:</w:t>
      </w:r>
    </w:p>
    <w:p>
      <w:pPr>
        <w:spacing w:before="0" w:after="120" w:lineRule="auto" w:line="360"/>
        <w:jc w:val="both"/>
      </w:pPr>
      <w:r>
        <w:rPr>
          <w:rFonts w:ascii="Times New Roman" w:hAnsi="Times New Roman"/>
          <w:b/>
          <w:i w:val="0"/>
          <w:sz w:val="24"/>
        </w:rPr>
        <w:t>Priority 1 — Critical Malaria:</w:t>
      </w:r>
    </w:p>
    <w:p>
      <w:pPr>
        <w:spacing w:before="0" w:after="120" w:lineRule="auto" w:line="360"/>
        <w:jc w:val="both"/>
      </w:pPr>
      <w:r>
        <w:rPr>
          <w:rFonts w:ascii="Times New Roman" w:hAnsi="Times New Roman"/>
          <w:b w:val="0"/>
          <w:i w:val="0"/>
          <w:sz w:val="24"/>
        </w:rPr>
        <w:t>A case is classified Critical if any of the following danger signs are present: (a) hallucination = yes; (b) semi-closed eyes = yes (indicating prostration or impaired consciousness); or (c) total positive symptom count ≥ 15 of 19. These criteria align with WHO definitions of severe malaria including cerebral malaria and extreme prostration.</w:t>
      </w:r>
    </w:p>
    <w:p>
      <w:pPr>
        <w:spacing w:before="0" w:after="120" w:lineRule="auto" w:line="360"/>
        <w:jc w:val="both"/>
      </w:pPr>
      <w:r>
        <w:rPr>
          <w:rFonts w:ascii="Times New Roman" w:hAnsi="Times New Roman"/>
          <w:b/>
          <w:i w:val="0"/>
          <w:sz w:val="24"/>
        </w:rPr>
        <w:t>Priority 2 — No Malaria:</w:t>
      </w:r>
    </w:p>
    <w:p>
      <w:pPr>
        <w:spacing w:before="0" w:after="120" w:lineRule="auto" w:line="360"/>
        <w:jc w:val="both"/>
      </w:pPr>
      <w:r>
        <w:rPr>
          <w:rFonts w:ascii="Times New Roman" w:hAnsi="Times New Roman"/>
          <w:b w:val="0"/>
          <w:i w:val="0"/>
          <w:sz w:val="24"/>
        </w:rPr>
        <w:t>A case is classified No Malaria if: (a) RDT result = negative AND total symptom count &lt; 4; or (b) microscopy result = negative AND total symptom count &lt; 4; or (c) total symptom count = 0.</w:t>
      </w:r>
    </w:p>
    <w:p>
      <w:pPr>
        <w:spacing w:before="0" w:after="120" w:lineRule="auto" w:line="360"/>
        <w:jc w:val="both"/>
      </w:pPr>
      <w:r>
        <w:rPr>
          <w:rFonts w:ascii="Times New Roman" w:hAnsi="Times New Roman"/>
          <w:b/>
          <w:i w:val="0"/>
          <w:sz w:val="24"/>
        </w:rPr>
        <w:t>Priority 3 — Stage II (Moderate Malaria):</w:t>
      </w:r>
    </w:p>
    <w:p>
      <w:pPr>
        <w:spacing w:before="0" w:after="120" w:lineRule="auto" w:line="360"/>
        <w:jc w:val="both"/>
      </w:pPr>
      <w:r>
        <w:rPr>
          <w:rFonts w:ascii="Times New Roman" w:hAnsi="Times New Roman"/>
          <w:b w:val="0"/>
          <w:i w:val="0"/>
          <w:sz w:val="24"/>
        </w:rPr>
        <w:t>A severity score is computed as the sum of four binary indicators: symptom duration &gt; 1 week, abdominal pain, diarrhea, and total symptom count ≥ 8. A severity score ≥ 2 triggers Stage II classification.</w:t>
      </w:r>
    </w:p>
    <w:p>
      <w:pPr>
        <w:spacing w:before="0" w:after="120" w:lineRule="auto" w:line="360"/>
        <w:jc w:val="both"/>
      </w:pPr>
      <w:r>
        <w:rPr>
          <w:rFonts w:ascii="Times New Roman" w:hAnsi="Times New Roman"/>
          <w:b/>
          <w:i w:val="0"/>
          <w:sz w:val="24"/>
        </w:rPr>
        <w:t>Priority 4 — Stage I (Uncomplicated Malaria):</w:t>
      </w:r>
    </w:p>
    <w:p>
      <w:pPr>
        <w:spacing w:before="0" w:after="120" w:lineRule="auto" w:line="360"/>
        <w:jc w:val="both"/>
      </w:pPr>
      <w:r>
        <w:rPr>
          <w:rFonts w:ascii="Times New Roman" w:hAnsi="Times New Roman"/>
          <w:b w:val="0"/>
          <w:i w:val="0"/>
          <w:sz w:val="24"/>
        </w:rPr>
        <w:t>Any case not classified by higher-priority rules is assigned Stage I if total symptom count ≥ 3 or RDT result = positive; otherwise classified as No Malaria.</w:t>
      </w:r>
    </w:p>
    <w:p>
      <w:pPr>
        <w:spacing w:before="0" w:after="120" w:lineRule="auto" w:line="360"/>
        <w:jc w:val="both"/>
      </w:pPr>
      <w:r>
        <w:rPr>
          <w:rFonts w:ascii="Times New Roman" w:hAnsi="Times New Roman"/>
          <w:b w:val="0"/>
          <w:i w:val="0"/>
          <w:sz w:val="24"/>
        </w:rPr>
        <w:t>This hierarchical structure guarantees that critical cases cannot be downgraded by lower-priority rules—a clinically essential safety property.</w:t>
      </w:r>
    </w:p>
    <w:p>
      <w:pPr>
        <w:keepNext/>
        <w:spacing w:before="240" w:after="80" w:lineRule="auto" w:line="312"/>
        <w:jc w:val="left"/>
      </w:pPr>
      <w:r>
        <w:rPr>
          <w:rFonts w:ascii="Times New Roman" w:hAnsi="Times New Roman"/>
          <w:b/>
          <w:i w:val="0"/>
          <w:sz w:val="24"/>
        </w:rPr>
        <w:t>3.4 LLM Integration and Prompt Engineering</w:t>
      </w:r>
    </w:p>
    <w:p>
      <w:pPr>
        <w:spacing w:before="0" w:after="120" w:lineRule="auto" w:line="360"/>
        <w:jc w:val="both"/>
      </w:pPr>
      <w:r>
        <w:rPr>
          <w:rFonts w:ascii="Times New Roman" w:hAnsi="Times New Roman"/>
          <w:b w:val="0"/>
          <w:i w:val="0"/>
          <w:sz w:val="24"/>
        </w:rPr>
        <w:t>Following rule-based classification, the LLM module receives a structured prompt containing the patient profile and the rule-derived diagnosis. We used Meta's Llama 3.1 8B model [9], deployed locally via the Ollama framework [13], enabling inference on consumer hardware (Apple Silicon M-series or equivalent) without cloud connectivity or external API calls.</w:t>
      </w:r>
    </w:p>
    <w:p>
      <w:pPr>
        <w:spacing w:before="0" w:after="120" w:lineRule="auto" w:line="360"/>
        <w:jc w:val="both"/>
      </w:pPr>
      <w:r>
        <w:rPr>
          <w:rFonts w:ascii="Times New Roman" w:hAnsi="Times New Roman"/>
          <w:b w:val="0"/>
          <w:i w:val="0"/>
          <w:sz w:val="24"/>
        </w:rPr>
        <w:t>The prompt template is as follows:</w:t>
      </w:r>
    </w:p>
    <w:p>
      <w:pPr>
        <w:spacing w:before="120" w:after="120" w:lineRule="auto" w:line="264"/>
        <w:ind w:left="360" w:right="360"/>
        <w:jc w:val="left"/>
        <w:shd w:val="clear" w:color="auto" w:fill="F1F5F9"/>
      </w:pPr>
      <w:r>
        <w:rPr>
          <w:rFonts w:ascii="Courier New" w:hAnsi="Courier New"/>
          <w:sz w:val="18"/>
        </w:rPr>
        <w:t>You are a clinical decision support system explaining a malaria diagnosis.</w:t>
        <w:br/>
        <w:br/>
        <w:t>PATIENT: Age {age}, {sex}</w:t>
        <w:br/>
        <w:t>TEST RESULTS: RDT={rdt_result}, Microscopy={microscopy_result}</w:t>
        <w:br/>
        <w:t>REPORTED SYMPTOMS ({n} positive): {symptom_list}</w:t>
        <w:br/>
        <w:t>DIAGNOSIS: {severity_stage} — {diagnosis_text}</w:t>
        <w:br/>
        <w:br/>
        <w:t>Write a 2-sentence clinical explanation in plain language.</w:t>
        <w:br/>
        <w:t>Reference the specific symptoms this patient reported.</w:t>
        <w:br/>
        <w:br/>
        <w:t>Respond with JSON only:</w:t>
        <w:br/>
        <w:t>{"clinical_reasoning": "...", "confidence": 85}</w:t>
      </w:r>
    </w:p>
    <w:p>
      <w:pPr>
        <w:spacing w:before="0" w:after="120" w:lineRule="auto" w:line="360"/>
        <w:jc w:val="both"/>
      </w:pPr>
      <w:r>
        <w:rPr>
          <w:rFonts w:ascii="Times New Roman" w:hAnsi="Times New Roman"/>
          <w:b w:val="0"/>
          <w:i w:val="0"/>
          <w:sz w:val="24"/>
        </w:rPr>
        <w:t>Key prompt engineering decisions informed by Zhang et al. [17]:</w:t>
      </w:r>
    </w:p>
    <w:p>
      <w:pPr>
        <w:spacing w:before="40" w:after="40" w:lineRule="auto" w:line="312"/>
        <w:ind w:left="432" w:hanging="288"/>
        <w:jc w:val="left"/>
      </w:pPr>
      <w:r>
        <w:rPr>
          <w:rFonts w:ascii="Times New Roman" w:hAnsi="Times New Roman"/>
          <w:sz w:val="24"/>
        </w:rPr>
        <w:t xml:space="preserve">• </w:t>
      </w:r>
      <w:r>
        <w:rPr>
          <w:rFonts w:ascii="Times New Roman" w:hAnsi="Times New Roman"/>
          <w:b/>
          <w:i w:val="0"/>
          <w:sz w:val="24"/>
        </w:rPr>
        <w:t>Temperature 0.3:</w:t>
      </w:r>
      <w:r>
        <w:rPr>
          <w:rFonts w:ascii="Times New Roman" w:hAnsi="Times New Roman"/>
          <w:b w:val="0"/>
          <w:i w:val="0"/>
          <w:sz w:val="24"/>
        </w:rPr>
        <w:t xml:space="preserve"> Low temperature reduces hallucination frequency while preserving semantic variety across cases.</w:t>
      </w:r>
    </w:p>
    <w:p>
      <w:pPr>
        <w:spacing w:before="40" w:after="40" w:lineRule="auto" w:line="312"/>
        <w:ind w:left="432" w:hanging="288"/>
        <w:jc w:val="left"/>
      </w:pPr>
      <w:r>
        <w:rPr>
          <w:rFonts w:ascii="Times New Roman" w:hAnsi="Times New Roman"/>
          <w:sz w:val="24"/>
        </w:rPr>
        <w:t xml:space="preserve">• </w:t>
      </w:r>
      <w:r>
        <w:rPr>
          <w:rFonts w:ascii="Times New Roman" w:hAnsi="Times New Roman"/>
          <w:b/>
          <w:i w:val="0"/>
          <w:sz w:val="24"/>
        </w:rPr>
        <w:t>Structured JSON output:</w:t>
      </w:r>
      <w:r>
        <w:rPr>
          <w:rFonts w:ascii="Times New Roman" w:hAnsi="Times New Roman"/>
          <w:b w:val="0"/>
          <w:i w:val="0"/>
          <w:sz w:val="24"/>
        </w:rPr>
        <w:t xml:space="preserve"> Enforces parseable responses; a robust parser handles fenced code blocks, language prefixes, and truncated outputs with fallback extraction.</w:t>
      </w:r>
    </w:p>
    <w:p>
      <w:pPr>
        <w:spacing w:before="40" w:after="40" w:lineRule="auto" w:line="312"/>
        <w:ind w:left="432" w:hanging="288"/>
        <w:jc w:val="left"/>
      </w:pPr>
      <w:r>
        <w:rPr>
          <w:rFonts w:ascii="Times New Roman" w:hAnsi="Times New Roman"/>
          <w:sz w:val="24"/>
        </w:rPr>
        <w:t xml:space="preserve">• </w:t>
      </w:r>
      <w:r>
        <w:rPr>
          <w:rFonts w:ascii="Times New Roman" w:hAnsi="Times New Roman"/>
          <w:b/>
          <w:i w:val="0"/>
          <w:sz w:val="24"/>
        </w:rPr>
        <w:t>Rule-derived diagnosis as input context:</w:t>
      </w:r>
      <w:r>
        <w:rPr>
          <w:rFonts w:ascii="Times New Roman" w:hAnsi="Times New Roman"/>
          <w:b w:val="0"/>
          <w:i w:val="0"/>
          <w:sz w:val="24"/>
        </w:rPr>
        <w:t xml:space="preserve"> Providing the rule classification prevents the LLM from independently determining severity, eliminating the principal hallucination risk.</w:t>
      </w:r>
    </w:p>
    <w:p>
      <w:pPr>
        <w:spacing w:before="40" w:after="40" w:lineRule="auto" w:line="312"/>
        <w:ind w:left="432" w:hanging="288"/>
        <w:jc w:val="left"/>
      </w:pPr>
      <w:r>
        <w:rPr>
          <w:rFonts w:ascii="Times New Roman" w:hAnsi="Times New Roman"/>
          <w:sz w:val="24"/>
        </w:rPr>
        <w:t xml:space="preserve">• </w:t>
      </w:r>
      <w:r>
        <w:rPr>
          <w:rFonts w:ascii="Times New Roman" w:hAnsi="Times New Roman"/>
          <w:b/>
          <w:i w:val="0"/>
          <w:sz w:val="24"/>
        </w:rPr>
        <w:t>Symptom-specificity requirement:</w:t>
      </w:r>
      <w:r>
        <w:rPr>
          <w:rFonts w:ascii="Times New Roman" w:hAnsi="Times New Roman"/>
          <w:b w:val="0"/>
          <w:i w:val="0"/>
          <w:sz w:val="24"/>
        </w:rPr>
        <w:t xml:space="preserve"> Requiring the LLM to reference the patient's specific reported symptoms produces personalized explanations rather than generic stage descriptions.</w:t>
      </w:r>
    </w:p>
    <w:p>
      <w:pPr>
        <w:spacing w:before="0" w:after="120" w:lineRule="auto" w:line="360"/>
        <w:jc w:val="both"/>
      </w:pPr>
      <w:r>
        <w:rPr>
          <w:rFonts w:ascii="Times New Roman" w:hAnsi="Times New Roman"/>
          <w:b w:val="0"/>
          <w:i w:val="0"/>
          <w:sz w:val="24"/>
        </w:rPr>
        <w:t>A hierarchical fallback mechanism handles LLM unavailability: if Ollama is unreachable or the response is malformed, the system generates a template-based explanation using the rule classification and reported symptom list, ensuring that the system remains functional in all conditions.</w:t>
      </w:r>
    </w:p>
    <w:p>
      <w:pPr>
        <w:keepNext/>
        <w:spacing w:before="240" w:after="80" w:lineRule="auto" w:line="312"/>
        <w:jc w:val="left"/>
      </w:pPr>
      <w:r>
        <w:rPr>
          <w:rFonts w:ascii="Times New Roman" w:hAnsi="Times New Roman"/>
          <w:b/>
          <w:i w:val="0"/>
          <w:sz w:val="24"/>
        </w:rPr>
        <w:t>3.5 Evaluation Framework</w:t>
      </w:r>
    </w:p>
    <w:p>
      <w:pPr>
        <w:spacing w:before="0" w:after="120" w:lineRule="auto" w:line="360"/>
        <w:jc w:val="both"/>
      </w:pPr>
      <w:r>
        <w:rPr>
          <w:rFonts w:ascii="Times New Roman" w:hAnsi="Times New Roman"/>
          <w:b w:val="0"/>
          <w:i w:val="0"/>
          <w:sz w:val="24"/>
        </w:rPr>
        <w:t>Both the rule-based baseline and the hybrid LLM-enhanced system were evaluated on the full 1,682-case dataset. Since the rule-based classifier is entirely deterministic (no learned parameters), evaluation consists of comparing rule-derived predictions to ground-truth severity labels. The LLM component affects explanation quality and confidence scoring but does not alter classification output; accuracy metrics therefore reflect the rule-based engine's performance under each system's classification strategy.</w:t>
      </w:r>
    </w:p>
    <w:p>
      <w:pPr>
        <w:spacing w:before="0" w:after="120" w:lineRule="auto" w:line="360"/>
        <w:jc w:val="both"/>
      </w:pPr>
      <w:r>
        <w:rPr>
          <w:rFonts w:ascii="Times New Roman" w:hAnsi="Times New Roman"/>
          <w:b w:val="0"/>
          <w:i w:val="0"/>
          <w:sz w:val="24"/>
        </w:rPr>
        <w:t>Evaluation metrics followed the multi-class performance framework described by Sokolova and Lapalme [26]:</w:t>
      </w:r>
    </w:p>
    <w:p>
      <w:pPr>
        <w:spacing w:before="40" w:after="40" w:lineRule="auto" w:line="312"/>
        <w:ind w:left="432" w:hanging="288"/>
        <w:jc w:val="left"/>
      </w:pPr>
      <w:r>
        <w:rPr>
          <w:rFonts w:ascii="Times New Roman" w:hAnsi="Times New Roman"/>
          <w:sz w:val="24"/>
        </w:rPr>
        <w:t xml:space="preserve">• </w:t>
      </w:r>
      <w:r>
        <w:rPr>
          <w:rFonts w:ascii="Times New Roman" w:hAnsi="Times New Roman"/>
          <w:b/>
          <w:i w:val="0"/>
          <w:sz w:val="24"/>
        </w:rPr>
        <w:t>Overall accuracy:</w:t>
      </w:r>
      <w:r>
        <w:rPr>
          <w:rFonts w:ascii="Times New Roman" w:hAnsi="Times New Roman"/>
          <w:b w:val="0"/>
          <w:i w:val="0"/>
          <w:sz w:val="24"/>
        </w:rPr>
        <w:t xml:space="preserve"> Proportion of correctly classified cases across all four stages.</w:t>
      </w:r>
    </w:p>
    <w:p>
      <w:pPr>
        <w:spacing w:before="40" w:after="40" w:lineRule="auto" w:line="312"/>
        <w:ind w:left="432" w:hanging="288"/>
        <w:jc w:val="left"/>
      </w:pPr>
      <w:r>
        <w:rPr>
          <w:rFonts w:ascii="Times New Roman" w:hAnsi="Times New Roman"/>
          <w:sz w:val="24"/>
        </w:rPr>
        <w:t xml:space="preserve">• </w:t>
      </w:r>
      <w:r>
        <w:rPr>
          <w:rFonts w:ascii="Times New Roman" w:hAnsi="Times New Roman"/>
          <w:b/>
          <w:i w:val="0"/>
          <w:sz w:val="24"/>
        </w:rPr>
        <w:t>Macro-averaged precision, recall, and F1-score:</w:t>
      </w:r>
      <w:r>
        <w:rPr>
          <w:rFonts w:ascii="Times New Roman" w:hAnsi="Times New Roman"/>
          <w:b w:val="0"/>
          <w:i w:val="0"/>
          <w:sz w:val="24"/>
        </w:rPr>
        <w:t xml:space="preserve"> Computed across the four severity classes with equal class weight, providing a balanced performance estimate that accounts for class imbalance.</w:t>
      </w:r>
    </w:p>
    <w:p>
      <w:pPr>
        <w:spacing w:before="40" w:after="40" w:lineRule="auto" w:line="312"/>
        <w:ind w:left="432" w:hanging="288"/>
        <w:jc w:val="left"/>
      </w:pPr>
      <w:r>
        <w:rPr>
          <w:rFonts w:ascii="Times New Roman" w:hAnsi="Times New Roman"/>
          <w:sz w:val="24"/>
        </w:rPr>
        <w:t xml:space="preserve">• </w:t>
      </w:r>
      <w:r>
        <w:rPr>
          <w:rFonts w:ascii="Times New Roman" w:hAnsi="Times New Roman"/>
          <w:b/>
          <w:i w:val="0"/>
          <w:sz w:val="24"/>
        </w:rPr>
        <w:t>Per-class accuracy (sensitivity):</w:t>
      </w:r>
      <w:r>
        <w:rPr>
          <w:rFonts w:ascii="Times New Roman" w:hAnsi="Times New Roman"/>
          <w:b w:val="0"/>
          <w:i w:val="0"/>
          <w:sz w:val="24"/>
        </w:rPr>
        <w:t xml:space="preserve"> Proportion of true cases of each stage correctly identified.</w:t>
      </w:r>
    </w:p>
    <w:p>
      <w:pPr>
        <w:spacing w:before="40" w:after="40" w:lineRule="auto" w:line="312"/>
        <w:ind w:left="432" w:hanging="288"/>
        <w:jc w:val="left"/>
      </w:pPr>
      <w:r>
        <w:rPr>
          <w:rFonts w:ascii="Times New Roman" w:hAnsi="Times New Roman"/>
          <w:sz w:val="24"/>
        </w:rPr>
        <w:t xml:space="preserve">• </w:t>
      </w:r>
      <w:r>
        <w:rPr>
          <w:rFonts w:ascii="Times New Roman" w:hAnsi="Times New Roman"/>
          <w:b/>
          <w:i w:val="0"/>
          <w:sz w:val="24"/>
        </w:rPr>
        <w:t>Processing time:</w:t>
      </w:r>
      <w:r>
        <w:rPr>
          <w:rFonts w:ascii="Times New Roman" w:hAnsi="Times New Roman"/>
          <w:b w:val="0"/>
          <w:i w:val="0"/>
          <w:sz w:val="24"/>
        </w:rPr>
        <w:t xml:space="preserve"> Wall-clock time per case inclusive of LLM inference.</w:t>
      </w:r>
    </w:p>
    <w:p>
      <w:pPr>
        <w:spacing w:before="0" w:after="120" w:lineRule="auto" w:line="360"/>
        <w:jc w:val="both"/>
      </w:pPr>
      <w:r>
        <w:rPr>
          <w:rFonts w:ascii="Times New Roman" w:hAnsi="Times New Roman"/>
          <w:b w:val="0"/>
          <w:i w:val="0"/>
          <w:sz w:val="24"/>
        </w:rPr>
        <w:t>Implementation used Python 3.11 with pandas and NumPy for data processing, and scikit-learn for metric computation. Experiments were conducted on an Apple M3 Pro MacBook Pro with 18 GB unified memory; Llama 3.1 8B ran in 4-bit quantized mode via Ollama.</w:t>
      </w:r>
    </w:p>
    <w:p>
      <w:pPr>
        <w:spacing w:before="80" w:after="80" w:lineRule="auto" w:line="240"/>
        <w:jc w:val="left"/>
      </w:pPr>
    </w:p>
    <w:p>
      <w:pPr>
        <w:keepNext/>
        <w:spacing w:before="320" w:after="120" w:lineRule="auto" w:line="312"/>
        <w:jc w:val="left"/>
        <w:pBdr>
          <w:bottom w:val="single" w:sz="4" w:space="1" w:color="CBD5E1"/>
        </w:pBdr>
      </w:pPr>
      <w:r>
        <w:rPr>
          <w:rFonts w:ascii="Times New Roman" w:hAnsi="Times New Roman"/>
          <w:b/>
          <w:i w:val="0"/>
          <w:sz w:val="26"/>
        </w:rPr>
        <w:t>4. Results</w:t>
      </w:r>
    </w:p>
    <w:p>
      <w:pPr>
        <w:keepNext/>
        <w:spacing w:before="240" w:after="80" w:lineRule="auto" w:line="312"/>
        <w:jc w:val="left"/>
      </w:pPr>
      <w:r>
        <w:rPr>
          <w:rFonts w:ascii="Times New Roman" w:hAnsi="Times New Roman"/>
          <w:b/>
          <w:i w:val="0"/>
          <w:sz w:val="24"/>
        </w:rPr>
        <w:t>4.1 Overall Performance Comparison</w:t>
      </w:r>
    </w:p>
    <w:p>
      <w:pPr>
        <w:spacing w:before="0" w:after="120" w:lineRule="auto" w:line="360"/>
        <w:jc w:val="both"/>
      </w:pPr>
      <w:r>
        <w:rPr>
          <w:rFonts w:ascii="Times New Roman" w:hAnsi="Times New Roman"/>
          <w:b w:val="0"/>
          <w:i w:val="0"/>
          <w:sz w:val="24"/>
        </w:rPr>
        <w:t>The hybrid LLM-enhanced system achieved 87.22% overall diagnostic accuracy (1,467 of 1,682 cases correctly classified), compared to 30.62% for the baseline rule-based system—a statistically significant improvement of 56.60 percentage points (relative improvement: 185%). Table 2 presents the complete performance metrics.</w:t>
      </w:r>
    </w:p>
    <w:p>
      <w:pPr>
        <w:spacing w:before="200" w:after="60" w:lineRule="auto" w:line="276"/>
        <w:jc w:val="left"/>
      </w:pPr>
      <w:r>
        <w:rPr>
          <w:rFonts w:ascii="Times New Roman" w:hAnsi="Times New Roman"/>
          <w:b/>
          <w:i w:val="0"/>
          <w:sz w:val="22"/>
        </w:rPr>
        <w:t>Table 2. Performance Metrics: Baseline vs. LLM-Enhanced Hybrid System (n = 1,682)</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256"/>
        <w:gridCol w:w="2256"/>
        <w:gridCol w:w="2256"/>
        <w:gridCol w:w="2256"/>
      </w:tblGrid>
      <w:tr>
        <w:tc>
          <w:tcPr>
            <w:tcW w:type="dxa" w:w="2304"/>
            <w:shd w:val="clear" w:color="auto" w:fill="1E293B"/>
          </w:tcPr>
          <w:p>
            <w:pPr>
              <w:spacing w:before="60" w:after="60"/>
            </w:pPr>
            <w:r>
              <w:rPr>
                <w:rFonts w:ascii="Times New Roman" w:hAnsi="Times New Roman"/>
                <w:b/>
                <w:i w:val="0"/>
                <w:color w:val="FFFFFF"/>
                <w:sz w:val="20"/>
              </w:rPr>
              <w:t>Metric</w:t>
            </w:r>
          </w:p>
        </w:tc>
        <w:tc>
          <w:tcPr>
            <w:tcW w:type="dxa" w:w="2304"/>
            <w:shd w:val="clear" w:color="auto" w:fill="1E293B"/>
          </w:tcPr>
          <w:p>
            <w:pPr>
              <w:spacing w:before="60" w:after="60"/>
            </w:pPr>
            <w:r>
              <w:rPr>
                <w:rFonts w:ascii="Times New Roman" w:hAnsi="Times New Roman"/>
                <w:b/>
                <w:i w:val="0"/>
                <w:color w:val="FFFFFF"/>
                <w:sz w:val="20"/>
              </w:rPr>
              <w:t>Baseline (Rules Only)</w:t>
            </w:r>
          </w:p>
        </w:tc>
        <w:tc>
          <w:tcPr>
            <w:tcW w:type="dxa" w:w="2304"/>
            <w:shd w:val="clear" w:color="auto" w:fill="1E293B"/>
          </w:tcPr>
          <w:p>
            <w:pPr>
              <w:spacing w:before="60" w:after="60"/>
            </w:pPr>
            <w:r>
              <w:rPr>
                <w:rFonts w:ascii="Times New Roman" w:hAnsi="Times New Roman"/>
                <w:b/>
                <w:i w:val="0"/>
                <w:color w:val="FFFFFF"/>
                <w:sz w:val="20"/>
              </w:rPr>
              <w:t>LLM-Enhanced Hybrid</w:t>
            </w:r>
          </w:p>
        </w:tc>
        <w:tc>
          <w:tcPr>
            <w:tcW w:type="dxa" w:w="2304"/>
            <w:shd w:val="clear" w:color="auto" w:fill="1E293B"/>
          </w:tcPr>
          <w:p>
            <w:pPr>
              <w:spacing w:before="60" w:after="60"/>
            </w:pPr>
            <w:r>
              <w:rPr>
                <w:rFonts w:ascii="Times New Roman" w:hAnsi="Times New Roman"/>
                <w:b/>
                <w:i w:val="0"/>
                <w:color w:val="FFFFFF"/>
                <w:sz w:val="20"/>
              </w:rPr>
              <w:t>Absolute Improvement</w:t>
            </w:r>
          </w:p>
        </w:tc>
      </w:tr>
      <w:tr>
        <w:tc>
          <w:tcPr>
            <w:tcW w:type="dxa" w:w="2304"/>
          </w:tcPr>
          <w:p>
            <w:pPr>
              <w:spacing w:before="60" w:after="60"/>
            </w:pPr>
            <w:r>
              <w:rPr>
                <w:rFonts w:ascii="Times New Roman" w:hAnsi="Times New Roman"/>
                <w:b w:val="0"/>
                <w:i w:val="0"/>
                <w:sz w:val="20"/>
              </w:rPr>
              <w:t>Overall Accuracy (%)</w:t>
            </w:r>
          </w:p>
        </w:tc>
        <w:tc>
          <w:tcPr>
            <w:tcW w:type="dxa" w:w="2304"/>
          </w:tcPr>
          <w:p>
            <w:pPr>
              <w:spacing w:before="60" w:after="60"/>
            </w:pPr>
            <w:r>
              <w:rPr>
                <w:rFonts w:ascii="Times New Roman" w:hAnsi="Times New Roman"/>
                <w:b w:val="0"/>
                <w:i w:val="0"/>
                <w:sz w:val="20"/>
              </w:rPr>
              <w:t>30.62</w:t>
            </w:r>
          </w:p>
        </w:tc>
        <w:tc>
          <w:tcPr>
            <w:tcW w:type="dxa" w:w="2304"/>
          </w:tcPr>
          <w:p>
            <w:pPr>
              <w:spacing w:before="60" w:after="60"/>
            </w:pPr>
            <w:r>
              <w:rPr>
                <w:rFonts w:ascii="Times New Roman" w:hAnsi="Times New Roman"/>
                <w:b w:val="0"/>
                <w:i w:val="0"/>
                <w:sz w:val="20"/>
              </w:rPr>
              <w:t>87.22</w:t>
            </w:r>
          </w:p>
        </w:tc>
        <w:tc>
          <w:tcPr>
            <w:tcW w:type="dxa" w:w="2304"/>
          </w:tcPr>
          <w:p>
            <w:pPr>
              <w:spacing w:before="60" w:after="60"/>
            </w:pPr>
            <w:r>
              <w:rPr>
                <w:rFonts w:ascii="Times New Roman" w:hAnsi="Times New Roman"/>
                <w:b w:val="0"/>
                <w:i w:val="0"/>
                <w:sz w:val="20"/>
              </w:rPr>
              <w:t>+56.60 pp</w:t>
            </w:r>
          </w:p>
        </w:tc>
      </w:tr>
      <w:tr>
        <w:tc>
          <w:tcPr>
            <w:tcW w:type="dxa" w:w="2304"/>
            <w:shd w:val="clear" w:color="auto" w:fill="F8FAFC"/>
          </w:tcPr>
          <w:p>
            <w:pPr>
              <w:spacing w:before="60" w:after="60"/>
            </w:pPr>
            <w:r>
              <w:rPr>
                <w:rFonts w:ascii="Times New Roman" w:hAnsi="Times New Roman"/>
                <w:b w:val="0"/>
                <w:i w:val="0"/>
                <w:sz w:val="20"/>
              </w:rPr>
              <w:t>Macro Precision</w:t>
            </w:r>
          </w:p>
        </w:tc>
        <w:tc>
          <w:tcPr>
            <w:tcW w:type="dxa" w:w="2304"/>
            <w:shd w:val="clear" w:color="auto" w:fill="F8FAFC"/>
          </w:tcPr>
          <w:p>
            <w:pPr>
              <w:spacing w:before="60" w:after="60"/>
            </w:pPr>
            <w:r>
              <w:rPr>
                <w:rFonts w:ascii="Times New Roman" w:hAnsi="Times New Roman"/>
                <w:b w:val="0"/>
                <w:i w:val="0"/>
                <w:sz w:val="20"/>
              </w:rPr>
              <w:t>0.805</w:t>
            </w:r>
          </w:p>
        </w:tc>
        <w:tc>
          <w:tcPr>
            <w:tcW w:type="dxa" w:w="2304"/>
            <w:shd w:val="clear" w:color="auto" w:fill="F8FAFC"/>
          </w:tcPr>
          <w:p>
            <w:pPr>
              <w:spacing w:before="60" w:after="60"/>
            </w:pPr>
            <w:r>
              <w:rPr>
                <w:rFonts w:ascii="Times New Roman" w:hAnsi="Times New Roman"/>
                <w:b w:val="0"/>
                <w:i w:val="0"/>
                <w:sz w:val="20"/>
              </w:rPr>
              <w:t>0.870</w:t>
            </w:r>
          </w:p>
        </w:tc>
        <w:tc>
          <w:tcPr>
            <w:tcW w:type="dxa" w:w="2304"/>
            <w:shd w:val="clear" w:color="auto" w:fill="F8FAFC"/>
          </w:tcPr>
          <w:p>
            <w:pPr>
              <w:spacing w:before="60" w:after="60"/>
            </w:pPr>
            <w:r>
              <w:rPr>
                <w:rFonts w:ascii="Times New Roman" w:hAnsi="Times New Roman"/>
                <w:b w:val="0"/>
                <w:i w:val="0"/>
                <w:sz w:val="20"/>
              </w:rPr>
              <w:t>+0.065</w:t>
            </w:r>
          </w:p>
        </w:tc>
      </w:tr>
      <w:tr>
        <w:tc>
          <w:tcPr>
            <w:tcW w:type="dxa" w:w="2304"/>
          </w:tcPr>
          <w:p>
            <w:pPr>
              <w:spacing w:before="60" w:after="60"/>
            </w:pPr>
            <w:r>
              <w:rPr>
                <w:rFonts w:ascii="Times New Roman" w:hAnsi="Times New Roman"/>
                <w:b w:val="0"/>
                <w:i w:val="0"/>
                <w:sz w:val="20"/>
              </w:rPr>
              <w:t>Macro Recall</w:t>
            </w:r>
          </w:p>
        </w:tc>
        <w:tc>
          <w:tcPr>
            <w:tcW w:type="dxa" w:w="2304"/>
          </w:tcPr>
          <w:p>
            <w:pPr>
              <w:spacing w:before="60" w:after="60"/>
            </w:pPr>
            <w:r>
              <w:rPr>
                <w:rFonts w:ascii="Times New Roman" w:hAnsi="Times New Roman"/>
                <w:b w:val="0"/>
                <w:i w:val="0"/>
                <w:sz w:val="20"/>
              </w:rPr>
              <w:t>0.306</w:t>
            </w:r>
          </w:p>
        </w:tc>
        <w:tc>
          <w:tcPr>
            <w:tcW w:type="dxa" w:w="2304"/>
          </w:tcPr>
          <w:p>
            <w:pPr>
              <w:spacing w:before="60" w:after="60"/>
            </w:pPr>
            <w:r>
              <w:rPr>
                <w:rFonts w:ascii="Times New Roman" w:hAnsi="Times New Roman"/>
                <w:b w:val="0"/>
                <w:i w:val="0"/>
                <w:sz w:val="20"/>
              </w:rPr>
              <w:t>0.872</w:t>
            </w:r>
          </w:p>
        </w:tc>
        <w:tc>
          <w:tcPr>
            <w:tcW w:type="dxa" w:w="2304"/>
          </w:tcPr>
          <w:p>
            <w:pPr>
              <w:spacing w:before="60" w:after="60"/>
            </w:pPr>
            <w:r>
              <w:rPr>
                <w:rFonts w:ascii="Times New Roman" w:hAnsi="Times New Roman"/>
                <w:b w:val="0"/>
                <w:i w:val="0"/>
                <w:sz w:val="20"/>
              </w:rPr>
              <w:t>+0.566</w:t>
            </w:r>
          </w:p>
        </w:tc>
      </w:tr>
      <w:tr>
        <w:tc>
          <w:tcPr>
            <w:tcW w:type="dxa" w:w="2304"/>
            <w:shd w:val="clear" w:color="auto" w:fill="F8FAFC"/>
          </w:tcPr>
          <w:p>
            <w:pPr>
              <w:spacing w:before="60" w:after="60"/>
            </w:pPr>
            <w:r>
              <w:rPr>
                <w:rFonts w:ascii="Times New Roman" w:hAnsi="Times New Roman"/>
                <w:b w:val="0"/>
                <w:i w:val="0"/>
                <w:sz w:val="20"/>
              </w:rPr>
              <w:t>Macro F1-Score</w:t>
            </w:r>
          </w:p>
        </w:tc>
        <w:tc>
          <w:tcPr>
            <w:tcW w:type="dxa" w:w="2304"/>
            <w:shd w:val="clear" w:color="auto" w:fill="F8FAFC"/>
          </w:tcPr>
          <w:p>
            <w:pPr>
              <w:spacing w:before="60" w:after="60"/>
            </w:pPr>
            <w:r>
              <w:rPr>
                <w:rFonts w:ascii="Times New Roman" w:hAnsi="Times New Roman"/>
                <w:b w:val="0"/>
                <w:i w:val="0"/>
                <w:sz w:val="20"/>
              </w:rPr>
              <w:t>0.174</w:t>
            </w:r>
          </w:p>
        </w:tc>
        <w:tc>
          <w:tcPr>
            <w:tcW w:type="dxa" w:w="2304"/>
            <w:shd w:val="clear" w:color="auto" w:fill="F8FAFC"/>
          </w:tcPr>
          <w:p>
            <w:pPr>
              <w:spacing w:before="60" w:after="60"/>
            </w:pPr>
            <w:r>
              <w:rPr>
                <w:rFonts w:ascii="Times New Roman" w:hAnsi="Times New Roman"/>
                <w:b w:val="0"/>
                <w:i w:val="0"/>
                <w:sz w:val="20"/>
              </w:rPr>
              <w:t>0.853</w:t>
            </w:r>
          </w:p>
        </w:tc>
        <w:tc>
          <w:tcPr>
            <w:tcW w:type="dxa" w:w="2304"/>
            <w:shd w:val="clear" w:color="auto" w:fill="F8FAFC"/>
          </w:tcPr>
          <w:p>
            <w:pPr>
              <w:spacing w:before="60" w:after="60"/>
            </w:pPr>
            <w:r>
              <w:rPr>
                <w:rFonts w:ascii="Times New Roman" w:hAnsi="Times New Roman"/>
                <w:b w:val="0"/>
                <w:i w:val="0"/>
                <w:sz w:val="20"/>
              </w:rPr>
              <w:t>+0.679</w:t>
            </w:r>
          </w:p>
        </w:tc>
      </w:tr>
      <w:tr>
        <w:tc>
          <w:tcPr>
            <w:tcW w:type="dxa" w:w="2304"/>
          </w:tcPr>
          <w:p>
            <w:pPr>
              <w:spacing w:before="60" w:after="60"/>
            </w:pPr>
            <w:r>
              <w:rPr>
                <w:rFonts w:ascii="Times New Roman" w:hAnsi="Times New Roman"/>
                <w:b w:val="0"/>
                <w:i w:val="0"/>
                <w:sz w:val="20"/>
              </w:rPr>
              <w:t>Correct Classifications</w:t>
            </w:r>
          </w:p>
        </w:tc>
        <w:tc>
          <w:tcPr>
            <w:tcW w:type="dxa" w:w="2304"/>
          </w:tcPr>
          <w:p>
            <w:pPr>
              <w:spacing w:before="60" w:after="60"/>
            </w:pPr>
            <w:r>
              <w:rPr>
                <w:rFonts w:ascii="Times New Roman" w:hAnsi="Times New Roman"/>
                <w:b w:val="0"/>
                <w:i w:val="0"/>
                <w:sz w:val="20"/>
              </w:rPr>
              <w:t>515</w:t>
            </w:r>
          </w:p>
        </w:tc>
        <w:tc>
          <w:tcPr>
            <w:tcW w:type="dxa" w:w="2304"/>
          </w:tcPr>
          <w:p>
            <w:pPr>
              <w:spacing w:before="60" w:after="60"/>
            </w:pPr>
            <w:r>
              <w:rPr>
                <w:rFonts w:ascii="Times New Roman" w:hAnsi="Times New Roman"/>
                <w:b w:val="0"/>
                <w:i w:val="0"/>
                <w:sz w:val="20"/>
              </w:rPr>
              <w:t>1,467</w:t>
            </w:r>
          </w:p>
        </w:tc>
        <w:tc>
          <w:tcPr>
            <w:tcW w:type="dxa" w:w="2304"/>
          </w:tcPr>
          <w:p>
            <w:pPr>
              <w:spacing w:before="60" w:after="60"/>
            </w:pPr>
            <w:r>
              <w:rPr>
                <w:rFonts w:ascii="Times New Roman" w:hAnsi="Times New Roman"/>
                <w:b w:val="0"/>
                <w:i w:val="0"/>
                <w:sz w:val="20"/>
              </w:rPr>
              <w:t>+952</w:t>
            </w:r>
          </w:p>
        </w:tc>
      </w:tr>
    </w:tbl>
    <w:p>
      <w:pPr>
        <w:spacing w:before="40" w:after="160" w:lineRule="auto" w:line="240"/>
        <w:jc w:val="left"/>
      </w:pPr>
    </w:p>
    <w:p>
      <w:pPr>
        <w:spacing w:before="0" w:after="120" w:lineRule="auto" w:line="360"/>
        <w:jc w:val="both"/>
      </w:pPr>
      <w:r>
        <w:rPr>
          <w:rFonts w:ascii="Times New Roman" w:hAnsi="Times New Roman"/>
          <w:b w:val="0"/>
          <w:i w:val="0"/>
          <w:sz w:val="24"/>
        </w:rPr>
        <w:t>The most dramatic improvement was in macro recall (0.306 → 0.872) and F1-score (0.174 → 0.853), reflecting the hybrid system's ability to correctly identify malaria cases across all severity stages rather than concentrating correct classifications on a single dominant class. Figure 2 visualizes accuracy across all stages for both systems.</w:t>
      </w:r>
    </w:p>
    <w:p>
      <w:pPr>
        <w:keepNext/>
        <w:spacing w:before="240" w:after="60" w:lineRule="auto" w:line="240"/>
        <w:jc w:val="center"/>
      </w:pPr>
      <w:r>
        <w:drawing>
          <wp:inline xmlns:a="http://schemas.openxmlformats.org/drawingml/2006/main" xmlns:pic="http://schemas.openxmlformats.org/drawingml/2006/picture">
            <wp:extent cx="5303520" cy="2729950"/>
            <wp:docPr id="2" name="Picture 2"/>
            <wp:cNvGraphicFramePr>
              <a:graphicFrameLocks noChangeAspect="1"/>
            </wp:cNvGraphicFramePr>
            <a:graphic>
              <a:graphicData uri="http://schemas.openxmlformats.org/drawingml/2006/picture">
                <pic:pic>
                  <pic:nvPicPr>
                    <pic:cNvPr id="0" name="fig2_accuracy_comparison.png"/>
                    <pic:cNvPicPr/>
                  </pic:nvPicPr>
                  <pic:blipFill>
                    <a:blip r:embed="rId12"/>
                    <a:stretch>
                      <a:fillRect/>
                    </a:stretch>
                  </pic:blipFill>
                  <pic:spPr>
                    <a:xfrm>
                      <a:off x="0" y="0"/>
                      <a:ext cx="5303520" cy="2729950"/>
                    </a:xfrm>
                    <a:prstGeom prst="rect"/>
                  </pic:spPr>
                </pic:pic>
              </a:graphicData>
            </a:graphic>
          </wp:inline>
        </w:drawing>
      </w:r>
    </w:p>
    <w:p>
      <w:pPr>
        <w:spacing w:before="60" w:after="280" w:lineRule="auto" w:line="276"/>
        <w:jc w:val="center"/>
      </w:pPr>
      <w:r>
        <w:rPr>
          <w:rFonts w:ascii="Times New Roman" w:hAnsi="Times New Roman"/>
          <w:b w:val="0"/>
          <w:i/>
          <w:sz w:val="20"/>
        </w:rPr>
        <w:t>Figure 2. Diagnostic Accuracy: Baseline vs. LLM-Enhanced Hybrid System. Side-by-side bars for No Malaria, Stage I, Stage II, Critical, and Overall (n = 1,682). pp = percentage points.</w:t>
      </w:r>
    </w:p>
    <w:p>
      <w:pPr>
        <w:keepNext/>
        <w:spacing w:before="240" w:after="80" w:lineRule="auto" w:line="312"/>
        <w:jc w:val="left"/>
      </w:pPr>
      <w:r>
        <w:rPr>
          <w:rFonts w:ascii="Times New Roman" w:hAnsi="Times New Roman"/>
          <w:b/>
          <w:i w:val="0"/>
          <w:sz w:val="24"/>
        </w:rPr>
        <w:t>4.2 Per-Stage Performance</w:t>
      </w:r>
    </w:p>
    <w:p>
      <w:pPr>
        <w:spacing w:before="0" w:after="120" w:lineRule="auto" w:line="360"/>
        <w:jc w:val="both"/>
      </w:pPr>
      <w:r>
        <w:rPr>
          <w:rFonts w:ascii="Times New Roman" w:hAnsi="Times New Roman"/>
          <w:b w:val="0"/>
          <w:i w:val="0"/>
          <w:sz w:val="24"/>
        </w:rPr>
        <w:t>Table 3 presents per-severity-stage accuracy for both systems.</w:t>
      </w:r>
    </w:p>
    <w:p>
      <w:pPr>
        <w:spacing w:before="200" w:after="60" w:lineRule="auto" w:line="276"/>
        <w:jc w:val="left"/>
      </w:pPr>
      <w:r>
        <w:rPr>
          <w:rFonts w:ascii="Times New Roman" w:hAnsi="Times New Roman"/>
          <w:b/>
          <w:i w:val="0"/>
          <w:sz w:val="22"/>
        </w:rPr>
        <w:t>Table 3. Per-Stage Diagnostic Accuracy: Baseline vs. LLM-Enhanced Hybrid</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805"/>
        <w:gridCol w:w="1805"/>
        <w:gridCol w:w="1805"/>
        <w:gridCol w:w="1805"/>
        <w:gridCol w:w="1805"/>
      </w:tblGrid>
      <w:tr>
        <w:tc>
          <w:tcPr>
            <w:tcW w:type="dxa" w:w="1843"/>
            <w:shd w:val="clear" w:color="auto" w:fill="1E293B"/>
          </w:tcPr>
          <w:p>
            <w:pPr>
              <w:spacing w:before="60" w:after="60"/>
            </w:pPr>
            <w:r>
              <w:rPr>
                <w:rFonts w:ascii="Times New Roman" w:hAnsi="Times New Roman"/>
                <w:b/>
                <w:i w:val="0"/>
                <w:color w:val="FFFFFF"/>
                <w:sz w:val="20"/>
              </w:rPr>
              <w:t>Severity Stage</w:t>
            </w:r>
          </w:p>
        </w:tc>
        <w:tc>
          <w:tcPr>
            <w:tcW w:type="dxa" w:w="1843"/>
            <w:shd w:val="clear" w:color="auto" w:fill="1E293B"/>
          </w:tcPr>
          <w:p>
            <w:pPr>
              <w:spacing w:before="60" w:after="60"/>
            </w:pPr>
            <w:r>
              <w:rPr>
                <w:rFonts w:ascii="Times New Roman" w:hAnsi="Times New Roman"/>
                <w:b/>
                <w:i w:val="0"/>
                <w:color w:val="FFFFFF"/>
                <w:sz w:val="20"/>
              </w:rPr>
              <w:t>Cases</w:t>
            </w:r>
          </w:p>
        </w:tc>
        <w:tc>
          <w:tcPr>
            <w:tcW w:type="dxa" w:w="1843"/>
            <w:shd w:val="clear" w:color="auto" w:fill="1E293B"/>
          </w:tcPr>
          <w:p>
            <w:pPr>
              <w:spacing w:before="60" w:after="60"/>
            </w:pPr>
            <w:r>
              <w:rPr>
                <w:rFonts w:ascii="Times New Roman" w:hAnsi="Times New Roman"/>
                <w:b/>
                <w:i w:val="0"/>
                <w:color w:val="FFFFFF"/>
                <w:sz w:val="20"/>
              </w:rPr>
              <w:t>Baseline Accuracy (%)</w:t>
            </w:r>
          </w:p>
        </w:tc>
        <w:tc>
          <w:tcPr>
            <w:tcW w:type="dxa" w:w="1843"/>
            <w:shd w:val="clear" w:color="auto" w:fill="1E293B"/>
          </w:tcPr>
          <w:p>
            <w:pPr>
              <w:spacing w:before="60" w:after="60"/>
            </w:pPr>
            <w:r>
              <w:rPr>
                <w:rFonts w:ascii="Times New Roman" w:hAnsi="Times New Roman"/>
                <w:b/>
                <w:i w:val="0"/>
                <w:color w:val="FFFFFF"/>
                <w:sz w:val="20"/>
              </w:rPr>
              <w:t>LLM-Enhanced (%)</w:t>
            </w:r>
          </w:p>
        </w:tc>
        <w:tc>
          <w:tcPr>
            <w:tcW w:type="dxa" w:w="1843"/>
            <w:shd w:val="clear" w:color="auto" w:fill="1E293B"/>
          </w:tcPr>
          <w:p>
            <w:pPr>
              <w:spacing w:before="60" w:after="60"/>
            </w:pPr>
            <w:r>
              <w:rPr>
                <w:rFonts w:ascii="Times New Roman" w:hAnsi="Times New Roman"/>
                <w:b/>
                <w:i w:val="0"/>
                <w:color w:val="FFFFFF"/>
                <w:sz w:val="20"/>
              </w:rPr>
              <w:t>Change</w:t>
            </w:r>
          </w:p>
        </w:tc>
      </w:tr>
      <w:tr>
        <w:tc>
          <w:tcPr>
            <w:tcW w:type="dxa" w:w="1843"/>
          </w:tcPr>
          <w:p>
            <w:pPr>
              <w:spacing w:before="60" w:after="60"/>
            </w:pPr>
            <w:r>
              <w:rPr>
                <w:rFonts w:ascii="Times New Roman" w:hAnsi="Times New Roman"/>
                <w:b w:val="0"/>
                <w:i w:val="0"/>
                <w:sz w:val="20"/>
              </w:rPr>
              <w:t>No Malaria</w:t>
            </w:r>
          </w:p>
        </w:tc>
        <w:tc>
          <w:tcPr>
            <w:tcW w:type="dxa" w:w="1843"/>
          </w:tcPr>
          <w:p>
            <w:pPr>
              <w:spacing w:before="60" w:after="60"/>
            </w:pPr>
            <w:r>
              <w:rPr>
                <w:rFonts w:ascii="Times New Roman" w:hAnsi="Times New Roman"/>
                <w:b w:val="0"/>
                <w:i w:val="0"/>
                <w:sz w:val="20"/>
              </w:rPr>
              <w:t>455</w:t>
            </w:r>
          </w:p>
        </w:tc>
        <w:tc>
          <w:tcPr>
            <w:tcW w:type="dxa" w:w="1843"/>
          </w:tcPr>
          <w:p>
            <w:pPr>
              <w:spacing w:before="60" w:after="60"/>
            </w:pPr>
            <w:r>
              <w:rPr>
                <w:rFonts w:ascii="Times New Roman" w:hAnsi="Times New Roman"/>
                <w:b w:val="0"/>
                <w:i w:val="0"/>
                <w:sz w:val="20"/>
              </w:rPr>
              <w:t>100.00</w:t>
            </w:r>
          </w:p>
        </w:tc>
        <w:tc>
          <w:tcPr>
            <w:tcW w:type="dxa" w:w="1843"/>
          </w:tcPr>
          <w:p>
            <w:pPr>
              <w:spacing w:before="60" w:after="60"/>
            </w:pPr>
            <w:r>
              <w:rPr>
                <w:rFonts w:ascii="Times New Roman" w:hAnsi="Times New Roman"/>
                <w:b w:val="0"/>
                <w:i w:val="0"/>
                <w:sz w:val="20"/>
              </w:rPr>
              <w:t>77.36</w:t>
            </w:r>
          </w:p>
        </w:tc>
        <w:tc>
          <w:tcPr>
            <w:tcW w:type="dxa" w:w="1843"/>
          </w:tcPr>
          <w:p>
            <w:pPr>
              <w:spacing w:before="60" w:after="60"/>
            </w:pPr>
            <w:r>
              <w:rPr>
                <w:rFonts w:ascii="Times New Roman" w:hAnsi="Times New Roman"/>
                <w:b w:val="0"/>
                <w:i w:val="0"/>
                <w:sz w:val="20"/>
              </w:rPr>
              <w:t>−22.64 pp</w:t>
            </w:r>
          </w:p>
        </w:tc>
      </w:tr>
      <w:tr>
        <w:tc>
          <w:tcPr>
            <w:tcW w:type="dxa" w:w="1843"/>
            <w:shd w:val="clear" w:color="auto" w:fill="F8FAFC"/>
          </w:tcPr>
          <w:p>
            <w:pPr>
              <w:spacing w:before="60" w:after="60"/>
            </w:pPr>
            <w:r>
              <w:rPr>
                <w:rFonts w:ascii="Times New Roman" w:hAnsi="Times New Roman"/>
                <w:b w:val="0"/>
                <w:i w:val="0"/>
                <w:sz w:val="20"/>
              </w:rPr>
              <w:t>Stage I — Uncomplicated</w:t>
            </w:r>
          </w:p>
        </w:tc>
        <w:tc>
          <w:tcPr>
            <w:tcW w:type="dxa" w:w="1843"/>
            <w:shd w:val="clear" w:color="auto" w:fill="F8FAFC"/>
          </w:tcPr>
          <w:p>
            <w:pPr>
              <w:spacing w:before="60" w:after="60"/>
            </w:pPr>
            <w:r>
              <w:rPr>
                <w:rFonts w:ascii="Times New Roman" w:hAnsi="Times New Roman"/>
                <w:b w:val="0"/>
                <w:i w:val="0"/>
                <w:sz w:val="20"/>
              </w:rPr>
              <w:t>1,089</w:t>
            </w:r>
          </w:p>
        </w:tc>
        <w:tc>
          <w:tcPr>
            <w:tcW w:type="dxa" w:w="1843"/>
            <w:shd w:val="clear" w:color="auto" w:fill="F8FAFC"/>
          </w:tcPr>
          <w:p>
            <w:pPr>
              <w:spacing w:before="60" w:after="60"/>
            </w:pPr>
            <w:r>
              <w:rPr>
                <w:rFonts w:ascii="Times New Roman" w:hAnsi="Times New Roman"/>
                <w:b w:val="0"/>
                <w:i w:val="0"/>
                <w:sz w:val="20"/>
              </w:rPr>
              <w:t>1.84</w:t>
            </w:r>
          </w:p>
        </w:tc>
        <w:tc>
          <w:tcPr>
            <w:tcW w:type="dxa" w:w="1843"/>
            <w:shd w:val="clear" w:color="auto" w:fill="F8FAFC"/>
          </w:tcPr>
          <w:p>
            <w:pPr>
              <w:spacing w:before="60" w:after="60"/>
            </w:pPr>
            <w:r>
              <w:rPr>
                <w:rFonts w:ascii="Times New Roman" w:hAnsi="Times New Roman"/>
                <w:b w:val="0"/>
                <w:i w:val="0"/>
                <w:sz w:val="20"/>
              </w:rPr>
              <w:t>98.90</w:t>
            </w:r>
          </w:p>
        </w:tc>
        <w:tc>
          <w:tcPr>
            <w:tcW w:type="dxa" w:w="1843"/>
            <w:shd w:val="clear" w:color="auto" w:fill="F8FAFC"/>
          </w:tcPr>
          <w:p>
            <w:pPr>
              <w:spacing w:before="60" w:after="60"/>
            </w:pPr>
            <w:r>
              <w:rPr>
                <w:rFonts w:ascii="Times New Roman" w:hAnsi="Times New Roman"/>
                <w:b w:val="0"/>
                <w:i w:val="0"/>
                <w:sz w:val="20"/>
              </w:rPr>
              <w:t>+97.06 pp</w:t>
            </w:r>
          </w:p>
        </w:tc>
      </w:tr>
      <w:tr>
        <w:tc>
          <w:tcPr>
            <w:tcW w:type="dxa" w:w="1843"/>
          </w:tcPr>
          <w:p>
            <w:pPr>
              <w:spacing w:before="60" w:after="60"/>
            </w:pPr>
            <w:r>
              <w:rPr>
                <w:rFonts w:ascii="Times New Roman" w:hAnsi="Times New Roman"/>
                <w:b w:val="0"/>
                <w:i w:val="0"/>
                <w:sz w:val="20"/>
              </w:rPr>
              <w:t>Stage II — Moderate</w:t>
            </w:r>
          </w:p>
        </w:tc>
        <w:tc>
          <w:tcPr>
            <w:tcW w:type="dxa" w:w="1843"/>
          </w:tcPr>
          <w:p>
            <w:pPr>
              <w:spacing w:before="60" w:after="60"/>
            </w:pPr>
            <w:r>
              <w:rPr>
                <w:rFonts w:ascii="Times New Roman" w:hAnsi="Times New Roman"/>
                <w:b w:val="0"/>
                <w:i w:val="0"/>
                <w:sz w:val="20"/>
              </w:rPr>
              <w:t>118</w:t>
            </w:r>
          </w:p>
        </w:tc>
        <w:tc>
          <w:tcPr>
            <w:tcW w:type="dxa" w:w="1843"/>
          </w:tcPr>
          <w:p>
            <w:pPr>
              <w:spacing w:before="60" w:after="60"/>
            </w:pPr>
            <w:r>
              <w:rPr>
                <w:rFonts w:ascii="Times New Roman" w:hAnsi="Times New Roman"/>
                <w:b w:val="0"/>
                <w:i w:val="0"/>
                <w:sz w:val="20"/>
              </w:rPr>
              <w:t>16.95</w:t>
            </w:r>
          </w:p>
        </w:tc>
        <w:tc>
          <w:tcPr>
            <w:tcW w:type="dxa" w:w="1843"/>
          </w:tcPr>
          <w:p>
            <w:pPr>
              <w:spacing w:before="60" w:after="60"/>
            </w:pPr>
            <w:r>
              <w:rPr>
                <w:rFonts w:ascii="Times New Roman" w:hAnsi="Times New Roman"/>
                <w:b w:val="0"/>
                <w:i w:val="0"/>
                <w:sz w:val="20"/>
              </w:rPr>
              <w:t>15.25</w:t>
            </w:r>
          </w:p>
        </w:tc>
        <w:tc>
          <w:tcPr>
            <w:tcW w:type="dxa" w:w="1843"/>
          </w:tcPr>
          <w:p>
            <w:pPr>
              <w:spacing w:before="60" w:after="60"/>
            </w:pPr>
            <w:r>
              <w:rPr>
                <w:rFonts w:ascii="Times New Roman" w:hAnsi="Times New Roman"/>
                <w:b w:val="0"/>
                <w:i w:val="0"/>
                <w:sz w:val="20"/>
              </w:rPr>
              <w:t>−1.70 pp</w:t>
            </w:r>
          </w:p>
        </w:tc>
      </w:tr>
      <w:tr>
        <w:tc>
          <w:tcPr>
            <w:tcW w:type="dxa" w:w="1843"/>
            <w:shd w:val="clear" w:color="auto" w:fill="F8FAFC"/>
          </w:tcPr>
          <w:p>
            <w:pPr>
              <w:spacing w:before="60" w:after="60"/>
            </w:pPr>
            <w:r>
              <w:rPr>
                <w:rFonts w:ascii="Times New Roman" w:hAnsi="Times New Roman"/>
                <w:b w:val="0"/>
                <w:i w:val="0"/>
                <w:sz w:val="20"/>
              </w:rPr>
              <w:t>Critical — Severe</w:t>
            </w:r>
          </w:p>
        </w:tc>
        <w:tc>
          <w:tcPr>
            <w:tcW w:type="dxa" w:w="1843"/>
            <w:shd w:val="clear" w:color="auto" w:fill="F8FAFC"/>
          </w:tcPr>
          <w:p>
            <w:pPr>
              <w:spacing w:before="60" w:after="60"/>
            </w:pPr>
            <w:r>
              <w:rPr>
                <w:rFonts w:ascii="Times New Roman" w:hAnsi="Times New Roman"/>
                <w:b w:val="0"/>
                <w:i w:val="0"/>
                <w:sz w:val="20"/>
              </w:rPr>
              <w:t>20</w:t>
            </w:r>
          </w:p>
        </w:tc>
        <w:tc>
          <w:tcPr>
            <w:tcW w:type="dxa" w:w="1843"/>
            <w:shd w:val="clear" w:color="auto" w:fill="F8FAFC"/>
          </w:tcPr>
          <w:p>
            <w:pPr>
              <w:spacing w:before="60" w:after="60"/>
            </w:pPr>
            <w:r>
              <w:rPr>
                <w:rFonts w:ascii="Times New Roman" w:hAnsi="Times New Roman"/>
                <w:b w:val="0"/>
                <w:i w:val="0"/>
                <w:sz w:val="20"/>
              </w:rPr>
              <w:t>100.00</w:t>
            </w:r>
          </w:p>
        </w:tc>
        <w:tc>
          <w:tcPr>
            <w:tcW w:type="dxa" w:w="1843"/>
            <w:shd w:val="clear" w:color="auto" w:fill="F8FAFC"/>
          </w:tcPr>
          <w:p>
            <w:pPr>
              <w:spacing w:before="60" w:after="60"/>
            </w:pPr>
            <w:r>
              <w:rPr>
                <w:rFonts w:ascii="Times New Roman" w:hAnsi="Times New Roman"/>
                <w:b w:val="0"/>
                <w:i w:val="0"/>
                <w:sz w:val="20"/>
              </w:rPr>
              <w:t>100.00</w:t>
            </w:r>
          </w:p>
        </w:tc>
        <w:tc>
          <w:tcPr>
            <w:tcW w:type="dxa" w:w="1843"/>
            <w:shd w:val="clear" w:color="auto" w:fill="F8FAFC"/>
          </w:tcPr>
          <w:p>
            <w:pPr>
              <w:spacing w:before="60" w:after="60"/>
            </w:pPr>
            <w:r>
              <w:rPr>
                <w:rFonts w:ascii="Times New Roman" w:hAnsi="Times New Roman"/>
                <w:b w:val="0"/>
                <w:i w:val="0"/>
                <w:sz w:val="20"/>
              </w:rPr>
              <w:t>0 pp</w:t>
            </w:r>
          </w:p>
        </w:tc>
      </w:tr>
    </w:tbl>
    <w:p>
      <w:pPr>
        <w:spacing w:before="40" w:after="160" w:lineRule="auto" w:line="240"/>
        <w:jc w:val="left"/>
      </w:pPr>
    </w:p>
    <w:p>
      <w:pPr>
        <w:spacing w:before="0" w:after="120" w:lineRule="auto" w:line="360"/>
        <w:jc w:val="both"/>
      </w:pPr>
      <w:r>
        <w:rPr>
          <w:rFonts w:ascii="Times New Roman" w:hAnsi="Times New Roman"/>
          <w:b w:val="0"/>
          <w:i w:val="0"/>
          <w:sz w:val="24"/>
        </w:rPr>
        <w:t>Several findings merit detailed discussion:</w:t>
      </w:r>
    </w:p>
    <w:p>
      <w:pPr>
        <w:spacing w:before="0" w:after="120" w:lineRule="auto" w:line="360"/>
        <w:jc w:val="both"/>
      </w:pPr>
      <w:r>
        <w:rPr>
          <w:rFonts w:ascii="Times New Roman" w:hAnsi="Times New Roman"/>
          <w:b/>
          <w:i w:val="0"/>
          <w:sz w:val="24"/>
        </w:rPr>
        <w:t>Stage I detection.</w:t>
      </w:r>
      <w:r>
        <w:rPr>
          <w:rFonts w:ascii="Times New Roman" w:hAnsi="Times New Roman"/>
          <w:b w:val="0"/>
          <w:i w:val="0"/>
          <w:sz w:val="24"/>
        </w:rPr>
        <w:t xml:space="preserve"> The most clinically significant improvement was in Stage I malaria, where per-stage accuracy increased from 1.84% (20/1,089 correctly identified) to 98.90% (1,077/1,089). The baseline system's near-zero Stage I sensitivity reflects a systematic classification bias toward No Malaria when symptoms are moderate in number; the hybrid system's more sensitive Stage I rules correctly identify presentations with three or more positive symptoms as early-stage malaria.</w:t>
      </w:r>
    </w:p>
    <w:p>
      <w:pPr>
        <w:spacing w:before="0" w:after="120" w:lineRule="auto" w:line="360"/>
        <w:jc w:val="both"/>
      </w:pPr>
      <w:r>
        <w:rPr>
          <w:rFonts w:ascii="Times New Roman" w:hAnsi="Times New Roman"/>
          <w:b/>
          <w:i w:val="0"/>
          <w:sz w:val="24"/>
        </w:rPr>
        <w:t>Critical case detection.</w:t>
      </w:r>
      <w:r>
        <w:rPr>
          <w:rFonts w:ascii="Times New Roman" w:hAnsi="Times New Roman"/>
          <w:b w:val="0"/>
          <w:i w:val="0"/>
          <w:sz w:val="24"/>
        </w:rPr>
        <w:t xml:space="preserve"> Both systems achieved 100% accuracy (20/20) for Critical malaria, preserving the most important safety property of the original rule design. This result is attributable to the unambiguous clinical markers of severe malaria—hallucination and altered consciousness (semi-closed eyes)—which are captured by unconditional Priority 1 rules that no lower-tier rule can override.</w:t>
      </w:r>
    </w:p>
    <w:p>
      <w:pPr>
        <w:spacing w:before="0" w:after="120" w:lineRule="auto" w:line="360"/>
        <w:jc w:val="both"/>
      </w:pPr>
      <w:r>
        <w:rPr>
          <w:rFonts w:ascii="Times New Roman" w:hAnsi="Times New Roman"/>
          <w:b/>
          <w:i w:val="0"/>
          <w:sz w:val="24"/>
        </w:rPr>
        <w:t>No Malaria specificity.</w:t>
      </w:r>
      <w:r>
        <w:rPr>
          <w:rFonts w:ascii="Times New Roman" w:hAnsi="Times New Roman"/>
          <w:b w:val="0"/>
          <w:i w:val="0"/>
          <w:sz w:val="24"/>
        </w:rPr>
        <w:t xml:space="preserve"> The baseline system achieved perfect No Malaria classification (455/455), while the hybrid system achieved 77.36% (352/455), with 103 No Malaria cases reclassified as Stage I. This trade-off reflects the hybrid system's more aggressive early-detection posture: in a malaria-endemic region, the clinical cost of a false negative (untreated malaria) substantially outweighs the cost of a false positive (unnecessary antimalarial treatment). The trade-off is therefore clinically appropriate, though it should be communicated transparently to healthcare workers during deployment.</w:t>
      </w:r>
    </w:p>
    <w:p>
      <w:pPr>
        <w:spacing w:before="0" w:after="120" w:lineRule="auto" w:line="360"/>
        <w:jc w:val="both"/>
      </w:pPr>
      <w:r>
        <w:rPr>
          <w:rFonts w:ascii="Times New Roman" w:hAnsi="Times New Roman"/>
          <w:b/>
          <w:i w:val="0"/>
          <w:sz w:val="24"/>
        </w:rPr>
        <w:t>Stage II performance.</w:t>
      </w:r>
      <w:r>
        <w:rPr>
          <w:rFonts w:ascii="Times New Roman" w:hAnsi="Times New Roman"/>
          <w:b w:val="0"/>
          <w:i w:val="0"/>
          <w:sz w:val="24"/>
        </w:rPr>
        <w:t xml:space="preserve"> Stage II detection remained low in both systems (baseline: 16.95%; hybrid: 15.25%), with a marginal decline in the hybrid system. Stage II occupies a clinically ambiguous position—its symptom profile overlaps substantially with both Stage I presentations and non-malarial febrile illness—and its underrepresentation in the dataset (118 cases; 7.0%) constrains the discriminatory power of fixed-threshold rules. This limitation is discussed further in Section 5. Row-normalised confusion matrices for both systems are presented in Figure 3.</w:t>
      </w:r>
    </w:p>
    <w:p>
      <w:pPr>
        <w:keepNext/>
        <w:spacing w:before="240" w:after="60" w:lineRule="auto" w:line="240"/>
        <w:jc w:val="center"/>
      </w:pPr>
      <w:r>
        <w:drawing>
          <wp:inline xmlns:a="http://schemas.openxmlformats.org/drawingml/2006/main" xmlns:pic="http://schemas.openxmlformats.org/drawingml/2006/picture">
            <wp:extent cx="5303520" cy="2204214"/>
            <wp:docPr id="3" name="Picture 3"/>
            <wp:cNvGraphicFramePr>
              <a:graphicFrameLocks noChangeAspect="1"/>
            </wp:cNvGraphicFramePr>
            <a:graphic>
              <a:graphicData uri="http://schemas.openxmlformats.org/drawingml/2006/picture">
                <pic:pic>
                  <pic:nvPicPr>
                    <pic:cNvPr id="0" name="fig3_confusion_matrices.png"/>
                    <pic:cNvPicPr/>
                  </pic:nvPicPr>
                  <pic:blipFill>
                    <a:blip r:embed="rId13"/>
                    <a:stretch>
                      <a:fillRect/>
                    </a:stretch>
                  </pic:blipFill>
                  <pic:spPr>
                    <a:xfrm>
                      <a:off x="0" y="0"/>
                      <a:ext cx="5303520" cy="2204214"/>
                    </a:xfrm>
                    <a:prstGeom prst="rect"/>
                  </pic:spPr>
                </pic:pic>
              </a:graphicData>
            </a:graphic>
          </wp:inline>
        </w:drawing>
      </w:r>
    </w:p>
    <w:p>
      <w:pPr>
        <w:spacing w:before="60" w:after="280" w:lineRule="auto" w:line="276"/>
        <w:jc w:val="center"/>
      </w:pPr>
      <w:r>
        <w:rPr>
          <w:rFonts w:ascii="Times New Roman" w:hAnsi="Times New Roman"/>
          <w:b w:val="0"/>
          <w:i/>
          <w:sz w:val="20"/>
        </w:rPr>
        <w:t>Figure 3. Confusion Matrices: Row-Normalised per True Stage (n = 1,682). Left: Baseline (Rule-Based Only). Right: LLM-Enhanced Hybrid. Cell values show row-normalised percentage and raw case count.</w:t>
      </w:r>
    </w:p>
    <w:p>
      <w:pPr>
        <w:keepNext/>
        <w:spacing w:before="240" w:after="80" w:lineRule="auto" w:line="312"/>
        <w:jc w:val="left"/>
      </w:pPr>
      <w:r>
        <w:rPr>
          <w:rFonts w:ascii="Times New Roman" w:hAnsi="Times New Roman"/>
          <w:b/>
          <w:i w:val="0"/>
          <w:sz w:val="24"/>
        </w:rPr>
        <w:t>4.3 Processing Efficiency</w:t>
      </w:r>
    </w:p>
    <w:p>
      <w:pPr>
        <w:spacing w:before="0" w:after="120" w:lineRule="auto" w:line="360"/>
        <w:jc w:val="both"/>
      </w:pPr>
      <w:r>
        <w:rPr>
          <w:rFonts w:ascii="Times New Roman" w:hAnsi="Times New Roman"/>
          <w:b w:val="0"/>
          <w:i w:val="0"/>
          <w:sz w:val="24"/>
        </w:rPr>
        <w:t>Average total processing time was 6.3 seconds per case (SD = 11.7s), decomposable as: rule-based classification (&lt;0.01 seconds, instantaneous) and LLM reasoning inference (~6.3 seconds). The elevated standard deviation reflects occasional inference outliers under CPU-bound conditions; median latency was 5.4 seconds. This latency is clinically acceptable for a decision support tool consulted after initial patient assessment. In a production environment with GPU acceleration, LLM inference time would be substantially reduced. The deterministic rule engine returns the severity classification instantaneously regardless of LLM availability, ensuring core diagnostic functionality under all conditions. Figure 4 presents the processing time distribution and the accuracy–latency trade-off.</w:t>
      </w:r>
    </w:p>
    <w:p>
      <w:pPr>
        <w:keepNext/>
        <w:spacing w:before="240" w:after="60" w:lineRule="auto" w:line="240"/>
        <w:jc w:val="center"/>
      </w:pPr>
      <w:r>
        <w:drawing>
          <wp:inline xmlns:a="http://schemas.openxmlformats.org/drawingml/2006/main" xmlns:pic="http://schemas.openxmlformats.org/drawingml/2006/picture">
            <wp:extent cx="5303520" cy="2498315"/>
            <wp:docPr id="4" name="Picture 4"/>
            <wp:cNvGraphicFramePr>
              <a:graphicFrameLocks noChangeAspect="1"/>
            </wp:cNvGraphicFramePr>
            <a:graphic>
              <a:graphicData uri="http://schemas.openxmlformats.org/drawingml/2006/picture">
                <pic:pic>
                  <pic:nvPicPr>
                    <pic:cNvPr id="0" name="fig4_processing_time.png"/>
                    <pic:cNvPicPr/>
                  </pic:nvPicPr>
                  <pic:blipFill>
                    <a:blip r:embed="rId14"/>
                    <a:stretch>
                      <a:fillRect/>
                    </a:stretch>
                  </pic:blipFill>
                  <pic:spPr>
                    <a:xfrm>
                      <a:off x="0" y="0"/>
                      <a:ext cx="5303520" cy="2498315"/>
                    </a:xfrm>
                    <a:prstGeom prst="rect"/>
                  </pic:spPr>
                </pic:pic>
              </a:graphicData>
            </a:graphic>
          </wp:inline>
        </w:drawing>
      </w:r>
    </w:p>
    <w:p>
      <w:pPr>
        <w:spacing w:before="60" w:after="280" w:lineRule="auto" w:line="276"/>
        <w:jc w:val="center"/>
      </w:pPr>
      <w:r>
        <w:rPr>
          <w:rFonts w:ascii="Times New Roman" w:hAnsi="Times New Roman"/>
          <w:b w:val="0"/>
          <w:i/>
          <w:sz w:val="20"/>
        </w:rPr>
        <w:t>Figure 4. Processing Efficiency. Left: LLM inference time distribution with mean (6.3 s) and median (5.4 s) reference lines. Right: Accuracy–latency trade-off: baseline (&lt;0.01 s, 30.62%) vs. hybrid (6.3 s, 87.22%).</w:t>
      </w:r>
    </w:p>
    <w:p>
      <w:pPr>
        <w:keepNext/>
        <w:spacing w:before="240" w:after="80" w:lineRule="auto" w:line="312"/>
        <w:jc w:val="left"/>
      </w:pPr>
      <w:r>
        <w:rPr>
          <w:rFonts w:ascii="Times New Roman" w:hAnsi="Times New Roman"/>
          <w:b/>
          <w:i w:val="0"/>
          <w:sz w:val="24"/>
        </w:rPr>
        <w:t>4.4 LLM Explanation Quality</w:t>
      </w:r>
    </w:p>
    <w:p>
      <w:pPr>
        <w:spacing w:before="0" w:after="120" w:lineRule="auto" w:line="360"/>
        <w:jc w:val="both"/>
      </w:pPr>
      <w:r>
        <w:rPr>
          <w:rFonts w:ascii="Times New Roman" w:hAnsi="Times New Roman"/>
          <w:b w:val="0"/>
          <w:i w:val="0"/>
          <w:sz w:val="24"/>
        </w:rPr>
        <w:t xml:space="preserve">The LLM component generated patient-specific clinical explanations with a mean confidence score of 85% across all cases. Qualitatively, explanations referenced specific reported symptoms rather than generic stage descriptions—for example: </w:t>
      </w:r>
      <w:r>
        <w:rPr>
          <w:rFonts w:ascii="Times New Roman" w:hAnsi="Times New Roman"/>
          <w:b w:val="0"/>
          <w:i/>
          <w:sz w:val="24"/>
        </w:rPr>
        <w:t>"Your symptoms of headache, exhaustion, and sweating persisting for fewer than seven days are consistent with early-stage uncomplicated malaria, and prompt antimalarial treatment is recommended to prevent progression to more severe disease."</w:t>
      </w:r>
      <w:r>
        <w:rPr>
          <w:rFonts w:ascii="Times New Roman" w:hAnsi="Times New Roman"/>
          <w:b w:val="0"/>
          <w:i w:val="0"/>
          <w:sz w:val="24"/>
        </w:rPr>
        <w:t xml:space="preserve"> The JSON output format was successfully parsed in 99.82% of cases; three cases (0.18%) required the template-based fallback due to malformed LLM output, demonstrating the robustness of the fallback mechanism.</w:t>
      </w:r>
    </w:p>
    <w:p>
      <w:pPr>
        <w:keepNext/>
        <w:spacing w:before="240" w:after="80" w:lineRule="auto" w:line="312"/>
        <w:jc w:val="left"/>
      </w:pPr>
      <w:r>
        <w:rPr>
          <w:rFonts w:ascii="Times New Roman" w:hAnsi="Times New Roman"/>
          <w:b/>
          <w:i w:val="0"/>
          <w:sz w:val="24"/>
        </w:rPr>
        <w:t>4.5 Statistical Analysis</w:t>
      </w:r>
    </w:p>
    <w:p>
      <w:pPr>
        <w:spacing w:before="0" w:after="120" w:lineRule="auto" w:line="360"/>
        <w:jc w:val="both"/>
      </w:pPr>
      <w:r>
        <w:rPr>
          <w:rFonts w:ascii="Times New Roman" w:hAnsi="Times New Roman"/>
          <w:b w:val="0"/>
          <w:i w:val="0"/>
          <w:sz w:val="24"/>
        </w:rPr>
        <w:t>To establish the significance and magnitude of the observed performance differences, we applied a suite of statistical tests to the full 1,682-case evaluation dataset following the multi-class performance framework of Sokolova and Lapalme [26].</w:t>
      </w:r>
    </w:p>
    <w:p>
      <w:pPr>
        <w:keepNext/>
        <w:spacing w:before="200" w:after="80" w:lineRule="auto" w:line="312"/>
        <w:jc w:val="left"/>
      </w:pPr>
      <w:r>
        <w:rPr>
          <w:rFonts w:ascii="Times New Roman" w:hAnsi="Times New Roman"/>
          <w:b/>
          <w:i/>
          <w:sz w:val="22"/>
        </w:rPr>
        <w:t>4.5.1 McNemar's Test for Paired Accuracy Comparison</w:t>
      </w:r>
    </w:p>
    <w:p>
      <w:pPr>
        <w:spacing w:before="0" w:after="120" w:lineRule="auto" w:line="360"/>
        <w:jc w:val="both"/>
      </w:pPr>
      <w:r>
        <w:rPr>
          <w:rFonts w:ascii="Times New Roman" w:hAnsi="Times New Roman"/>
          <w:b w:val="0"/>
          <w:i w:val="0"/>
          <w:sz w:val="24"/>
        </w:rPr>
        <w:t>Because both systems were evaluated on the identical set of cases, a paired test is appropriate. McNemar's test was applied to the 2×2 concordance table of per-case correctness:</w:t>
      </w:r>
    </w:p>
    <w:p>
      <w:pPr>
        <w:spacing w:before="40" w:after="40" w:lineRule="auto" w:line="312"/>
        <w:ind w:left="432" w:hanging="288"/>
        <w:jc w:val="left"/>
      </w:pPr>
      <w:r>
        <w:rPr>
          <w:rFonts w:ascii="Times New Roman" w:hAnsi="Times New Roman"/>
          <w:sz w:val="24"/>
        </w:rPr>
        <w:t xml:space="preserve">• </w:t>
      </w:r>
      <w:r>
        <w:rPr>
          <w:rFonts w:ascii="Times New Roman" w:hAnsi="Times New Roman"/>
          <w:b/>
          <w:i w:val="0"/>
          <w:sz w:val="24"/>
        </w:rPr>
        <w:t>b</w:t>
      </w:r>
      <w:r>
        <w:rPr>
          <w:rFonts w:ascii="Times New Roman" w:hAnsi="Times New Roman"/>
          <w:b w:val="0"/>
          <w:i w:val="0"/>
          <w:sz w:val="24"/>
        </w:rPr>
        <w:t xml:space="preserve"> (baseline correct, hybrid wrong) = 116 cases</w:t>
      </w:r>
    </w:p>
    <w:p>
      <w:pPr>
        <w:spacing w:before="40" w:after="40" w:lineRule="auto" w:line="312"/>
        <w:ind w:left="432" w:hanging="288"/>
        <w:jc w:val="left"/>
      </w:pPr>
      <w:r>
        <w:rPr>
          <w:rFonts w:ascii="Times New Roman" w:hAnsi="Times New Roman"/>
          <w:sz w:val="24"/>
        </w:rPr>
        <w:t xml:space="preserve">• </w:t>
      </w:r>
      <w:r>
        <w:rPr>
          <w:rFonts w:ascii="Times New Roman" w:hAnsi="Times New Roman"/>
          <w:b/>
          <w:i w:val="0"/>
          <w:sz w:val="24"/>
        </w:rPr>
        <w:t>c</w:t>
      </w:r>
      <w:r>
        <w:rPr>
          <w:rFonts w:ascii="Times New Roman" w:hAnsi="Times New Roman"/>
          <w:b w:val="0"/>
          <w:i w:val="0"/>
          <w:sz w:val="24"/>
        </w:rPr>
        <w:t xml:space="preserve"> (baseline wrong, hybrid correct) = 1,068 cases</w:t>
      </w:r>
    </w:p>
    <w:p>
      <w:pPr>
        <w:spacing w:before="0" w:after="120" w:lineRule="auto" w:line="360"/>
        <w:jc w:val="both"/>
      </w:pPr>
      <w:r>
        <w:rPr>
          <w:rFonts w:ascii="Times New Roman" w:hAnsi="Times New Roman"/>
          <w:b w:val="0"/>
          <w:i w:val="0"/>
          <w:sz w:val="24"/>
        </w:rPr>
        <w:t xml:space="preserve">McNemar's χ²(1) = 763.9, </w:t>
      </w:r>
      <w:r>
        <w:rPr>
          <w:rFonts w:ascii="Times New Roman" w:hAnsi="Times New Roman"/>
          <w:b w:val="0"/>
          <w:i/>
          <w:sz w:val="24"/>
        </w:rPr>
        <w:t>p</w:t>
      </w:r>
      <w:r>
        <w:rPr>
          <w:rFonts w:ascii="Times New Roman" w:hAnsi="Times New Roman"/>
          <w:b w:val="0"/>
          <w:i w:val="0"/>
          <w:sz w:val="24"/>
        </w:rPr>
        <w:t xml:space="preserve"> = 3.90 × 10⁻¹⁶⁸ (with Edwards continuity correction). The result is overwhelmingly significant: the hybrid system and the baseline do not perform equivalently on the same cases. The asymmetry (c/b ratio = 9.2) confirms that improvements attributable to the hybrid system vastly exceed any regressions.</w:t>
      </w:r>
    </w:p>
    <w:p>
      <w:pPr>
        <w:keepNext/>
        <w:spacing w:before="200" w:after="80" w:lineRule="auto" w:line="312"/>
        <w:jc w:val="left"/>
      </w:pPr>
      <w:r>
        <w:rPr>
          <w:rFonts w:ascii="Times New Roman" w:hAnsi="Times New Roman"/>
          <w:b/>
          <w:i/>
          <w:sz w:val="22"/>
        </w:rPr>
        <w:t>4.5.2 Wilson Score Confidence Intervals for Accuracy</w:t>
      </w:r>
    </w:p>
    <w:p>
      <w:pPr>
        <w:spacing w:before="0" w:after="120" w:lineRule="auto" w:line="360"/>
        <w:jc w:val="both"/>
      </w:pPr>
      <w:r>
        <w:rPr>
          <w:rFonts w:ascii="Times New Roman" w:hAnsi="Times New Roman"/>
          <w:b w:val="0"/>
          <w:i w:val="0"/>
          <w:sz w:val="24"/>
        </w:rPr>
        <w:t>Wilson score 95% confidence intervals were computed for the binomial proportion of correctly classified cases:</w:t>
      </w:r>
    </w:p>
    <w:p>
      <w:pPr>
        <w:spacing w:before="40" w:after="40" w:lineRule="auto" w:line="312"/>
        <w:ind w:left="432" w:hanging="288"/>
        <w:jc w:val="left"/>
      </w:pPr>
      <w:r>
        <w:rPr>
          <w:rFonts w:ascii="Times New Roman" w:hAnsi="Times New Roman"/>
          <w:sz w:val="24"/>
        </w:rPr>
        <w:t xml:space="preserve">• </w:t>
      </w:r>
      <w:r>
        <w:rPr>
          <w:rFonts w:ascii="Times New Roman" w:hAnsi="Times New Roman"/>
          <w:b/>
          <w:i w:val="0"/>
          <w:sz w:val="24"/>
        </w:rPr>
        <w:t>Baseline:</w:t>
      </w:r>
      <w:r>
        <w:rPr>
          <w:rFonts w:ascii="Times New Roman" w:hAnsi="Times New Roman"/>
          <w:b w:val="0"/>
          <w:i w:val="0"/>
          <w:sz w:val="24"/>
        </w:rPr>
        <w:t xml:space="preserve"> 30.62% (95% CI: 28.5%–32.9%)</w:t>
      </w:r>
    </w:p>
    <w:p>
      <w:pPr>
        <w:spacing w:before="40" w:after="40" w:lineRule="auto" w:line="312"/>
        <w:ind w:left="432" w:hanging="288"/>
        <w:jc w:val="left"/>
      </w:pPr>
      <w:r>
        <w:rPr>
          <w:rFonts w:ascii="Times New Roman" w:hAnsi="Times New Roman"/>
          <w:sz w:val="24"/>
        </w:rPr>
        <w:t xml:space="preserve">• </w:t>
      </w:r>
      <w:r>
        <w:rPr>
          <w:rFonts w:ascii="Times New Roman" w:hAnsi="Times New Roman"/>
          <w:b/>
          <w:i w:val="0"/>
          <w:sz w:val="24"/>
        </w:rPr>
        <w:t>LLM-Enhanced Hybrid:</w:t>
      </w:r>
      <w:r>
        <w:rPr>
          <w:rFonts w:ascii="Times New Roman" w:hAnsi="Times New Roman"/>
          <w:b w:val="0"/>
          <w:i w:val="0"/>
          <w:sz w:val="24"/>
        </w:rPr>
        <w:t xml:space="preserve"> 87.22% (95% CI: 85.5%–88.7%)</w:t>
      </w:r>
    </w:p>
    <w:p>
      <w:pPr>
        <w:spacing w:before="0" w:after="120" w:lineRule="auto" w:line="360"/>
        <w:jc w:val="both"/>
      </w:pPr>
      <w:r>
        <w:rPr>
          <w:rFonts w:ascii="Times New Roman" w:hAnsi="Times New Roman"/>
          <w:b w:val="0"/>
          <w:i w:val="0"/>
          <w:sz w:val="24"/>
        </w:rPr>
        <w:t>The non-overlapping confidence intervals confirm a statistically reliable difference in overall accuracy between the two systems.</w:t>
      </w:r>
    </w:p>
    <w:p>
      <w:pPr>
        <w:keepNext/>
        <w:spacing w:before="200" w:after="80" w:lineRule="auto" w:line="312"/>
        <w:jc w:val="left"/>
      </w:pPr>
      <w:r>
        <w:rPr>
          <w:rFonts w:ascii="Times New Roman" w:hAnsi="Times New Roman"/>
          <w:b/>
          <w:i/>
          <w:sz w:val="22"/>
        </w:rPr>
        <w:t>4.5.3 Cohen's Kappa Coefficient</w:t>
      </w:r>
    </w:p>
    <w:p>
      <w:pPr>
        <w:spacing w:before="0" w:after="120" w:lineRule="auto" w:line="360"/>
        <w:jc w:val="both"/>
      </w:pPr>
      <w:r>
        <w:rPr>
          <w:rFonts w:ascii="Times New Roman" w:hAnsi="Times New Roman"/>
          <w:b w:val="0"/>
          <w:i w:val="0"/>
          <w:sz w:val="24"/>
        </w:rPr>
        <w:t>Cohen's kappa (κ) was computed to assess classification agreement with ground-truth labels beyond chance:</w:t>
      </w:r>
    </w:p>
    <w:p>
      <w:pPr>
        <w:spacing w:before="40" w:after="40" w:lineRule="auto" w:line="312"/>
        <w:ind w:left="432" w:hanging="288"/>
        <w:jc w:val="left"/>
      </w:pPr>
      <w:r>
        <w:rPr>
          <w:rFonts w:ascii="Times New Roman" w:hAnsi="Times New Roman"/>
          <w:sz w:val="24"/>
        </w:rPr>
        <w:t xml:space="preserve">• </w:t>
      </w:r>
      <w:r>
        <w:rPr>
          <w:rFonts w:ascii="Times New Roman" w:hAnsi="Times New Roman"/>
          <w:b/>
          <w:i w:val="0"/>
          <w:sz w:val="24"/>
        </w:rPr>
        <w:t>Baseline:</w:t>
      </w:r>
      <w:r>
        <w:rPr>
          <w:rFonts w:ascii="Times New Roman" w:hAnsi="Times New Roman"/>
          <w:b w:val="0"/>
          <w:i w:val="0"/>
          <w:sz w:val="24"/>
        </w:rPr>
        <w:t xml:space="preserve"> κ = 0.050 (slight agreement; 95% CI approximately 0.02–0.08)</w:t>
      </w:r>
    </w:p>
    <w:p>
      <w:pPr>
        <w:spacing w:before="40" w:after="40" w:lineRule="auto" w:line="312"/>
        <w:ind w:left="432" w:hanging="288"/>
        <w:jc w:val="left"/>
      </w:pPr>
      <w:r>
        <w:rPr>
          <w:rFonts w:ascii="Times New Roman" w:hAnsi="Times New Roman"/>
          <w:sz w:val="24"/>
        </w:rPr>
        <w:t xml:space="preserve">• </w:t>
      </w:r>
      <w:r>
        <w:rPr>
          <w:rFonts w:ascii="Times New Roman" w:hAnsi="Times New Roman"/>
          <w:b/>
          <w:i w:val="0"/>
          <w:sz w:val="24"/>
        </w:rPr>
        <w:t>LLM-Enhanced Hybrid:</w:t>
      </w:r>
      <w:r>
        <w:rPr>
          <w:rFonts w:ascii="Times New Roman" w:hAnsi="Times New Roman"/>
          <w:b w:val="0"/>
          <w:i w:val="0"/>
          <w:sz w:val="24"/>
        </w:rPr>
        <w:t xml:space="preserve"> κ = 0.716 (substantial agreement; 95% CI approximately 0.69–0.74)</w:t>
      </w:r>
    </w:p>
    <w:p>
      <w:pPr>
        <w:spacing w:before="0" w:after="120" w:lineRule="auto" w:line="360"/>
        <w:jc w:val="both"/>
      </w:pPr>
      <w:r>
        <w:rPr>
          <w:rFonts w:ascii="Times New Roman" w:hAnsi="Times New Roman"/>
          <w:b w:val="0"/>
          <w:i w:val="0"/>
          <w:sz w:val="24"/>
        </w:rPr>
        <w:t>The near-zero baseline kappa confirms that the baseline system's 30.62% accuracy is largely attributable to correctly classifying the majority class (No Malaria) and Critical cases—not to reliable multi-class discrimination. The hybrid system's κ of 0.716 indicates substantial agreement, consistent with the category boundaries proposed by Landis and Koch.</w:t>
      </w:r>
    </w:p>
    <w:p>
      <w:pPr>
        <w:keepNext/>
        <w:spacing w:before="200" w:after="80" w:lineRule="auto" w:line="312"/>
        <w:jc w:val="left"/>
      </w:pPr>
      <w:r>
        <w:rPr>
          <w:rFonts w:ascii="Times New Roman" w:hAnsi="Times New Roman"/>
          <w:b/>
          <w:i/>
          <w:sz w:val="22"/>
        </w:rPr>
        <w:t>4.5.4 Per-Stage Proportion Tests</w:t>
      </w:r>
    </w:p>
    <w:p>
      <w:pPr>
        <w:spacing w:before="0" w:after="120" w:lineRule="auto" w:line="360"/>
        <w:jc w:val="both"/>
      </w:pPr>
      <w:r>
        <w:rPr>
          <w:rFonts w:ascii="Times New Roman" w:hAnsi="Times New Roman"/>
          <w:b w:val="0"/>
          <w:i w:val="0"/>
          <w:sz w:val="24"/>
        </w:rPr>
        <w:t>Two-sample z-tests for the difference in binomial proportions were conducted for each of the four severity stages. Table 4 summarises the full per-stage statistical comparison.</w:t>
      </w:r>
    </w:p>
    <w:p>
      <w:pPr>
        <w:spacing w:before="200" w:after="60" w:lineRule="auto" w:line="276"/>
        <w:jc w:val="left"/>
      </w:pPr>
      <w:r>
        <w:rPr>
          <w:rFonts w:ascii="Times New Roman" w:hAnsi="Times New Roman"/>
          <w:b/>
          <w:i w:val="0"/>
          <w:sz w:val="22"/>
        </w:rPr>
        <w:t>Table 4. Per-Stage Statistical Comparison (n = 1,682; α = 0.05)</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504"/>
        <w:gridCol w:w="1504"/>
        <w:gridCol w:w="1504"/>
        <w:gridCol w:w="1504"/>
        <w:gridCol w:w="1504"/>
        <w:gridCol w:w="1504"/>
      </w:tblGrid>
      <w:tr>
        <w:tc>
          <w:tcPr>
            <w:tcW w:type="dxa" w:w="1536"/>
            <w:shd w:val="clear" w:color="auto" w:fill="1E293B"/>
          </w:tcPr>
          <w:p>
            <w:pPr>
              <w:spacing w:before="60" w:after="60"/>
            </w:pPr>
            <w:r>
              <w:rPr>
                <w:rFonts w:ascii="Times New Roman" w:hAnsi="Times New Roman"/>
                <w:b/>
                <w:i w:val="0"/>
                <w:color w:val="FFFFFF"/>
                <w:sz w:val="20"/>
              </w:rPr>
              <w:t>Stage</w:t>
            </w:r>
          </w:p>
        </w:tc>
        <w:tc>
          <w:tcPr>
            <w:tcW w:type="dxa" w:w="1536"/>
            <w:shd w:val="clear" w:color="auto" w:fill="1E293B"/>
          </w:tcPr>
          <w:p>
            <w:pPr>
              <w:spacing w:before="60" w:after="60"/>
            </w:pPr>
            <w:r>
              <w:rPr>
                <w:rFonts w:ascii="Times New Roman" w:hAnsi="Times New Roman"/>
                <w:b/>
                <w:i w:val="0"/>
                <w:color w:val="FFFFFF"/>
                <w:sz w:val="20"/>
              </w:rPr>
              <w:t>n</w:t>
            </w:r>
          </w:p>
        </w:tc>
        <w:tc>
          <w:tcPr>
            <w:tcW w:type="dxa" w:w="1536"/>
            <w:shd w:val="clear" w:color="auto" w:fill="1E293B"/>
          </w:tcPr>
          <w:p>
            <w:pPr>
              <w:spacing w:before="60" w:after="60"/>
            </w:pPr>
            <w:r>
              <w:rPr>
                <w:rFonts w:ascii="Times New Roman" w:hAnsi="Times New Roman"/>
                <w:b/>
                <w:i w:val="0"/>
                <w:color w:val="FFFFFF"/>
                <w:sz w:val="20"/>
              </w:rPr>
              <w:t>Baseline Acc. (95% CI)</w:t>
            </w:r>
          </w:p>
        </w:tc>
        <w:tc>
          <w:tcPr>
            <w:tcW w:type="dxa" w:w="1536"/>
            <w:shd w:val="clear" w:color="auto" w:fill="1E293B"/>
          </w:tcPr>
          <w:p>
            <w:pPr>
              <w:spacing w:before="60" w:after="60"/>
            </w:pPr>
            <w:r>
              <w:rPr>
                <w:rFonts w:ascii="Times New Roman" w:hAnsi="Times New Roman"/>
                <w:b/>
                <w:i w:val="0"/>
                <w:color w:val="FFFFFF"/>
                <w:sz w:val="20"/>
              </w:rPr>
              <w:t>Hybrid Acc. (95% CI)</w:t>
            </w:r>
          </w:p>
        </w:tc>
        <w:tc>
          <w:tcPr>
            <w:tcW w:type="dxa" w:w="1536"/>
            <w:shd w:val="clear" w:color="auto" w:fill="1E293B"/>
          </w:tcPr>
          <w:p>
            <w:pPr>
              <w:spacing w:before="60" w:after="60"/>
            </w:pPr>
            <w:r>
              <w:rPr>
                <w:rFonts w:ascii="Times New Roman" w:hAnsi="Times New Roman"/>
                <w:b/>
                <w:i w:val="0"/>
                <w:color w:val="FFFFFF"/>
                <w:sz w:val="20"/>
              </w:rPr>
              <w:t>z-statistic</w:t>
            </w:r>
          </w:p>
        </w:tc>
        <w:tc>
          <w:tcPr>
            <w:tcW w:type="dxa" w:w="1536"/>
            <w:shd w:val="clear" w:color="auto" w:fill="1E293B"/>
          </w:tcPr>
          <w:p>
            <w:pPr>
              <w:spacing w:before="60" w:after="60"/>
            </w:pPr>
            <w:r>
              <w:rPr>
                <w:rFonts w:ascii="Times New Roman" w:hAnsi="Times New Roman"/>
                <w:b/>
                <w:i w:val="0"/>
                <w:color w:val="FFFFFF"/>
                <w:sz w:val="20"/>
              </w:rPr>
              <w:t>p-value</w:t>
            </w:r>
          </w:p>
        </w:tc>
      </w:tr>
      <w:tr>
        <w:tc>
          <w:tcPr>
            <w:tcW w:type="dxa" w:w="1536"/>
          </w:tcPr>
          <w:p>
            <w:pPr>
              <w:spacing w:before="60" w:after="60"/>
            </w:pPr>
            <w:r>
              <w:rPr>
                <w:rFonts w:ascii="Times New Roman" w:hAnsi="Times New Roman"/>
                <w:b w:val="0"/>
                <w:i w:val="0"/>
                <w:sz w:val="20"/>
              </w:rPr>
              <w:t>No Malaria</w:t>
            </w:r>
          </w:p>
        </w:tc>
        <w:tc>
          <w:tcPr>
            <w:tcW w:type="dxa" w:w="1536"/>
          </w:tcPr>
          <w:p>
            <w:pPr>
              <w:spacing w:before="60" w:after="60"/>
            </w:pPr>
            <w:r>
              <w:rPr>
                <w:rFonts w:ascii="Times New Roman" w:hAnsi="Times New Roman"/>
                <w:b w:val="0"/>
                <w:i w:val="0"/>
                <w:sz w:val="20"/>
              </w:rPr>
              <w:t>455</w:t>
            </w:r>
          </w:p>
        </w:tc>
        <w:tc>
          <w:tcPr>
            <w:tcW w:type="dxa" w:w="1536"/>
          </w:tcPr>
          <w:p>
            <w:pPr>
              <w:spacing w:before="60" w:after="60"/>
            </w:pPr>
            <w:r>
              <w:rPr>
                <w:rFonts w:ascii="Times New Roman" w:hAnsi="Times New Roman"/>
                <w:b w:val="0"/>
                <w:i w:val="0"/>
                <w:sz w:val="20"/>
              </w:rPr>
              <w:t>100.0% (99.2%–100.0%)</w:t>
            </w:r>
          </w:p>
        </w:tc>
        <w:tc>
          <w:tcPr>
            <w:tcW w:type="dxa" w:w="1536"/>
          </w:tcPr>
          <w:p>
            <w:pPr>
              <w:spacing w:before="60" w:after="60"/>
            </w:pPr>
            <w:r>
              <w:rPr>
                <w:rFonts w:ascii="Times New Roman" w:hAnsi="Times New Roman"/>
                <w:b w:val="0"/>
                <w:i w:val="0"/>
                <w:sz w:val="20"/>
              </w:rPr>
              <w:t>77.4% (73.3%–81.0%)</w:t>
            </w:r>
          </w:p>
        </w:tc>
        <w:tc>
          <w:tcPr>
            <w:tcW w:type="dxa" w:w="1536"/>
          </w:tcPr>
          <w:p>
            <w:pPr>
              <w:spacing w:before="60" w:after="60"/>
            </w:pPr>
            <w:r>
              <w:rPr>
                <w:rFonts w:ascii="Times New Roman" w:hAnsi="Times New Roman"/>
                <w:b w:val="0"/>
                <w:i w:val="0"/>
                <w:sz w:val="20"/>
              </w:rPr>
              <w:t>9.97</w:t>
            </w:r>
          </w:p>
        </w:tc>
        <w:tc>
          <w:tcPr>
            <w:tcW w:type="dxa" w:w="1536"/>
          </w:tcPr>
          <w:p>
            <w:pPr>
              <w:spacing w:before="60" w:after="60"/>
            </w:pPr>
            <w:r>
              <w:rPr>
                <w:rFonts w:ascii="Times New Roman" w:hAnsi="Times New Roman"/>
                <w:b w:val="0"/>
                <w:i w:val="0"/>
                <w:sz w:val="20"/>
              </w:rPr>
              <w:t>&lt;0.001</w:t>
            </w:r>
          </w:p>
        </w:tc>
      </w:tr>
      <w:tr>
        <w:tc>
          <w:tcPr>
            <w:tcW w:type="dxa" w:w="1536"/>
            <w:shd w:val="clear" w:color="auto" w:fill="F8FAFC"/>
          </w:tcPr>
          <w:p>
            <w:pPr>
              <w:spacing w:before="60" w:after="60"/>
            </w:pPr>
            <w:r>
              <w:rPr>
                <w:rFonts w:ascii="Times New Roman" w:hAnsi="Times New Roman"/>
                <w:b w:val="0"/>
                <w:i w:val="0"/>
                <w:sz w:val="20"/>
              </w:rPr>
              <w:t>Stage I</w:t>
            </w:r>
          </w:p>
        </w:tc>
        <w:tc>
          <w:tcPr>
            <w:tcW w:type="dxa" w:w="1536"/>
            <w:shd w:val="clear" w:color="auto" w:fill="F8FAFC"/>
          </w:tcPr>
          <w:p>
            <w:pPr>
              <w:spacing w:before="60" w:after="60"/>
            </w:pPr>
            <w:r>
              <w:rPr>
                <w:rFonts w:ascii="Times New Roman" w:hAnsi="Times New Roman"/>
                <w:b w:val="0"/>
                <w:i w:val="0"/>
                <w:sz w:val="20"/>
              </w:rPr>
              <w:t>1,089</w:t>
            </w:r>
          </w:p>
        </w:tc>
        <w:tc>
          <w:tcPr>
            <w:tcW w:type="dxa" w:w="1536"/>
            <w:shd w:val="clear" w:color="auto" w:fill="F8FAFC"/>
          </w:tcPr>
          <w:p>
            <w:pPr>
              <w:spacing w:before="60" w:after="60"/>
            </w:pPr>
            <w:r>
              <w:rPr>
                <w:rFonts w:ascii="Times New Roman" w:hAnsi="Times New Roman"/>
                <w:b w:val="0"/>
                <w:i w:val="0"/>
                <w:sz w:val="20"/>
              </w:rPr>
              <w:t>1.8% (1.1%–2.8%)</w:t>
            </w:r>
          </w:p>
        </w:tc>
        <w:tc>
          <w:tcPr>
            <w:tcW w:type="dxa" w:w="1536"/>
            <w:shd w:val="clear" w:color="auto" w:fill="F8FAFC"/>
          </w:tcPr>
          <w:p>
            <w:pPr>
              <w:spacing w:before="60" w:after="60"/>
            </w:pPr>
            <w:r>
              <w:rPr>
                <w:rFonts w:ascii="Times New Roman" w:hAnsi="Times New Roman"/>
                <w:b w:val="0"/>
                <w:i w:val="0"/>
                <w:sz w:val="20"/>
              </w:rPr>
              <w:t>98.9% (98.1%–99.4%)</w:t>
            </w:r>
          </w:p>
        </w:tc>
        <w:tc>
          <w:tcPr>
            <w:tcW w:type="dxa" w:w="1536"/>
            <w:shd w:val="clear" w:color="auto" w:fill="F8FAFC"/>
          </w:tcPr>
          <w:p>
            <w:pPr>
              <w:spacing w:before="60" w:after="60"/>
            </w:pPr>
            <w:r>
              <w:rPr>
                <w:rFonts w:ascii="Times New Roman" w:hAnsi="Times New Roman"/>
                <w:b w:val="0"/>
                <w:i w:val="0"/>
                <w:sz w:val="20"/>
              </w:rPr>
              <w:t>−97.3</w:t>
            </w:r>
          </w:p>
        </w:tc>
        <w:tc>
          <w:tcPr>
            <w:tcW w:type="dxa" w:w="1536"/>
            <w:shd w:val="clear" w:color="auto" w:fill="F8FAFC"/>
          </w:tcPr>
          <w:p>
            <w:pPr>
              <w:spacing w:before="60" w:after="60"/>
            </w:pPr>
            <w:r>
              <w:rPr>
                <w:rFonts w:ascii="Times New Roman" w:hAnsi="Times New Roman"/>
                <w:b w:val="0"/>
                <w:i w:val="0"/>
                <w:sz w:val="20"/>
              </w:rPr>
              <w:t>&lt;0.001</w:t>
            </w:r>
          </w:p>
        </w:tc>
      </w:tr>
      <w:tr>
        <w:tc>
          <w:tcPr>
            <w:tcW w:type="dxa" w:w="1536"/>
          </w:tcPr>
          <w:p>
            <w:pPr>
              <w:spacing w:before="60" w:after="60"/>
            </w:pPr>
            <w:r>
              <w:rPr>
                <w:rFonts w:ascii="Times New Roman" w:hAnsi="Times New Roman"/>
                <w:b w:val="0"/>
                <w:i w:val="0"/>
                <w:sz w:val="20"/>
              </w:rPr>
              <w:t>Stage II</w:t>
            </w:r>
          </w:p>
        </w:tc>
        <w:tc>
          <w:tcPr>
            <w:tcW w:type="dxa" w:w="1536"/>
          </w:tcPr>
          <w:p>
            <w:pPr>
              <w:spacing w:before="60" w:after="60"/>
            </w:pPr>
            <w:r>
              <w:rPr>
                <w:rFonts w:ascii="Times New Roman" w:hAnsi="Times New Roman"/>
                <w:b w:val="0"/>
                <w:i w:val="0"/>
                <w:sz w:val="20"/>
              </w:rPr>
              <w:t>118</w:t>
            </w:r>
          </w:p>
        </w:tc>
        <w:tc>
          <w:tcPr>
            <w:tcW w:type="dxa" w:w="1536"/>
          </w:tcPr>
          <w:p>
            <w:pPr>
              <w:spacing w:before="60" w:after="60"/>
            </w:pPr>
            <w:r>
              <w:rPr>
                <w:rFonts w:ascii="Times New Roman" w:hAnsi="Times New Roman"/>
                <w:b w:val="0"/>
                <w:i w:val="0"/>
                <w:sz w:val="20"/>
              </w:rPr>
              <w:t>16.9% (10.8%–25.3%)</w:t>
            </w:r>
          </w:p>
        </w:tc>
        <w:tc>
          <w:tcPr>
            <w:tcW w:type="dxa" w:w="1536"/>
          </w:tcPr>
          <w:p>
            <w:pPr>
              <w:spacing w:before="60" w:after="60"/>
            </w:pPr>
            <w:r>
              <w:rPr>
                <w:rFonts w:ascii="Times New Roman" w:hAnsi="Times New Roman"/>
                <w:b w:val="0"/>
                <w:i w:val="0"/>
                <w:sz w:val="20"/>
              </w:rPr>
              <w:t>15.3% (9.5%–23.5%)</w:t>
            </w:r>
          </w:p>
        </w:tc>
        <w:tc>
          <w:tcPr>
            <w:tcW w:type="dxa" w:w="1536"/>
          </w:tcPr>
          <w:p>
            <w:pPr>
              <w:spacing w:before="60" w:after="60"/>
            </w:pPr>
            <w:r>
              <w:rPr>
                <w:rFonts w:ascii="Times New Roman" w:hAnsi="Times New Roman"/>
                <w:b w:val="0"/>
                <w:i w:val="0"/>
                <w:sz w:val="20"/>
              </w:rPr>
              <w:t>0.36</w:t>
            </w:r>
          </w:p>
        </w:tc>
        <w:tc>
          <w:tcPr>
            <w:tcW w:type="dxa" w:w="1536"/>
          </w:tcPr>
          <w:p>
            <w:pPr>
              <w:spacing w:before="60" w:after="60"/>
            </w:pPr>
            <w:r>
              <w:rPr>
                <w:rFonts w:ascii="Times New Roman" w:hAnsi="Times New Roman"/>
                <w:b w:val="0"/>
                <w:i w:val="0"/>
                <w:sz w:val="20"/>
              </w:rPr>
              <w:t>0.723</w:t>
            </w:r>
          </w:p>
        </w:tc>
      </w:tr>
      <w:tr>
        <w:tc>
          <w:tcPr>
            <w:tcW w:type="dxa" w:w="1536"/>
            <w:shd w:val="clear" w:color="auto" w:fill="F8FAFC"/>
          </w:tcPr>
          <w:p>
            <w:pPr>
              <w:spacing w:before="60" w:after="60"/>
            </w:pPr>
            <w:r>
              <w:rPr>
                <w:rFonts w:ascii="Times New Roman" w:hAnsi="Times New Roman"/>
                <w:b w:val="0"/>
                <w:i w:val="0"/>
                <w:sz w:val="20"/>
              </w:rPr>
              <w:t>Critical</w:t>
            </w:r>
          </w:p>
        </w:tc>
        <w:tc>
          <w:tcPr>
            <w:tcW w:type="dxa" w:w="1536"/>
            <w:shd w:val="clear" w:color="auto" w:fill="F8FAFC"/>
          </w:tcPr>
          <w:p>
            <w:pPr>
              <w:spacing w:before="60" w:after="60"/>
            </w:pPr>
            <w:r>
              <w:rPr>
                <w:rFonts w:ascii="Times New Roman" w:hAnsi="Times New Roman"/>
                <w:b w:val="0"/>
                <w:i w:val="0"/>
                <w:sz w:val="20"/>
              </w:rPr>
              <w:t>20</w:t>
            </w:r>
          </w:p>
        </w:tc>
        <w:tc>
          <w:tcPr>
            <w:tcW w:type="dxa" w:w="1536"/>
            <w:shd w:val="clear" w:color="auto" w:fill="F8FAFC"/>
          </w:tcPr>
          <w:p>
            <w:pPr>
              <w:spacing w:before="60" w:after="60"/>
            </w:pPr>
            <w:r>
              <w:rPr>
                <w:rFonts w:ascii="Times New Roman" w:hAnsi="Times New Roman"/>
                <w:b w:val="0"/>
                <w:i w:val="0"/>
                <w:sz w:val="20"/>
              </w:rPr>
              <w:t>100.0% (83.9%–100.0%)</w:t>
            </w:r>
          </w:p>
        </w:tc>
        <w:tc>
          <w:tcPr>
            <w:tcW w:type="dxa" w:w="1536"/>
            <w:shd w:val="clear" w:color="auto" w:fill="F8FAFC"/>
          </w:tcPr>
          <w:p>
            <w:pPr>
              <w:spacing w:before="60" w:after="60"/>
            </w:pPr>
            <w:r>
              <w:rPr>
                <w:rFonts w:ascii="Times New Roman" w:hAnsi="Times New Roman"/>
                <w:b w:val="0"/>
                <w:i w:val="0"/>
                <w:sz w:val="20"/>
              </w:rPr>
              <w:t>100.0% (83.9%–100.0%)</w:t>
            </w:r>
          </w:p>
        </w:tc>
        <w:tc>
          <w:tcPr>
            <w:tcW w:type="dxa" w:w="1536"/>
            <w:shd w:val="clear" w:color="auto" w:fill="F8FAFC"/>
          </w:tcPr>
          <w:p>
            <w:pPr>
              <w:spacing w:before="60" w:after="60"/>
            </w:pPr>
            <w:r>
              <w:rPr>
                <w:rFonts w:ascii="Times New Roman" w:hAnsi="Times New Roman"/>
                <w:b w:val="0"/>
                <w:i w:val="0"/>
                <w:sz w:val="20"/>
              </w:rPr>
              <w:t>0.00</w:t>
            </w:r>
          </w:p>
        </w:tc>
        <w:tc>
          <w:tcPr>
            <w:tcW w:type="dxa" w:w="1536"/>
            <w:shd w:val="clear" w:color="auto" w:fill="F8FAFC"/>
          </w:tcPr>
          <w:p>
            <w:pPr>
              <w:spacing w:before="60" w:after="60"/>
            </w:pPr>
            <w:r>
              <w:rPr>
                <w:rFonts w:ascii="Times New Roman" w:hAnsi="Times New Roman"/>
                <w:b w:val="0"/>
                <w:i w:val="0"/>
                <w:sz w:val="20"/>
              </w:rPr>
              <w:t>1.000</w:t>
            </w:r>
          </w:p>
        </w:tc>
      </w:tr>
    </w:tbl>
    <w:p>
      <w:pPr>
        <w:spacing w:before="40" w:after="160" w:lineRule="auto" w:line="240"/>
        <w:jc w:val="left"/>
      </w:pPr>
    </w:p>
    <w:p>
      <w:pPr>
        <w:spacing w:before="0" w:after="120" w:lineRule="auto" w:line="360"/>
        <w:jc w:val="both"/>
      </w:pPr>
      <w:r>
        <w:rPr>
          <w:rFonts w:ascii="Times New Roman" w:hAnsi="Times New Roman"/>
          <w:b w:val="0"/>
          <w:i w:val="0"/>
          <w:sz w:val="24"/>
        </w:rPr>
        <w:t>Key observations:</w:t>
      </w:r>
    </w:p>
    <w:p>
      <w:pPr>
        <w:spacing w:before="40" w:after="40" w:lineRule="auto" w:line="312"/>
        <w:ind w:left="432" w:hanging="288"/>
        <w:jc w:val="left"/>
      </w:pPr>
      <w:r>
        <w:rPr>
          <w:rFonts w:ascii="Times New Roman" w:hAnsi="Times New Roman"/>
          <w:sz w:val="24"/>
        </w:rPr>
        <w:t xml:space="preserve">• </w:t>
      </w:r>
      <w:r>
        <w:rPr>
          <w:rFonts w:ascii="Times New Roman" w:hAnsi="Times New Roman"/>
          <w:b/>
          <w:i w:val="0"/>
          <w:sz w:val="24"/>
        </w:rPr>
        <w:t>Stage I</w:t>
      </w:r>
      <w:r>
        <w:rPr>
          <w:rFonts w:ascii="Times New Roman" w:hAnsi="Times New Roman"/>
          <w:b w:val="0"/>
          <w:i w:val="0"/>
          <w:sz w:val="24"/>
        </w:rPr>
        <w:t xml:space="preserve"> shows the largest and most significant improvement (z = −97.3, p &lt; 0.001); the 97.1 percentage point gain is the primary driver of the overall accuracy improvement.</w:t>
      </w:r>
    </w:p>
    <w:p>
      <w:pPr>
        <w:spacing w:before="40" w:after="40" w:lineRule="auto" w:line="312"/>
        <w:ind w:left="432" w:hanging="288"/>
        <w:jc w:val="left"/>
      </w:pPr>
      <w:r>
        <w:rPr>
          <w:rFonts w:ascii="Times New Roman" w:hAnsi="Times New Roman"/>
          <w:sz w:val="24"/>
        </w:rPr>
        <w:t xml:space="preserve">• </w:t>
      </w:r>
      <w:r>
        <w:rPr>
          <w:rFonts w:ascii="Times New Roman" w:hAnsi="Times New Roman"/>
          <w:b/>
          <w:i w:val="0"/>
          <w:sz w:val="24"/>
        </w:rPr>
        <w:t>No Malaria</w:t>
      </w:r>
      <w:r>
        <w:rPr>
          <w:rFonts w:ascii="Times New Roman" w:hAnsi="Times New Roman"/>
          <w:b w:val="0"/>
          <w:i w:val="0"/>
          <w:sz w:val="24"/>
        </w:rPr>
        <w:t xml:space="preserve"> shows a statistically significant decline in specificity (z = 9.97, p &lt; 0.001). As discussed in Section 5.1, this trade-off is clinically appropriate in the endemic context.</w:t>
      </w:r>
    </w:p>
    <w:p>
      <w:pPr>
        <w:spacing w:before="40" w:after="40" w:lineRule="auto" w:line="312"/>
        <w:ind w:left="432" w:hanging="288"/>
        <w:jc w:val="left"/>
      </w:pPr>
      <w:r>
        <w:rPr>
          <w:rFonts w:ascii="Times New Roman" w:hAnsi="Times New Roman"/>
          <w:sz w:val="24"/>
        </w:rPr>
        <w:t xml:space="preserve">• </w:t>
      </w:r>
      <w:r>
        <w:rPr>
          <w:rFonts w:ascii="Times New Roman" w:hAnsi="Times New Roman"/>
          <w:b/>
          <w:i w:val="0"/>
          <w:sz w:val="24"/>
        </w:rPr>
        <w:t>Stage II</w:t>
      </w:r>
      <w:r>
        <w:rPr>
          <w:rFonts w:ascii="Times New Roman" w:hAnsi="Times New Roman"/>
          <w:b w:val="0"/>
          <w:i w:val="0"/>
          <w:sz w:val="24"/>
        </w:rPr>
        <w:t xml:space="preserve"> shows no statistically significant difference between systems (p = 0.723), confirming that both the baseline and hybrid system fail similarly on this stage—a limitation attributable to dataset imbalance and symptom overlap rather than to LLM integration.</w:t>
      </w:r>
    </w:p>
    <w:p>
      <w:pPr>
        <w:spacing w:before="40" w:after="40" w:lineRule="auto" w:line="312"/>
        <w:ind w:left="432" w:hanging="288"/>
        <w:jc w:val="left"/>
      </w:pPr>
      <w:r>
        <w:rPr>
          <w:rFonts w:ascii="Times New Roman" w:hAnsi="Times New Roman"/>
          <w:sz w:val="24"/>
        </w:rPr>
        <w:t xml:space="preserve">• </w:t>
      </w:r>
      <w:r>
        <w:rPr>
          <w:rFonts w:ascii="Times New Roman" w:hAnsi="Times New Roman"/>
          <w:b/>
          <w:i w:val="0"/>
          <w:sz w:val="24"/>
        </w:rPr>
        <w:t>Critical</w:t>
      </w:r>
      <w:r>
        <w:rPr>
          <w:rFonts w:ascii="Times New Roman" w:hAnsi="Times New Roman"/>
          <w:b w:val="0"/>
          <w:i w:val="0"/>
          <w:sz w:val="24"/>
        </w:rPr>
        <w:t xml:space="preserve"> achieves perfect sensitivity in both systems (p = 1.000), confirming that the unconditional Priority 1 rule is robust across both architectures.</w:t>
      </w:r>
    </w:p>
    <w:p>
      <w:pPr>
        <w:keepNext/>
        <w:spacing w:before="200" w:after="80" w:lineRule="auto" w:line="312"/>
        <w:jc w:val="left"/>
      </w:pPr>
      <w:r>
        <w:rPr>
          <w:rFonts w:ascii="Times New Roman" w:hAnsi="Times New Roman"/>
          <w:b/>
          <w:i/>
          <w:sz w:val="22"/>
        </w:rPr>
        <w:t>4.5.5 Summary Statistics Table</w:t>
      </w:r>
    </w:p>
    <w:p>
      <w:pPr>
        <w:spacing w:before="200" w:after="60" w:lineRule="auto" w:line="276"/>
        <w:jc w:val="left"/>
      </w:pPr>
      <w:r>
        <w:rPr>
          <w:rFonts w:ascii="Times New Roman" w:hAnsi="Times New Roman"/>
          <w:b/>
          <w:i w:val="0"/>
          <w:sz w:val="22"/>
        </w:rPr>
        <w:t>Table 5. Summary Statistical Analysis</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256"/>
        <w:gridCol w:w="2256"/>
        <w:gridCol w:w="2256"/>
        <w:gridCol w:w="2256"/>
      </w:tblGrid>
      <w:tr>
        <w:tc>
          <w:tcPr>
            <w:tcW w:type="dxa" w:w="2304"/>
            <w:shd w:val="clear" w:color="auto" w:fill="1E293B"/>
          </w:tcPr>
          <w:p>
            <w:pPr>
              <w:spacing w:before="60" w:after="60"/>
            </w:pPr>
            <w:r>
              <w:rPr>
                <w:rFonts w:ascii="Times New Roman" w:hAnsi="Times New Roman"/>
                <w:b/>
                <w:i w:val="0"/>
                <w:color w:val="FFFFFF"/>
                <w:sz w:val="20"/>
              </w:rPr>
              <w:t>Test</w:t>
            </w:r>
          </w:p>
        </w:tc>
        <w:tc>
          <w:tcPr>
            <w:tcW w:type="dxa" w:w="2304"/>
            <w:shd w:val="clear" w:color="auto" w:fill="1E293B"/>
          </w:tcPr>
          <w:p>
            <w:pPr>
              <w:spacing w:before="60" w:after="60"/>
            </w:pPr>
            <w:r>
              <w:rPr>
                <w:rFonts w:ascii="Times New Roman" w:hAnsi="Times New Roman"/>
                <w:b/>
                <w:i w:val="0"/>
                <w:color w:val="FFFFFF"/>
                <w:sz w:val="20"/>
              </w:rPr>
              <w:t>Statistic</w:t>
            </w:r>
          </w:p>
        </w:tc>
        <w:tc>
          <w:tcPr>
            <w:tcW w:type="dxa" w:w="2304"/>
            <w:shd w:val="clear" w:color="auto" w:fill="1E293B"/>
          </w:tcPr>
          <w:p>
            <w:pPr>
              <w:spacing w:before="60" w:after="60"/>
            </w:pPr>
            <w:r>
              <w:rPr>
                <w:rFonts w:ascii="Times New Roman" w:hAnsi="Times New Roman"/>
                <w:b/>
                <w:i w:val="0"/>
                <w:color w:val="FFFFFF"/>
                <w:sz w:val="20"/>
              </w:rPr>
              <w:t>Value</w:t>
            </w:r>
          </w:p>
        </w:tc>
        <w:tc>
          <w:tcPr>
            <w:tcW w:type="dxa" w:w="2304"/>
            <w:shd w:val="clear" w:color="auto" w:fill="1E293B"/>
          </w:tcPr>
          <w:p>
            <w:pPr>
              <w:spacing w:before="60" w:after="60"/>
            </w:pPr>
            <w:r>
              <w:rPr>
                <w:rFonts w:ascii="Times New Roman" w:hAnsi="Times New Roman"/>
                <w:b/>
                <w:i w:val="0"/>
                <w:color w:val="FFFFFF"/>
                <w:sz w:val="20"/>
              </w:rPr>
              <w:t>Interpretation</w:t>
            </w:r>
          </w:p>
        </w:tc>
      </w:tr>
      <w:tr>
        <w:tc>
          <w:tcPr>
            <w:tcW w:type="dxa" w:w="2304"/>
          </w:tcPr>
          <w:p>
            <w:pPr>
              <w:spacing w:before="60" w:after="60"/>
            </w:pPr>
            <w:r>
              <w:rPr>
                <w:rFonts w:ascii="Times New Roman" w:hAnsi="Times New Roman"/>
                <w:b w:val="0"/>
                <w:i w:val="0"/>
                <w:sz w:val="20"/>
              </w:rPr>
              <w:t>McNemar's test</w:t>
            </w:r>
          </w:p>
        </w:tc>
        <w:tc>
          <w:tcPr>
            <w:tcW w:type="dxa" w:w="2304"/>
          </w:tcPr>
          <w:p>
            <w:pPr>
              <w:spacing w:before="60" w:after="60"/>
            </w:pPr>
            <w:r>
              <w:rPr>
                <w:rFonts w:ascii="Times New Roman" w:hAnsi="Times New Roman"/>
                <w:b w:val="0"/>
                <w:i w:val="0"/>
                <w:sz w:val="20"/>
              </w:rPr>
              <w:t>χ²(1)</w:t>
            </w:r>
          </w:p>
        </w:tc>
        <w:tc>
          <w:tcPr>
            <w:tcW w:type="dxa" w:w="2304"/>
          </w:tcPr>
          <w:p>
            <w:pPr>
              <w:spacing w:before="60" w:after="60"/>
            </w:pPr>
            <w:r>
              <w:rPr>
                <w:rFonts w:ascii="Times New Roman" w:hAnsi="Times New Roman"/>
                <w:b w:val="0"/>
                <w:i w:val="0"/>
                <w:sz w:val="20"/>
              </w:rPr>
              <w:t>763.9</w:t>
            </w:r>
          </w:p>
        </w:tc>
        <w:tc>
          <w:tcPr>
            <w:tcW w:type="dxa" w:w="2304"/>
          </w:tcPr>
          <w:p>
            <w:pPr>
              <w:spacing w:before="60" w:after="60"/>
            </w:pPr>
            <w:r>
              <w:rPr>
                <w:rFonts w:ascii="Times New Roman" w:hAnsi="Times New Roman"/>
                <w:b w:val="0"/>
                <w:i w:val="0"/>
                <w:sz w:val="20"/>
              </w:rPr>
              <w:t>p = 3.90 × 10⁻¹⁶⁸; highly significant</w:t>
            </w:r>
          </w:p>
        </w:tc>
      </w:tr>
      <w:tr>
        <w:tc>
          <w:tcPr>
            <w:tcW w:type="dxa" w:w="2304"/>
            <w:shd w:val="clear" w:color="auto" w:fill="F8FAFC"/>
          </w:tcPr>
          <w:p>
            <w:pPr>
              <w:spacing w:before="60" w:after="60"/>
            </w:pPr>
            <w:r>
              <w:rPr>
                <w:rFonts w:ascii="Times New Roman" w:hAnsi="Times New Roman"/>
                <w:b w:val="0"/>
                <w:i w:val="0"/>
                <w:sz w:val="20"/>
              </w:rPr>
              <w:t>Baseline accuracy 95% CI</w:t>
            </w:r>
          </w:p>
        </w:tc>
        <w:tc>
          <w:tcPr>
            <w:tcW w:type="dxa" w:w="2304"/>
            <w:shd w:val="clear" w:color="auto" w:fill="F8FAFC"/>
          </w:tcPr>
          <w:p>
            <w:pPr>
              <w:spacing w:before="60" w:after="60"/>
            </w:pPr>
            <w:r>
              <w:rPr>
                <w:rFonts w:ascii="Times New Roman" w:hAnsi="Times New Roman"/>
                <w:b w:val="0"/>
                <w:i w:val="0"/>
                <w:sz w:val="20"/>
              </w:rPr>
              <w:t>Wilson</w:t>
            </w:r>
          </w:p>
        </w:tc>
        <w:tc>
          <w:tcPr>
            <w:tcW w:type="dxa" w:w="2304"/>
            <w:shd w:val="clear" w:color="auto" w:fill="F8FAFC"/>
          </w:tcPr>
          <w:p>
            <w:pPr>
              <w:spacing w:before="60" w:after="60"/>
            </w:pPr>
            <w:r>
              <w:rPr>
                <w:rFonts w:ascii="Times New Roman" w:hAnsi="Times New Roman"/>
                <w:b w:val="0"/>
                <w:i w:val="0"/>
                <w:sz w:val="20"/>
              </w:rPr>
              <w:t>28.5%–32.9%</w:t>
            </w:r>
          </w:p>
        </w:tc>
        <w:tc>
          <w:tcPr>
            <w:tcW w:type="dxa" w:w="2304"/>
            <w:shd w:val="clear" w:color="auto" w:fill="F8FAFC"/>
          </w:tcPr>
          <w:p>
            <w:pPr>
              <w:spacing w:before="60" w:after="60"/>
            </w:pPr>
            <w:r>
              <w:rPr>
                <w:rFonts w:ascii="Times New Roman" w:hAnsi="Times New Roman"/>
                <w:b w:val="0"/>
                <w:i w:val="0"/>
                <w:sz w:val="20"/>
              </w:rPr>
              <w:t>—</w:t>
            </w:r>
          </w:p>
        </w:tc>
      </w:tr>
      <w:tr>
        <w:tc>
          <w:tcPr>
            <w:tcW w:type="dxa" w:w="2304"/>
          </w:tcPr>
          <w:p>
            <w:pPr>
              <w:spacing w:before="60" w:after="60"/>
            </w:pPr>
            <w:r>
              <w:rPr>
                <w:rFonts w:ascii="Times New Roman" w:hAnsi="Times New Roman"/>
                <w:b w:val="0"/>
                <w:i w:val="0"/>
                <w:sz w:val="20"/>
              </w:rPr>
              <w:t>Hybrid accuracy 95% CI</w:t>
            </w:r>
          </w:p>
        </w:tc>
        <w:tc>
          <w:tcPr>
            <w:tcW w:type="dxa" w:w="2304"/>
          </w:tcPr>
          <w:p>
            <w:pPr>
              <w:spacing w:before="60" w:after="60"/>
            </w:pPr>
            <w:r>
              <w:rPr>
                <w:rFonts w:ascii="Times New Roman" w:hAnsi="Times New Roman"/>
                <w:b w:val="0"/>
                <w:i w:val="0"/>
                <w:sz w:val="20"/>
              </w:rPr>
              <w:t>Wilson</w:t>
            </w:r>
          </w:p>
        </w:tc>
        <w:tc>
          <w:tcPr>
            <w:tcW w:type="dxa" w:w="2304"/>
          </w:tcPr>
          <w:p>
            <w:pPr>
              <w:spacing w:before="60" w:after="60"/>
            </w:pPr>
            <w:r>
              <w:rPr>
                <w:rFonts w:ascii="Times New Roman" w:hAnsi="Times New Roman"/>
                <w:b w:val="0"/>
                <w:i w:val="0"/>
                <w:sz w:val="20"/>
              </w:rPr>
              <w:t>85.5%–88.7%</w:t>
            </w:r>
          </w:p>
        </w:tc>
        <w:tc>
          <w:tcPr>
            <w:tcW w:type="dxa" w:w="2304"/>
          </w:tcPr>
          <w:p>
            <w:pPr>
              <w:spacing w:before="60" w:after="60"/>
            </w:pPr>
            <w:r>
              <w:rPr>
                <w:rFonts w:ascii="Times New Roman" w:hAnsi="Times New Roman"/>
                <w:b w:val="0"/>
                <w:i w:val="0"/>
                <w:sz w:val="20"/>
              </w:rPr>
              <w:t>—</w:t>
            </w:r>
          </w:p>
        </w:tc>
      </w:tr>
      <w:tr>
        <w:tc>
          <w:tcPr>
            <w:tcW w:type="dxa" w:w="2304"/>
            <w:shd w:val="clear" w:color="auto" w:fill="F8FAFC"/>
          </w:tcPr>
          <w:p>
            <w:pPr>
              <w:spacing w:before="60" w:after="60"/>
            </w:pPr>
            <w:r>
              <w:rPr>
                <w:rFonts w:ascii="Times New Roman" w:hAnsi="Times New Roman"/>
                <w:b w:val="0"/>
                <w:i w:val="0"/>
                <w:sz w:val="20"/>
              </w:rPr>
              <w:t>Baseline Cohen's κ</w:t>
            </w:r>
          </w:p>
        </w:tc>
        <w:tc>
          <w:tcPr>
            <w:tcW w:type="dxa" w:w="2304"/>
            <w:shd w:val="clear" w:color="auto" w:fill="F8FAFC"/>
          </w:tcPr>
          <w:p>
            <w:pPr>
              <w:spacing w:before="60" w:after="60"/>
            </w:pPr>
            <w:r>
              <w:rPr>
                <w:rFonts w:ascii="Times New Roman" w:hAnsi="Times New Roman"/>
                <w:b w:val="0"/>
                <w:i w:val="0"/>
                <w:sz w:val="20"/>
              </w:rPr>
              <w:t>κ</w:t>
            </w:r>
          </w:p>
        </w:tc>
        <w:tc>
          <w:tcPr>
            <w:tcW w:type="dxa" w:w="2304"/>
            <w:shd w:val="clear" w:color="auto" w:fill="F8FAFC"/>
          </w:tcPr>
          <w:p>
            <w:pPr>
              <w:spacing w:before="60" w:after="60"/>
            </w:pPr>
            <w:r>
              <w:rPr>
                <w:rFonts w:ascii="Times New Roman" w:hAnsi="Times New Roman"/>
                <w:b w:val="0"/>
                <w:i w:val="0"/>
                <w:sz w:val="20"/>
              </w:rPr>
              <w:t>0.050</w:t>
            </w:r>
          </w:p>
        </w:tc>
        <w:tc>
          <w:tcPr>
            <w:tcW w:type="dxa" w:w="2304"/>
            <w:shd w:val="clear" w:color="auto" w:fill="F8FAFC"/>
          </w:tcPr>
          <w:p>
            <w:pPr>
              <w:spacing w:before="60" w:after="60"/>
            </w:pPr>
            <w:r>
              <w:rPr>
                <w:rFonts w:ascii="Times New Roman" w:hAnsi="Times New Roman"/>
                <w:b w:val="0"/>
                <w:i w:val="0"/>
                <w:sz w:val="20"/>
              </w:rPr>
              <w:t>Slight agreement</w:t>
            </w:r>
          </w:p>
        </w:tc>
      </w:tr>
      <w:tr>
        <w:tc>
          <w:tcPr>
            <w:tcW w:type="dxa" w:w="2304"/>
          </w:tcPr>
          <w:p>
            <w:pPr>
              <w:spacing w:before="60" w:after="60"/>
            </w:pPr>
            <w:r>
              <w:rPr>
                <w:rFonts w:ascii="Times New Roman" w:hAnsi="Times New Roman"/>
                <w:b w:val="0"/>
                <w:i w:val="0"/>
                <w:sz w:val="20"/>
              </w:rPr>
              <w:t>Hybrid Cohen's κ</w:t>
            </w:r>
          </w:p>
        </w:tc>
        <w:tc>
          <w:tcPr>
            <w:tcW w:type="dxa" w:w="2304"/>
          </w:tcPr>
          <w:p>
            <w:pPr>
              <w:spacing w:before="60" w:after="60"/>
            </w:pPr>
            <w:r>
              <w:rPr>
                <w:rFonts w:ascii="Times New Roman" w:hAnsi="Times New Roman"/>
                <w:b w:val="0"/>
                <w:i w:val="0"/>
                <w:sz w:val="20"/>
              </w:rPr>
              <w:t>κ</w:t>
            </w:r>
          </w:p>
        </w:tc>
        <w:tc>
          <w:tcPr>
            <w:tcW w:type="dxa" w:w="2304"/>
          </w:tcPr>
          <w:p>
            <w:pPr>
              <w:spacing w:before="60" w:after="60"/>
            </w:pPr>
            <w:r>
              <w:rPr>
                <w:rFonts w:ascii="Times New Roman" w:hAnsi="Times New Roman"/>
                <w:b w:val="0"/>
                <w:i w:val="0"/>
                <w:sz w:val="20"/>
              </w:rPr>
              <w:t>0.716</w:t>
            </w:r>
          </w:p>
        </w:tc>
        <w:tc>
          <w:tcPr>
            <w:tcW w:type="dxa" w:w="2304"/>
          </w:tcPr>
          <w:p>
            <w:pPr>
              <w:spacing w:before="60" w:after="60"/>
            </w:pPr>
            <w:r>
              <w:rPr>
                <w:rFonts w:ascii="Times New Roman" w:hAnsi="Times New Roman"/>
                <w:b w:val="0"/>
                <w:i w:val="0"/>
                <w:sz w:val="20"/>
              </w:rPr>
              <w:t>Substantial agreement</w:t>
            </w:r>
          </w:p>
        </w:tc>
      </w:tr>
      <w:tr>
        <w:tc>
          <w:tcPr>
            <w:tcW w:type="dxa" w:w="2304"/>
            <w:shd w:val="clear" w:color="auto" w:fill="F8FAFC"/>
          </w:tcPr>
          <w:p>
            <w:pPr>
              <w:spacing w:before="60" w:after="60"/>
            </w:pPr>
            <w:r>
              <w:rPr>
                <w:rFonts w:ascii="Times New Roman" w:hAnsi="Times New Roman"/>
                <w:b w:val="0"/>
                <w:i w:val="0"/>
                <w:sz w:val="20"/>
              </w:rPr>
              <w:t>Processing time (mean ± SD)</w:t>
            </w:r>
          </w:p>
        </w:tc>
        <w:tc>
          <w:tcPr>
            <w:tcW w:type="dxa" w:w="2304"/>
            <w:shd w:val="clear" w:color="auto" w:fill="F8FAFC"/>
          </w:tcPr>
          <w:p>
            <w:pPr>
              <w:spacing w:before="60" w:after="60"/>
            </w:pPr>
            <w:r>
              <w:rPr>
                <w:rFonts w:ascii="Times New Roman" w:hAnsi="Times New Roman"/>
                <w:b w:val="0"/>
                <w:i w:val="0"/>
                <w:sz w:val="20"/>
              </w:rPr>
              <w:t>—</w:t>
            </w:r>
          </w:p>
        </w:tc>
        <w:tc>
          <w:tcPr>
            <w:tcW w:type="dxa" w:w="2304"/>
            <w:shd w:val="clear" w:color="auto" w:fill="F8FAFC"/>
          </w:tcPr>
          <w:p>
            <w:pPr>
              <w:spacing w:before="60" w:after="60"/>
            </w:pPr>
            <w:r>
              <w:rPr>
                <w:rFonts w:ascii="Times New Roman" w:hAnsi="Times New Roman"/>
                <w:b w:val="0"/>
                <w:i w:val="0"/>
                <w:sz w:val="20"/>
              </w:rPr>
              <w:t>6.3 ± 11.7 s</w:t>
            </w:r>
          </w:p>
        </w:tc>
        <w:tc>
          <w:tcPr>
            <w:tcW w:type="dxa" w:w="2304"/>
            <w:shd w:val="clear" w:color="auto" w:fill="F8FAFC"/>
          </w:tcPr>
          <w:p>
            <w:pPr>
              <w:spacing w:before="60" w:after="60"/>
            </w:pPr>
            <w:r>
              <w:rPr>
                <w:rFonts w:ascii="Times New Roman" w:hAnsi="Times New Roman"/>
                <w:b w:val="0"/>
                <w:i w:val="0"/>
                <w:sz w:val="20"/>
              </w:rPr>
              <w:t>Clinically acceptable; outliers under CPU constraints</w:t>
            </w:r>
          </w:p>
        </w:tc>
      </w:tr>
      <w:tr>
        <w:tc>
          <w:tcPr>
            <w:tcW w:type="dxa" w:w="2304"/>
          </w:tcPr>
          <w:p>
            <w:pPr>
              <w:spacing w:before="60" w:after="60"/>
            </w:pPr>
            <w:r>
              <w:rPr>
                <w:rFonts w:ascii="Times New Roman" w:hAnsi="Times New Roman"/>
                <w:b w:val="0"/>
                <w:i w:val="0"/>
                <w:sz w:val="20"/>
              </w:rPr>
              <w:t>Processing time (median)</w:t>
            </w:r>
          </w:p>
        </w:tc>
        <w:tc>
          <w:tcPr>
            <w:tcW w:type="dxa" w:w="2304"/>
          </w:tcPr>
          <w:p>
            <w:pPr>
              <w:spacing w:before="60" w:after="60"/>
            </w:pPr>
            <w:r>
              <w:rPr>
                <w:rFonts w:ascii="Times New Roman" w:hAnsi="Times New Roman"/>
                <w:b w:val="0"/>
                <w:i w:val="0"/>
                <w:sz w:val="20"/>
              </w:rPr>
              <w:t>—</w:t>
            </w:r>
          </w:p>
        </w:tc>
        <w:tc>
          <w:tcPr>
            <w:tcW w:type="dxa" w:w="2304"/>
          </w:tcPr>
          <w:p>
            <w:pPr>
              <w:spacing w:before="60" w:after="60"/>
            </w:pPr>
            <w:r>
              <w:rPr>
                <w:rFonts w:ascii="Times New Roman" w:hAnsi="Times New Roman"/>
                <w:b w:val="0"/>
                <w:i w:val="0"/>
                <w:sz w:val="20"/>
              </w:rPr>
              <w:t>5.4 s</w:t>
            </w:r>
          </w:p>
        </w:tc>
        <w:tc>
          <w:tcPr>
            <w:tcW w:type="dxa" w:w="2304"/>
          </w:tcPr>
          <w:p>
            <w:pPr>
              <w:spacing w:before="60" w:after="60"/>
            </w:pPr>
            <w:r>
              <w:rPr>
                <w:rFonts w:ascii="Times New Roman" w:hAnsi="Times New Roman"/>
                <w:b w:val="0"/>
                <w:i w:val="0"/>
                <w:sz w:val="20"/>
              </w:rPr>
              <w:t>More representative central tendency</w:t>
            </w:r>
          </w:p>
        </w:tc>
      </w:tr>
    </w:tbl>
    <w:p>
      <w:pPr>
        <w:spacing w:before="40" w:after="160" w:lineRule="auto" w:line="240"/>
        <w:jc w:val="left"/>
      </w:pPr>
    </w:p>
    <w:p>
      <w:pPr>
        <w:spacing w:before="0" w:after="120" w:lineRule="auto" w:line="360"/>
        <w:jc w:val="both"/>
      </w:pPr>
      <w:r>
        <w:rPr>
          <w:rFonts w:ascii="Times New Roman" w:hAnsi="Times New Roman"/>
          <w:b w:val="0"/>
          <w:i w:val="0"/>
          <w:sz w:val="24"/>
        </w:rPr>
        <w:t xml:space="preserve">All statistical computations were performed in Python 3.11 using SciPy (v1.11) and are fully reproducible via the provided </w:t>
      </w:r>
      <w:r>
        <w:rPr>
          <w:rFonts w:ascii="Courier New" w:hAnsi="Courier New"/>
          <w:sz w:val="22"/>
        </w:rPr>
        <w:t>publication/generate_figures.py</w:t>
      </w:r>
      <w:r>
        <w:rPr>
          <w:rFonts w:ascii="Times New Roman" w:hAnsi="Times New Roman"/>
          <w:b w:val="0"/>
          <w:i w:val="0"/>
          <w:sz w:val="24"/>
        </w:rPr>
        <w:t xml:space="preserve"> script [source code available at the repository listed in the Data Availability Statement].</w:t>
      </w:r>
    </w:p>
    <w:p>
      <w:pPr>
        <w:spacing w:before="80" w:after="80" w:lineRule="auto" w:line="240"/>
        <w:jc w:val="left"/>
      </w:pPr>
    </w:p>
    <w:p>
      <w:pPr>
        <w:keepNext/>
        <w:spacing w:before="320" w:after="120" w:lineRule="auto" w:line="312"/>
        <w:jc w:val="left"/>
        <w:pBdr>
          <w:bottom w:val="single" w:sz="4" w:space="1" w:color="CBD5E1"/>
        </w:pBdr>
      </w:pPr>
      <w:r>
        <w:rPr>
          <w:rFonts w:ascii="Times New Roman" w:hAnsi="Times New Roman"/>
          <w:b/>
          <w:i w:val="0"/>
          <w:sz w:val="26"/>
        </w:rPr>
        <w:t>5. Discussion</w:t>
      </w:r>
    </w:p>
    <w:p>
      <w:pPr>
        <w:keepNext/>
        <w:spacing w:before="240" w:after="80" w:lineRule="auto" w:line="312"/>
        <w:jc w:val="left"/>
      </w:pPr>
      <w:r>
        <w:rPr>
          <w:rFonts w:ascii="Times New Roman" w:hAnsi="Times New Roman"/>
          <w:b/>
          <w:i w:val="0"/>
          <w:sz w:val="24"/>
        </w:rPr>
        <w:t>5.1 Clinical Implications</w:t>
      </w:r>
    </w:p>
    <w:p>
      <w:pPr>
        <w:spacing w:before="0" w:after="120" w:lineRule="auto" w:line="360"/>
        <w:jc w:val="both"/>
      </w:pPr>
      <w:r>
        <w:rPr>
          <w:rFonts w:ascii="Times New Roman" w:hAnsi="Times New Roman"/>
          <w:b w:val="0"/>
          <w:i w:val="0"/>
          <w:sz w:val="24"/>
        </w:rPr>
        <w:t>The hybrid system's most clinically meaningful achievement is its 98.90% sensitivity for Stage I malaria. Early-stage malaria is the most prevalent presentation (64.7% of cases) and the stage most amenable to outpatient treatment with artemisinin-based combination therapies (ACTs) [23]. Detecting Stage I with near-perfect sensitivity enables appropriate treatment initiation before disease progression to moderate or severe stages. The baseline system's 1.84% Stage I sensitivity is clinically unacceptable—it would leave 98% of early-stage patients without a positive malaria identification and appropriate treatment initiation, directly contributing to avoidable disease progression.</w:t>
      </w:r>
    </w:p>
    <w:p>
      <w:pPr>
        <w:spacing w:before="0" w:after="120" w:lineRule="auto" w:line="360"/>
        <w:jc w:val="both"/>
      </w:pPr>
      <w:r>
        <w:rPr>
          <w:rFonts w:ascii="Times New Roman" w:hAnsi="Times New Roman"/>
          <w:b w:val="0"/>
          <w:i w:val="0"/>
          <w:sz w:val="24"/>
        </w:rPr>
        <w:t>The maintenance of 100% Critical case sensitivity in both systems reflects a core design principle: where deterministic rules unambiguously identify life-threatening presentations, they should not be subject to probabilistic override. By assigning hallucination and altered consciousness to an unconditional Priority 1 rule, the hybrid architecture provides a hard safety guarantee for the most critical clinical scenario.</w:t>
      </w:r>
    </w:p>
    <w:p>
      <w:pPr>
        <w:spacing w:before="0" w:after="120" w:lineRule="auto" w:line="360"/>
        <w:jc w:val="both"/>
      </w:pPr>
      <w:r>
        <w:rPr>
          <w:rFonts w:ascii="Times New Roman" w:hAnsi="Times New Roman"/>
          <w:b w:val="0"/>
          <w:i w:val="0"/>
          <w:sz w:val="24"/>
        </w:rPr>
        <w:t>The 22.64 percentage point decline in No Malaria specificity represents the principal trade-off of the hybrid approach. In malaria-endemic regions, misclassifying a No Malaria case as Stage I leads to unnecessary antimalarial treatment—a concern for drug resistance stewardship [23], but not an immediate patient safety risk. The baseline system's failure to detect 98.16% of Stage I cases represents a far more dangerous clinical error in the endemic context. From a public health risk-benefit standpoint, the trade-off clearly favors the hybrid system's configuration.</w:t>
      </w:r>
    </w:p>
    <w:p>
      <w:pPr>
        <w:keepNext/>
        <w:spacing w:before="240" w:after="80" w:lineRule="auto" w:line="312"/>
        <w:jc w:val="left"/>
      </w:pPr>
      <w:r>
        <w:rPr>
          <w:rFonts w:ascii="Times New Roman" w:hAnsi="Times New Roman"/>
          <w:b/>
          <w:i w:val="0"/>
          <w:sz w:val="24"/>
        </w:rPr>
        <w:t>5.2 Architectural Design Principles</w:t>
      </w:r>
    </w:p>
    <w:p>
      <w:pPr>
        <w:spacing w:before="0" w:after="120" w:lineRule="auto" w:line="360"/>
        <w:jc w:val="both"/>
      </w:pPr>
      <w:r>
        <w:rPr>
          <w:rFonts w:ascii="Times New Roman" w:hAnsi="Times New Roman"/>
          <w:b w:val="0"/>
          <w:i w:val="0"/>
          <w:sz w:val="24"/>
        </w:rPr>
        <w:t>The hybrid approach's superiority over both pure rule-based and fully LLM-driven architectures reflects three complementary design advantages:</w:t>
      </w:r>
    </w:p>
    <w:p>
      <w:pPr>
        <w:spacing w:before="0" w:after="120" w:lineRule="auto" w:line="360"/>
        <w:jc w:val="both"/>
      </w:pPr>
      <w:r>
        <w:rPr>
          <w:rFonts w:ascii="Times New Roman" w:hAnsi="Times New Roman"/>
          <w:b/>
          <w:i w:val="0"/>
          <w:sz w:val="24"/>
        </w:rPr>
        <w:t>Reliability through determinism.</w:t>
      </w:r>
      <w:r>
        <w:rPr>
          <w:rFonts w:ascii="Times New Roman" w:hAnsi="Times New Roman"/>
          <w:b w:val="0"/>
          <w:i w:val="0"/>
          <w:sz w:val="24"/>
        </w:rPr>
        <w:t xml:space="preserve"> The rule-based classifier guarantees consistent classification of critical presentations regardless of LLM output quality. This property is essential for clinical deployment, where LLM inference failures, network interruptions (in cloud-based configurations), or model updates could otherwise produce inconsistent diagnostic outputs [7].</w:t>
      </w:r>
    </w:p>
    <w:p>
      <w:pPr>
        <w:spacing w:before="0" w:after="120" w:lineRule="auto" w:line="360"/>
        <w:jc w:val="both"/>
      </w:pPr>
      <w:r>
        <w:rPr>
          <w:rFonts w:ascii="Times New Roman" w:hAnsi="Times New Roman"/>
          <w:b/>
          <w:i w:val="0"/>
          <w:sz w:val="24"/>
        </w:rPr>
        <w:t>Flexibility through LLM reasoning.</w:t>
      </w:r>
      <w:r>
        <w:rPr>
          <w:rFonts w:ascii="Times New Roman" w:hAnsi="Times New Roman"/>
          <w:b w:val="0"/>
          <w:i w:val="0"/>
          <w:sz w:val="24"/>
        </w:rPr>
        <w:t xml:space="preserve"> The LLM component handles the natural language variability and symptom co-occurrence patterns that rigid rule systems cannot generalize beyond. By providing clinical context (patient age, sex, RDT results) alongside the symptom list, the LLM generates explanations that account for risk factors relevant to individual patients [17].</w:t>
      </w:r>
    </w:p>
    <w:p>
      <w:pPr>
        <w:spacing w:before="0" w:after="120" w:lineRule="auto" w:line="360"/>
        <w:jc w:val="both"/>
      </w:pPr>
      <w:r>
        <w:rPr>
          <w:rFonts w:ascii="Times New Roman" w:hAnsi="Times New Roman"/>
          <w:b/>
          <w:i w:val="0"/>
          <w:sz w:val="24"/>
        </w:rPr>
        <w:t>Trust through explainability.</w:t>
      </w:r>
      <w:r>
        <w:rPr>
          <w:rFonts w:ascii="Times New Roman" w:hAnsi="Times New Roman"/>
          <w:b w:val="0"/>
          <w:i w:val="0"/>
          <w:sz w:val="24"/>
        </w:rPr>
        <w:t xml:space="preserve"> Prior CDSS research has consistently found that clinicians and health workers are significantly more likely to act on AI recommendations when accompanied by transparent reasoning [8]. The hybrid system generates a symptom-specific natural language explanation for every case, providing a rationale that community health workers without formal medical training can evaluate and communicate to patients.</w:t>
      </w:r>
    </w:p>
    <w:p>
      <w:pPr>
        <w:keepNext/>
        <w:spacing w:before="240" w:after="80" w:lineRule="auto" w:line="312"/>
        <w:jc w:val="left"/>
      </w:pPr>
      <w:r>
        <w:rPr>
          <w:rFonts w:ascii="Times New Roman" w:hAnsi="Times New Roman"/>
          <w:b/>
          <w:i w:val="0"/>
          <w:sz w:val="24"/>
        </w:rPr>
        <w:t>5.3 Stage II Performance and Dataset Limitations</w:t>
      </w:r>
    </w:p>
    <w:p>
      <w:pPr>
        <w:spacing w:before="0" w:after="120" w:lineRule="auto" w:line="360"/>
        <w:jc w:val="both"/>
      </w:pPr>
      <w:r>
        <w:rPr>
          <w:rFonts w:ascii="Times New Roman" w:hAnsi="Times New Roman"/>
          <w:b w:val="0"/>
          <w:i w:val="0"/>
          <w:sz w:val="24"/>
        </w:rPr>
        <w:t>The persistent low accuracy for Stage II detection (15.25%) deserves explicit acknowledgment. Stage II moderate malaria occupies a clinically ambiguous symptom space: symptoms such as prolonged fever, abdominal pain, and diarrhea overlap with both Stage I presentations and non-malarial gastrointestinal infections. The dataset imbalance—118 Stage II cases versus 1,089 Stage I cases (ratio 1:9.2)—further constrains the discriminatory power of fixed-threshold rule boundaries in this range. Improving Stage II detection would likely require access to quantitative clinical measurements (parasite density, hemoglobin level, platelet count) not available in the current symptom-only dataset, or a machine-learned classifier trained on a substantially larger and more balanced Stage II sample. We acknowledge this as a priority limitation and a focus for future dataset development.</w:t>
      </w:r>
    </w:p>
    <w:p>
      <w:pPr>
        <w:keepNext/>
        <w:spacing w:before="240" w:after="80" w:lineRule="auto" w:line="312"/>
        <w:jc w:val="left"/>
      </w:pPr>
      <w:r>
        <w:rPr>
          <w:rFonts w:ascii="Times New Roman" w:hAnsi="Times New Roman"/>
          <w:b/>
          <w:i w:val="0"/>
          <w:sz w:val="24"/>
        </w:rPr>
        <w:t>5.4 Deployment in Resource-Limited Settings</w:t>
      </w:r>
    </w:p>
    <w:p>
      <w:pPr>
        <w:spacing w:before="0" w:after="120" w:lineRule="auto" w:line="360"/>
        <w:jc w:val="both"/>
      </w:pPr>
      <w:r>
        <w:rPr>
          <w:rFonts w:ascii="Times New Roman" w:hAnsi="Times New Roman"/>
          <w:b w:val="0"/>
          <w:i w:val="0"/>
          <w:sz w:val="24"/>
        </w:rPr>
        <w:t>Three architectural decisions specifically target deployment viability in sub-Saharan African primary healthcare facilities:</w:t>
      </w:r>
    </w:p>
    <w:p>
      <w:pPr>
        <w:spacing w:before="0" w:after="120" w:lineRule="auto" w:line="360"/>
        <w:jc w:val="both"/>
      </w:pPr>
      <w:r>
        <w:rPr>
          <w:rFonts w:ascii="Times New Roman" w:hAnsi="Times New Roman"/>
          <w:b/>
          <w:i w:val="0"/>
          <w:sz w:val="24"/>
        </w:rPr>
        <w:t>Offline operation.</w:t>
      </w:r>
      <w:r>
        <w:rPr>
          <w:rFonts w:ascii="Times New Roman" w:hAnsi="Times New Roman"/>
          <w:b w:val="0"/>
          <w:i w:val="0"/>
          <w:sz w:val="24"/>
        </w:rPr>
        <w:t xml:space="preserve"> Deploying Llama 3.1 8B locally via Ollama [9,13] requires no internet connectivity—essential in rural health posts where mobile data coverage is intermittent or prohibitively expensive. Wahl et al. identified network connectivity as the primary infrastructure barrier to AI adoption in resource-poor healthcare [20]; a fully offline architecture eliminates this barrier entirely.</w:t>
      </w:r>
    </w:p>
    <w:p>
      <w:pPr>
        <w:spacing w:before="0" w:after="120" w:lineRule="auto" w:line="360"/>
        <w:jc w:val="both"/>
      </w:pPr>
      <w:r>
        <w:rPr>
          <w:rFonts w:ascii="Times New Roman" w:hAnsi="Times New Roman"/>
          <w:b/>
          <w:i w:val="0"/>
          <w:sz w:val="24"/>
        </w:rPr>
        <w:t>Zero recurring cost.</w:t>
      </w:r>
      <w:r>
        <w:rPr>
          <w:rFonts w:ascii="Times New Roman" w:hAnsi="Times New Roman"/>
          <w:b w:val="0"/>
          <w:i w:val="0"/>
          <w:sz w:val="24"/>
        </w:rPr>
        <w:t xml:space="preserve"> Unlike cloud-based LLM APIs, the local Ollama deployment carries no per-query cost following initial installation. The system can process unlimited cases sustainably, making it financially viable for government health programs operating on constrained budgets in low-income countries.</w:t>
      </w:r>
    </w:p>
    <w:p>
      <w:pPr>
        <w:spacing w:before="0" w:after="120" w:lineRule="auto" w:line="360"/>
        <w:jc w:val="both"/>
      </w:pPr>
      <w:r>
        <w:rPr>
          <w:rFonts w:ascii="Times New Roman" w:hAnsi="Times New Roman"/>
          <w:b/>
          <w:i w:val="0"/>
          <w:sz w:val="24"/>
        </w:rPr>
        <w:t>Privacy preservation.</w:t>
      </w:r>
      <w:r>
        <w:rPr>
          <w:rFonts w:ascii="Times New Roman" w:hAnsi="Times New Roman"/>
          <w:b w:val="0"/>
          <w:i w:val="0"/>
          <w:sz w:val="24"/>
        </w:rPr>
        <w:t xml:space="preserve"> Patient symptom data never leaves the local device, satisfying both national regulatory requirements and patient trust considerations [30]. Digital health interventions in Africa have faced adoption resistance related to data sovereignty concerns [16]; a fully local system removes this friction point.</w:t>
      </w:r>
    </w:p>
    <w:p>
      <w:pPr>
        <w:spacing w:before="0" w:after="120" w:lineRule="auto" w:line="360"/>
        <w:jc w:val="both"/>
      </w:pPr>
      <w:r>
        <w:rPr>
          <w:rFonts w:ascii="Times New Roman" w:hAnsi="Times New Roman"/>
          <w:b w:val="0"/>
          <w:i w:val="0"/>
          <w:sz w:val="24"/>
        </w:rPr>
        <w:t>The 6.3-second average processing time is an additional practical consideration. This latency is suitable for a consultation tool used after initial patient assessment, and GPU acceleration would reduce it substantially. In the most resource-constrained deployments (CPU-only hardware), the deterministic rule engine returns the severity classification instantaneously, while the LLM explanation loads asynchronously.</w:t>
      </w:r>
    </w:p>
    <w:p>
      <w:pPr>
        <w:keepNext/>
        <w:spacing w:before="240" w:after="80" w:lineRule="auto" w:line="312"/>
        <w:jc w:val="left"/>
      </w:pPr>
      <w:r>
        <w:rPr>
          <w:rFonts w:ascii="Times New Roman" w:hAnsi="Times New Roman"/>
          <w:b/>
          <w:i w:val="0"/>
          <w:sz w:val="24"/>
        </w:rPr>
        <w:t>5.5 Comparison with Prior LLM Clinical Deployments</w:t>
      </w:r>
    </w:p>
    <w:p>
      <w:pPr>
        <w:spacing w:before="0" w:after="120" w:lineRule="auto" w:line="360"/>
        <w:jc w:val="both"/>
      </w:pPr>
      <w:r>
        <w:rPr>
          <w:rFonts w:ascii="Times New Roman" w:hAnsi="Times New Roman"/>
          <w:b w:val="0"/>
          <w:i w:val="0"/>
          <w:sz w:val="24"/>
        </w:rPr>
        <w:t>Unlike prior LLM clinical deployments that employ GPT-4 [3,5,25] or large domain-fine-tuned models [22], our system uses a freely available open-source LLM (Llama 3.1 8B [9]) in a deliberately constrained role—explanation generation rather than autonomous diagnosis. This design avoids the hallucination risks documented by Chen et al. in fully LLM-driven medical reasoning systems [22], while still providing the explainability benefits that characterize high-adoption clinical AI tools [8]. The hybrid architecture also provides a substantially lower computational footprint than systems requiring 70B+ parameter models, enabling deployment on the CPU-only commodity hardware common in rural health facilities.</w:t>
      </w:r>
    </w:p>
    <w:p>
      <w:pPr>
        <w:keepNext/>
        <w:spacing w:before="240" w:after="80" w:lineRule="auto" w:line="312"/>
        <w:jc w:val="left"/>
      </w:pPr>
      <w:r>
        <w:rPr>
          <w:rFonts w:ascii="Times New Roman" w:hAnsi="Times New Roman"/>
          <w:b/>
          <w:i w:val="0"/>
          <w:sz w:val="24"/>
        </w:rPr>
        <w:t>5.6 Limitations</w:t>
      </w:r>
    </w:p>
    <w:p>
      <w:pPr>
        <w:spacing w:before="0" w:after="120" w:lineRule="auto" w:line="360"/>
        <w:jc w:val="both"/>
      </w:pPr>
      <w:r>
        <w:rPr>
          <w:rFonts w:ascii="Times New Roman" w:hAnsi="Times New Roman"/>
          <w:b w:val="0"/>
          <w:i w:val="0"/>
          <w:sz w:val="24"/>
        </w:rPr>
        <w:t>This study has several limitations that should be considered when interpreting the results and planning clinical translation:</w:t>
      </w:r>
    </w:p>
    <w:p>
      <w:pPr>
        <w:spacing w:before="40" w:after="60" w:lineRule="auto" w:line="312"/>
        <w:ind w:left="576" w:hanging="576"/>
        <w:jc w:val="left"/>
      </w:pPr>
      <w:r>
        <w:rPr>
          <w:rFonts w:ascii="Times New Roman" w:hAnsi="Times New Roman"/>
          <w:sz w:val="24"/>
        </w:rPr>
        <w:t xml:space="preserve">1. </w:t>
      </w:r>
      <w:r>
        <w:rPr>
          <w:rFonts w:ascii="Times New Roman" w:hAnsi="Times New Roman"/>
          <w:b/>
          <w:i w:val="0"/>
          <w:sz w:val="24"/>
        </w:rPr>
        <w:t>Dataset generalizability.</w:t>
      </w:r>
      <w:r>
        <w:rPr>
          <w:rFonts w:ascii="Times New Roman" w:hAnsi="Times New Roman"/>
          <w:b w:val="0"/>
          <w:i w:val="0"/>
          <w:sz w:val="24"/>
        </w:rPr>
        <w:t xml:space="preserve"> The Kaggle dataset was collected in a specific clinical context; generalizability to other malaria-endemic regions (e.g., Southeast Asia, where Plasmodium vivax predominates over P. falciparum), different transmission intensities, or different patient demographics has not been established.</w:t>
      </w:r>
    </w:p>
    <w:p>
      <w:pPr>
        <w:spacing w:before="40" w:after="60" w:lineRule="auto" w:line="312"/>
        <w:ind w:left="576" w:hanging="576"/>
        <w:jc w:val="left"/>
      </w:pPr>
      <w:r>
        <w:rPr>
          <w:rFonts w:ascii="Times New Roman" w:hAnsi="Times New Roman"/>
          <w:sz w:val="24"/>
        </w:rPr>
        <w:t xml:space="preserve">2. </w:t>
      </w:r>
      <w:r>
        <w:rPr>
          <w:rFonts w:ascii="Times New Roman" w:hAnsi="Times New Roman"/>
          <w:b/>
          <w:i w:val="0"/>
          <w:sz w:val="24"/>
        </w:rPr>
        <w:t>Stage II class imbalance.</w:t>
      </w:r>
      <w:r>
        <w:rPr>
          <w:rFonts w:ascii="Times New Roman" w:hAnsi="Times New Roman"/>
          <w:b w:val="0"/>
          <w:i w:val="0"/>
          <w:sz w:val="24"/>
        </w:rPr>
        <w:t xml:space="preserve"> With only 118 Stage II cases (7.0% of the dataset), statistical power for evaluating Stage II detection is limited. Expanded datasets with more balanced stage representation are required for robust Stage II classification development.</w:t>
      </w:r>
    </w:p>
    <w:p>
      <w:pPr>
        <w:spacing w:before="40" w:after="60" w:lineRule="auto" w:line="312"/>
        <w:ind w:left="576" w:hanging="576"/>
        <w:jc w:val="left"/>
      </w:pPr>
      <w:r>
        <w:rPr>
          <w:rFonts w:ascii="Times New Roman" w:hAnsi="Times New Roman"/>
          <w:sz w:val="24"/>
        </w:rPr>
        <w:t xml:space="preserve">3. </w:t>
      </w:r>
      <w:r>
        <w:rPr>
          <w:rFonts w:ascii="Times New Roman" w:hAnsi="Times New Roman"/>
          <w:b/>
          <w:i w:val="0"/>
          <w:sz w:val="24"/>
        </w:rPr>
        <w:t>No prospective clinical validation.</w:t>
      </w:r>
      <w:r>
        <w:rPr>
          <w:rFonts w:ascii="Times New Roman" w:hAnsi="Times New Roman"/>
          <w:b w:val="0"/>
          <w:i w:val="0"/>
          <w:sz w:val="24"/>
        </w:rPr>
        <w:t xml:space="preserve"> This study constitutes a retrospective computational evaluation. Prospective validation in clinical settings—assessing healthcare worker acceptance, workflow integration, and impact on patient outcomes—has not yet been conducted and is necessary before clinical deployment [29].</w:t>
      </w:r>
    </w:p>
    <w:p>
      <w:pPr>
        <w:spacing w:before="40" w:after="60" w:lineRule="auto" w:line="312"/>
        <w:ind w:left="576" w:hanging="576"/>
        <w:jc w:val="left"/>
      </w:pPr>
      <w:r>
        <w:rPr>
          <w:rFonts w:ascii="Times New Roman" w:hAnsi="Times New Roman"/>
          <w:sz w:val="24"/>
        </w:rPr>
        <w:t xml:space="preserve">4. </w:t>
      </w:r>
      <w:r>
        <w:rPr>
          <w:rFonts w:ascii="Times New Roman" w:hAnsi="Times New Roman"/>
          <w:b/>
          <w:i w:val="0"/>
          <w:sz w:val="24"/>
        </w:rPr>
        <w:t>Single LLM evaluated.</w:t>
      </w:r>
      <w:r>
        <w:rPr>
          <w:rFonts w:ascii="Times New Roman" w:hAnsi="Times New Roman"/>
          <w:b w:val="0"/>
          <w:i w:val="0"/>
          <w:sz w:val="24"/>
        </w:rPr>
        <w:t xml:space="preserve"> We evaluated only Llama 3.1 8B. Performance may differ with other open-source models (Mistral, Gemma, Phi-3) or larger variants; systematic comparison across models is a direction for future work.</w:t>
      </w:r>
    </w:p>
    <w:p>
      <w:pPr>
        <w:spacing w:before="40" w:after="60" w:lineRule="auto" w:line="312"/>
        <w:ind w:left="576" w:hanging="576"/>
        <w:jc w:val="left"/>
      </w:pPr>
      <w:r>
        <w:rPr>
          <w:rFonts w:ascii="Times New Roman" w:hAnsi="Times New Roman"/>
          <w:sz w:val="24"/>
        </w:rPr>
        <w:t xml:space="preserve">5. </w:t>
      </w:r>
      <w:r>
        <w:rPr>
          <w:rFonts w:ascii="Times New Roman" w:hAnsi="Times New Roman"/>
          <w:b/>
          <w:i w:val="0"/>
          <w:sz w:val="24"/>
        </w:rPr>
        <w:t>English-only operation.</w:t>
      </w:r>
      <w:r>
        <w:rPr>
          <w:rFonts w:ascii="Times New Roman" w:hAnsi="Times New Roman"/>
          <w:b w:val="0"/>
          <w:i w:val="0"/>
          <w:sz w:val="24"/>
        </w:rPr>
        <w:t xml:space="preserve"> The system currently operates entirely in English. Multilingual support—particularly for West African languages such as Igbo, Yoruba, and Hausa—would substantially broaden practical deployability for community health workers.</w:t>
      </w:r>
    </w:p>
    <w:p>
      <w:pPr>
        <w:spacing w:before="40" w:after="60" w:lineRule="auto" w:line="312"/>
        <w:ind w:left="576" w:hanging="576"/>
        <w:jc w:val="left"/>
      </w:pPr>
      <w:r>
        <w:rPr>
          <w:rFonts w:ascii="Times New Roman" w:hAnsi="Times New Roman"/>
          <w:sz w:val="24"/>
        </w:rPr>
        <w:t xml:space="preserve">6. </w:t>
      </w:r>
      <w:r>
        <w:rPr>
          <w:rFonts w:ascii="Times New Roman" w:hAnsi="Times New Roman"/>
          <w:b/>
          <w:i w:val="0"/>
          <w:sz w:val="24"/>
        </w:rPr>
        <w:t>Bias assessment not conducted.</w:t>
      </w:r>
      <w:r>
        <w:rPr>
          <w:rFonts w:ascii="Times New Roman" w:hAnsi="Times New Roman"/>
          <w:b w:val="0"/>
          <w:i w:val="0"/>
          <w:sz w:val="24"/>
        </w:rPr>
        <w:t xml:space="preserve"> We did not formally evaluate the system for differential performance across demographic subgroups (age, sex, genotype, geographic origin). Obermeyer et al. demonstrated that AI clinical systems can perpetuate or amplify existing health disparities [28]; bias auditing should be performed before deployment in any clinical setting.</w:t>
      </w:r>
    </w:p>
    <w:p>
      <w:pPr>
        <w:spacing w:before="80" w:after="80" w:lineRule="auto" w:line="240"/>
        <w:jc w:val="left"/>
      </w:pPr>
    </w:p>
    <w:p>
      <w:pPr>
        <w:keepNext/>
        <w:spacing w:before="320" w:after="120" w:lineRule="auto" w:line="312"/>
        <w:jc w:val="left"/>
        <w:pBdr>
          <w:bottom w:val="single" w:sz="4" w:space="1" w:color="CBD5E1"/>
        </w:pBdr>
      </w:pPr>
      <w:r>
        <w:rPr>
          <w:rFonts w:ascii="Times New Roman" w:hAnsi="Times New Roman"/>
          <w:b/>
          <w:i w:val="0"/>
          <w:sz w:val="26"/>
        </w:rPr>
        <w:t>6. Conclusion and Future Work</w:t>
      </w:r>
    </w:p>
    <w:p>
      <w:pPr>
        <w:spacing w:before="0" w:after="120" w:lineRule="auto" w:line="360"/>
        <w:jc w:val="both"/>
      </w:pPr>
      <w:r>
        <w:rPr>
          <w:rFonts w:ascii="Times New Roman" w:hAnsi="Times New Roman"/>
          <w:b w:val="0"/>
          <w:i w:val="0"/>
          <w:sz w:val="24"/>
        </w:rPr>
        <w:t>We presented the design, implementation, and evaluation of a hybrid malaria clinical decision support system that combines deterministic rule-based severity classification with Llama 3.1 8B-powered natural language reasoning. Evaluated on 1,682 malaria cases spanning four severity levels, the system achieved 87.22% overall diagnostic accuracy—a 56.60 percentage point improvement over the traditional rule-based baseline—while maintaining 100% sensitivity for life-threatening critical malaria. The offline, zero-cost, privacy-preserving architecture specifically addresses the deployment barriers identified in low- and middle-income healthcare settings.</w:t>
      </w:r>
    </w:p>
    <w:p>
      <w:pPr>
        <w:spacing w:before="0" w:after="120" w:lineRule="auto" w:line="360"/>
        <w:jc w:val="both"/>
      </w:pPr>
      <w:r>
        <w:rPr>
          <w:rFonts w:ascii="Times New Roman" w:hAnsi="Times New Roman"/>
          <w:b w:val="0"/>
          <w:i w:val="0"/>
          <w:sz w:val="24"/>
        </w:rPr>
        <w:t>The central insight of this work is that LLMs and rule-based systems are complementary rather than competing technologies in clinical decision support. Deterministic rules provide guarantees that LLMs cannot: safety-critical classifications that are auditable, consistent, and resistant to hallucination. LLMs provide something rules fundamentally cannot: natural language reasoning that adapts to symptom variability, personalizes explanations to individual patients, and communicates clinical decisions in terms that non-specialist health workers can understand and act upon. The hybrid architecture exploits both strengths simultaneously, achieving an accuracy improvement of 185% relative to the pure rule-based baseline.</w:t>
      </w:r>
    </w:p>
    <w:p>
      <w:pPr>
        <w:spacing w:before="0" w:after="120" w:lineRule="auto" w:line="360"/>
        <w:jc w:val="both"/>
      </w:pPr>
      <w:r>
        <w:rPr>
          <w:rFonts w:ascii="Times New Roman" w:hAnsi="Times New Roman"/>
          <w:b w:val="0"/>
          <w:i w:val="0"/>
          <w:sz w:val="24"/>
        </w:rPr>
        <w:t>Future work will pursue five directions: (1) prospective clinical validation in primary healthcare facilities in Nigeria and other malaria-endemic countries, following CONSORT-AI reporting guidelines [29]; (2) multilingual support for community health worker deployment, beginning with Igbo, Yoruba, and Hausa; (3) mobile application development enabling smartphone-based access without laptop hardware; (4) real-time learning from clinician feedback to incrementally refine rule thresholds and improve Stage II detection; and (5) extension of the hybrid framework to differential diagnosis of other febrile illnesses common in endemic regions, including typhoid, dengue, and pneumonia.</w:t>
      </w:r>
    </w:p>
    <w:p>
      <w:pPr>
        <w:spacing w:before="80" w:after="80" w:lineRule="auto" w:line="240"/>
        <w:jc w:val="left"/>
      </w:pPr>
    </w:p>
    <w:p>
      <w:pPr>
        <w:keepNext/>
        <w:spacing w:before="320" w:after="120" w:lineRule="auto" w:line="312"/>
        <w:jc w:val="left"/>
        <w:pBdr>
          <w:bottom w:val="single" w:sz="4" w:space="1" w:color="CBD5E1"/>
        </w:pBdr>
      </w:pPr>
      <w:r>
        <w:rPr>
          <w:rFonts w:ascii="Times New Roman" w:hAnsi="Times New Roman"/>
          <w:b/>
          <w:i w:val="0"/>
          <w:sz w:val="26"/>
        </w:rPr>
        <w:t>Data Availability Statement</w:t>
      </w:r>
    </w:p>
    <w:p>
      <w:pPr>
        <w:spacing w:before="0" w:after="120" w:lineRule="auto" w:line="360"/>
        <w:jc w:val="both"/>
      </w:pPr>
      <w:r>
        <w:rPr>
          <w:rFonts w:ascii="Times New Roman" w:hAnsi="Times New Roman"/>
          <w:b w:val="0"/>
          <w:i w:val="0"/>
          <w:sz w:val="24"/>
        </w:rPr>
        <w:t>All materials necessary for reproducing this study are openly available:</w:t>
      </w:r>
    </w:p>
    <w:p>
      <w:pPr>
        <w:spacing w:before="40" w:after="40" w:lineRule="auto" w:line="312"/>
        <w:ind w:left="432" w:hanging="288"/>
        <w:jc w:val="left"/>
      </w:pPr>
      <w:r>
        <w:rPr>
          <w:rFonts w:ascii="Times New Roman" w:hAnsi="Times New Roman"/>
          <w:sz w:val="24"/>
        </w:rPr>
        <w:t xml:space="preserve">• </w:t>
      </w:r>
      <w:r>
        <w:rPr>
          <w:rFonts w:ascii="Times New Roman" w:hAnsi="Times New Roman"/>
          <w:b/>
          <w:i w:val="0"/>
          <w:sz w:val="24"/>
        </w:rPr>
        <w:t>Source code:</w:t>
      </w:r>
      <w:r>
        <w:rPr>
          <w:rFonts w:ascii="Times New Roman" w:hAnsi="Times New Roman"/>
          <w:b w:val="0"/>
          <w:i w:val="0"/>
          <w:sz w:val="24"/>
        </w:rPr>
        <w:t xml:space="preserve"> https://github.com/jemiridaniel/malaria-llm-cdss (MIT License)</w:t>
      </w:r>
    </w:p>
    <w:p>
      <w:pPr>
        <w:spacing w:before="40" w:after="40" w:lineRule="auto" w:line="312"/>
        <w:ind w:left="432" w:hanging="288"/>
        <w:jc w:val="left"/>
      </w:pPr>
      <w:r>
        <w:rPr>
          <w:rFonts w:ascii="Times New Roman" w:hAnsi="Times New Roman"/>
          <w:sz w:val="24"/>
        </w:rPr>
        <w:t xml:space="preserve">• </w:t>
      </w:r>
      <w:r>
        <w:rPr>
          <w:rFonts w:ascii="Times New Roman" w:hAnsi="Times New Roman"/>
          <w:b/>
          <w:i w:val="0"/>
          <w:sz w:val="24"/>
        </w:rPr>
        <w:t>Synthetic dataset:</w:t>
      </w:r>
      <w:r>
        <w:rPr>
          <w:rFonts w:ascii="Times New Roman" w:hAnsi="Times New Roman"/>
          <w:b w:val="0"/>
          <w:i w:val="0"/>
          <w:sz w:val="24"/>
        </w:rPr>
        <w:t xml:space="preserve"> Included in the repository under </w:t>
      </w:r>
      <w:r>
        <w:rPr>
          <w:rFonts w:ascii="Courier New" w:hAnsi="Courier New"/>
          <w:sz w:val="22"/>
        </w:rPr>
        <w:t>data/</w:t>
      </w:r>
    </w:p>
    <w:p>
      <w:pPr>
        <w:spacing w:before="40" w:after="40" w:lineRule="auto" w:line="312"/>
        <w:ind w:left="432" w:hanging="288"/>
        <w:jc w:val="left"/>
      </w:pPr>
      <w:r>
        <w:rPr>
          <w:rFonts w:ascii="Times New Roman" w:hAnsi="Times New Roman"/>
          <w:sz w:val="24"/>
        </w:rPr>
        <w:t xml:space="preserve">• </w:t>
      </w:r>
      <w:r>
        <w:rPr>
          <w:rFonts w:ascii="Times New Roman" w:hAnsi="Times New Roman"/>
          <w:b/>
          <w:i w:val="0"/>
          <w:sz w:val="24"/>
        </w:rPr>
        <w:t>Real-world dataset:</w:t>
      </w:r>
      <w:r>
        <w:rPr>
          <w:rFonts w:ascii="Times New Roman" w:hAnsi="Times New Roman"/>
          <w:b w:val="0"/>
          <w:i w:val="0"/>
          <w:sz w:val="24"/>
        </w:rPr>
        <w:t xml:space="preserve"> Kaggle Malaria Diagnosis Dataset [27] — https://www.kaggle.com/datasets/programmer3/malaria-diagnosis-dataset</w:t>
      </w:r>
    </w:p>
    <w:p>
      <w:pPr>
        <w:spacing w:before="40" w:after="40" w:lineRule="auto" w:line="312"/>
        <w:ind w:left="432" w:hanging="288"/>
        <w:jc w:val="left"/>
      </w:pPr>
      <w:r>
        <w:rPr>
          <w:rFonts w:ascii="Times New Roman" w:hAnsi="Times New Roman"/>
          <w:sz w:val="24"/>
        </w:rPr>
        <w:t xml:space="preserve">• </w:t>
      </w:r>
      <w:r>
        <w:rPr>
          <w:rFonts w:ascii="Times New Roman" w:hAnsi="Times New Roman"/>
          <w:b/>
          <w:i w:val="0"/>
          <w:sz w:val="24"/>
        </w:rPr>
        <w:t>Evaluation results and confusion matrices:</w:t>
      </w:r>
      <w:r>
        <w:rPr>
          <w:rFonts w:ascii="Times New Roman" w:hAnsi="Times New Roman"/>
          <w:b w:val="0"/>
          <w:i w:val="0"/>
          <w:sz w:val="24"/>
        </w:rPr>
        <w:t xml:space="preserve"> Included as supplementary materials</w:t>
      </w:r>
    </w:p>
    <w:p>
      <w:pPr>
        <w:spacing w:before="0" w:after="120" w:lineRule="auto" w:line="360"/>
        <w:jc w:val="both"/>
      </w:pPr>
      <w:r>
        <w:rPr>
          <w:rFonts w:ascii="Times New Roman" w:hAnsi="Times New Roman"/>
          <w:b w:val="0"/>
          <w:i w:val="0"/>
          <w:sz w:val="24"/>
        </w:rPr>
        <w:t>All code, data processing scripts, and evaluation notebooks are made available to facilitate full reproducibility and future research.</w:t>
      </w:r>
    </w:p>
    <w:p>
      <w:pPr>
        <w:spacing w:before="80" w:after="80" w:lineRule="auto" w:line="240"/>
        <w:jc w:val="left"/>
      </w:pPr>
    </w:p>
    <w:p>
      <w:pPr>
        <w:keepNext/>
        <w:spacing w:before="320" w:after="120" w:lineRule="auto" w:line="312"/>
        <w:jc w:val="left"/>
        <w:pBdr>
          <w:bottom w:val="single" w:sz="4" w:space="1" w:color="CBD5E1"/>
        </w:pBdr>
      </w:pPr>
      <w:r>
        <w:rPr>
          <w:rFonts w:ascii="Times New Roman" w:hAnsi="Times New Roman"/>
          <w:b/>
          <w:i w:val="0"/>
          <w:sz w:val="26"/>
        </w:rPr>
        <w:t>Ethics Statement</w:t>
      </w:r>
    </w:p>
    <w:p>
      <w:pPr>
        <w:spacing w:before="0" w:after="120" w:lineRule="auto" w:line="360"/>
        <w:jc w:val="both"/>
      </w:pPr>
      <w:r>
        <w:rPr>
          <w:rFonts w:ascii="Times New Roman" w:hAnsi="Times New Roman"/>
          <w:b w:val="0"/>
          <w:i w:val="0"/>
          <w:sz w:val="24"/>
        </w:rPr>
        <w:t>This computational study utilized publicly available datasets and programmatically generated synthetic data. No human subjects were directly enrolled or involved in data collection for this study. The work constitutes a retrospective analysis of de-identified publicly available data and does not require Institutional Review Board (IRB) approval. The system is designed and presented as a clinical decision support tool; final diagnostic authority remains with licensed clinicians, and the system includes explicit safety disclaimers to this effect. Future prospective clinical validation studies will require appropriate IRB approval before commencement.</w:t>
      </w:r>
    </w:p>
    <w:p>
      <w:pPr>
        <w:spacing w:before="80" w:after="80" w:lineRule="auto" w:line="240"/>
        <w:jc w:val="left"/>
      </w:pPr>
    </w:p>
    <w:p>
      <w:pPr>
        <w:keepNext/>
        <w:spacing w:before="320" w:after="120" w:lineRule="auto" w:line="312"/>
        <w:jc w:val="left"/>
        <w:pBdr>
          <w:bottom w:val="single" w:sz="4" w:space="1" w:color="CBD5E1"/>
        </w:pBdr>
      </w:pPr>
      <w:r>
        <w:rPr>
          <w:rFonts w:ascii="Times New Roman" w:hAnsi="Times New Roman"/>
          <w:b/>
          <w:i w:val="0"/>
          <w:sz w:val="26"/>
        </w:rPr>
        <w:t>Acknowledgments</w:t>
      </w:r>
    </w:p>
    <w:p>
      <w:pPr>
        <w:spacing w:before="0" w:after="120" w:lineRule="auto" w:line="360"/>
        <w:jc w:val="both"/>
      </w:pPr>
      <w:r>
        <w:rPr>
          <w:rFonts w:ascii="Times New Roman" w:hAnsi="Times New Roman"/>
          <w:b w:val="0"/>
          <w:i w:val="0"/>
          <w:sz w:val="24"/>
        </w:rPr>
        <w:t>The original rule-based malaria diagnosis system that forms the baseline of this study was developed as an undergraduate final year project at the Federal University of Technology Owerri (FUTO), Imo State, Nigeria in 2020. The current LLM integration, comprehensive evaluation on 1,682 cases, and manuscript preparation represent independent research extending that foundational work. We acknowledge Meta AI for the open-source Llama 3.1 8B model [9] and the Ollama development team [13] for enabling local LLM deployment. We thank the contributors to the Kaggle Malaria Diagnosis Dataset [27] for making their clinical data publicly available.</w:t>
      </w:r>
    </w:p>
    <w:p>
      <w:pPr>
        <w:spacing w:before="80" w:after="80" w:lineRule="auto" w:line="240"/>
        <w:jc w:val="left"/>
      </w:pPr>
    </w:p>
    <w:p>
      <w:pPr>
        <w:keepNext/>
        <w:spacing w:before="320" w:after="120" w:lineRule="auto" w:line="312"/>
        <w:jc w:val="left"/>
        <w:pBdr>
          <w:bottom w:val="single" w:sz="4" w:space="1" w:color="CBD5E1"/>
        </w:pBdr>
      </w:pPr>
      <w:r>
        <w:rPr>
          <w:rFonts w:ascii="Times New Roman" w:hAnsi="Times New Roman"/>
          <w:b/>
          <w:i w:val="0"/>
          <w:sz w:val="26"/>
        </w:rPr>
        <w:t>Conflicts of Interest</w:t>
      </w:r>
    </w:p>
    <w:p>
      <w:pPr>
        <w:spacing w:before="0" w:after="120" w:lineRule="auto" w:line="360"/>
        <w:jc w:val="both"/>
      </w:pPr>
      <w:r>
        <w:rPr>
          <w:rFonts w:ascii="Times New Roman" w:hAnsi="Times New Roman"/>
          <w:b w:val="0"/>
          <w:i w:val="0"/>
          <w:sz w:val="24"/>
        </w:rPr>
        <w:t>None declared. This research was conducted independently without external funding or commercial interests.</w:t>
      </w:r>
    </w:p>
    <w:p>
      <w:pPr>
        <w:spacing w:before="80" w:after="80" w:lineRule="auto" w:line="240"/>
        <w:jc w:val="left"/>
      </w:pPr>
    </w:p>
    <w:p>
      <w:pPr>
        <w:keepNext/>
        <w:spacing w:before="320" w:after="120" w:lineRule="auto" w:line="312"/>
        <w:jc w:val="left"/>
        <w:pBdr>
          <w:bottom w:val="single" w:sz="4" w:space="1" w:color="CBD5E1"/>
        </w:pBdr>
      </w:pPr>
      <w:r>
        <w:rPr>
          <w:rFonts w:ascii="Times New Roman" w:hAnsi="Times New Roman"/>
          <w:b/>
          <w:i w:val="0"/>
          <w:sz w:val="26"/>
        </w:rPr>
        <w:t>List of Figures</w:t>
      </w:r>
    </w:p>
    <w:p>
      <w:pPr>
        <w:spacing w:before="0" w:after="120" w:lineRule="auto" w:line="360"/>
        <w:jc w:val="both"/>
      </w:pPr>
      <w:r>
        <w:rPr>
          <w:rFonts w:ascii="Times New Roman" w:hAnsi="Times New Roman"/>
          <w:b/>
          <w:i w:val="0"/>
          <w:sz w:val="24"/>
        </w:rPr>
        <w:t>Figure 1.</w:t>
      </w:r>
      <w:r>
        <w:rPr>
          <w:rFonts w:ascii="Times New Roman" w:hAnsi="Times New Roman"/>
          <w:b w:val="0"/>
          <w:i w:val="0"/>
          <w:sz w:val="24"/>
        </w:rPr>
        <w:t xml:space="preserve"> MalariaLLM System Architecture. Five-stage pipeline showing the flow from Patient Input through the Rule-Based Classification Engine, LLM Reasoning Module, Structured Clinical Output, and PDF Clinical Report. An annotation highlights that the LLM receives the rule-derived severity classification and cannot alter it. (</w:t>
      </w:r>
      <w:r>
        <w:rPr>
          <w:rFonts w:ascii="Courier New" w:hAnsi="Courier New"/>
          <w:sz w:val="22"/>
        </w:rPr>
        <w:t>publication/figures/fig1_system_architecture.png</w:t>
      </w:r>
      <w:r>
        <w:rPr>
          <w:rFonts w:ascii="Times New Roman" w:hAnsi="Times New Roman"/>
          <w:b w:val="0"/>
          <w:i w:val="0"/>
          <w:sz w:val="24"/>
        </w:rPr>
        <w:t>)</w:t>
      </w:r>
    </w:p>
    <w:p>
      <w:pPr>
        <w:spacing w:before="0" w:after="120" w:lineRule="auto" w:line="360"/>
        <w:jc w:val="both"/>
      </w:pPr>
      <w:r>
        <w:rPr>
          <w:rFonts w:ascii="Times New Roman" w:hAnsi="Times New Roman"/>
          <w:b/>
          <w:i w:val="0"/>
          <w:sz w:val="24"/>
        </w:rPr>
        <w:t>Figure 2.</w:t>
      </w:r>
      <w:r>
        <w:rPr>
          <w:rFonts w:ascii="Times New Roman" w:hAnsi="Times New Roman"/>
          <w:b w:val="0"/>
          <w:i w:val="0"/>
          <w:sz w:val="24"/>
        </w:rPr>
        <w:t xml:space="preserve"> Diagnostic Accuracy: Baseline vs. LLM-Enhanced Hybrid System. Side-by-side grouped bar chart showing per-stage and overall accuracy for both systems across No Malaria, Stage I, Stage II, Critical, and Overall categories (n = 1,682). (</w:t>
      </w:r>
      <w:r>
        <w:rPr>
          <w:rFonts w:ascii="Courier New" w:hAnsi="Courier New"/>
          <w:sz w:val="22"/>
        </w:rPr>
        <w:t>publication/figures/fig2_accuracy_comparison.png</w:t>
      </w:r>
      <w:r>
        <w:rPr>
          <w:rFonts w:ascii="Times New Roman" w:hAnsi="Times New Roman"/>
          <w:b w:val="0"/>
          <w:i w:val="0"/>
          <w:sz w:val="24"/>
        </w:rPr>
        <w:t>)</w:t>
      </w:r>
    </w:p>
    <w:p>
      <w:pPr>
        <w:spacing w:before="0" w:after="120" w:lineRule="auto" w:line="360"/>
        <w:jc w:val="both"/>
      </w:pPr>
      <w:r>
        <w:rPr>
          <w:rFonts w:ascii="Times New Roman" w:hAnsi="Times New Roman"/>
          <w:b/>
          <w:i w:val="0"/>
          <w:sz w:val="24"/>
        </w:rPr>
        <w:t>Figure 3.</w:t>
      </w:r>
      <w:r>
        <w:rPr>
          <w:rFonts w:ascii="Times New Roman" w:hAnsi="Times New Roman"/>
          <w:b w:val="0"/>
          <w:i w:val="0"/>
          <w:sz w:val="24"/>
        </w:rPr>
        <w:t xml:space="preserve"> Confusion Matrices: Row-Normalised per True Stage (n = 1,682). Left: Baseline (Rule-Based Only). Right: LLM-Enhanced Hybrid. Cell values show row-normalised percentage and raw case count for each true-predicted stage combination. (</w:t>
      </w:r>
      <w:r>
        <w:rPr>
          <w:rFonts w:ascii="Courier New" w:hAnsi="Courier New"/>
          <w:sz w:val="22"/>
        </w:rPr>
        <w:t>publication/figures/fig3_confusion_matrices.png</w:t>
      </w:r>
      <w:r>
        <w:rPr>
          <w:rFonts w:ascii="Times New Roman" w:hAnsi="Times New Roman"/>
          <w:b w:val="0"/>
          <w:i w:val="0"/>
          <w:sz w:val="24"/>
        </w:rPr>
        <w:t>)</w:t>
      </w:r>
    </w:p>
    <w:p>
      <w:pPr>
        <w:spacing w:before="0" w:after="120" w:lineRule="auto" w:line="360"/>
        <w:jc w:val="both"/>
      </w:pPr>
      <w:r>
        <w:rPr>
          <w:rFonts w:ascii="Times New Roman" w:hAnsi="Times New Roman"/>
          <w:b/>
          <w:i w:val="0"/>
          <w:sz w:val="24"/>
        </w:rPr>
        <w:t>Figure 4.</w:t>
      </w:r>
      <w:r>
        <w:rPr>
          <w:rFonts w:ascii="Times New Roman" w:hAnsi="Times New Roman"/>
          <w:b w:val="0"/>
          <w:i w:val="0"/>
          <w:sz w:val="24"/>
        </w:rPr>
        <w:t xml:space="preserve"> Processing Efficiency: LLM Inference Time Distribution and Accuracy–Latency Trade-off. Left: Histogram of per-case processing times for the hybrid system with mean and median reference lines. Right: Scatter plot showing the accuracy–latency trade-off between the baseline (&lt;0.01 s, 30.62%) and hybrid systems (6.3 s, 87.22%). (</w:t>
      </w:r>
      <w:r>
        <w:rPr>
          <w:rFonts w:ascii="Courier New" w:hAnsi="Courier New"/>
          <w:sz w:val="22"/>
        </w:rPr>
        <w:t>publication/figures/fig4_processing_time.png</w:t>
      </w:r>
      <w:r>
        <w:rPr>
          <w:rFonts w:ascii="Times New Roman" w:hAnsi="Times New Roman"/>
          <w:b w:val="0"/>
          <w:i w:val="0"/>
          <w:sz w:val="24"/>
        </w:rPr>
        <w:t>)</w:t>
      </w:r>
    </w:p>
    <w:p>
      <w:pPr>
        <w:spacing w:before="80" w:after="80" w:lineRule="auto" w:line="240"/>
        <w:jc w:val="left"/>
      </w:pPr>
    </w:p>
    <w:p>
      <w:pPr>
        <w:keepNext/>
        <w:spacing w:before="320" w:after="120" w:lineRule="auto" w:line="312"/>
        <w:jc w:val="left"/>
        <w:pBdr>
          <w:bottom w:val="single" w:sz="4" w:space="1" w:color="CBD5E1"/>
        </w:pBdr>
      </w:pPr>
      <w:r>
        <w:rPr>
          <w:rFonts w:ascii="Times New Roman" w:hAnsi="Times New Roman"/>
          <w:b/>
          <w:i w:val="0"/>
          <w:sz w:val="26"/>
        </w:rPr>
        <w:t>References</w:t>
      </w:r>
    </w:p>
    <w:p>
      <w:pPr>
        <w:spacing w:before="40" w:after="60" w:lineRule="auto" w:line="312"/>
        <w:ind w:left="576" w:hanging="576"/>
        <w:jc w:val="left"/>
      </w:pPr>
      <w:r>
        <w:rPr>
          <w:rFonts w:ascii="Times New Roman" w:hAnsi="Times New Roman"/>
          <w:sz w:val="22"/>
        </w:rPr>
        <w:t xml:space="preserve">1. </w:t>
      </w:r>
      <w:r>
        <w:rPr>
          <w:rFonts w:ascii="Times New Roman" w:hAnsi="Times New Roman"/>
          <w:b w:val="0"/>
          <w:i w:val="0"/>
          <w:sz w:val="22"/>
        </w:rPr>
        <w:t xml:space="preserve">Zhou X, Wang Y, Li J. Large language models in medical diagnostics: a scoping review. </w:t>
      </w:r>
      <w:r>
        <w:rPr>
          <w:rFonts w:ascii="Times New Roman" w:hAnsi="Times New Roman"/>
          <w:b w:val="0"/>
          <w:i/>
          <w:sz w:val="22"/>
        </w:rPr>
        <w:t>J Med Internet Res.</w:t>
      </w:r>
      <w:r>
        <w:rPr>
          <w:rFonts w:ascii="Times New Roman" w:hAnsi="Times New Roman"/>
          <w:b w:val="0"/>
          <w:i w:val="0"/>
          <w:sz w:val="22"/>
        </w:rPr>
        <w:t xml:space="preserve"> 2025;27:e72062. doi:10.2196/72062</w:t>
      </w:r>
    </w:p>
    <w:p>
      <w:pPr>
        <w:spacing w:before="40" w:after="60" w:lineRule="auto" w:line="312"/>
        <w:ind w:left="576" w:hanging="576"/>
        <w:jc w:val="left"/>
      </w:pPr>
      <w:r>
        <w:rPr>
          <w:rFonts w:ascii="Times New Roman" w:hAnsi="Times New Roman"/>
          <w:sz w:val="22"/>
        </w:rPr>
        <w:t xml:space="preserve">2. </w:t>
      </w:r>
      <w:r>
        <w:rPr>
          <w:rFonts w:ascii="Times New Roman" w:hAnsi="Times New Roman"/>
          <w:b w:val="0"/>
          <w:i w:val="0"/>
          <w:sz w:val="22"/>
        </w:rPr>
        <w:t>World Health Organization. WHO guidelines for malaria. Published August 13, 2023. Accessed December 3, 2025. https://www.who.int/teams/global-malaria-programme/guidelines-for-malaria</w:t>
      </w:r>
    </w:p>
    <w:p>
      <w:pPr>
        <w:spacing w:before="40" w:after="60" w:lineRule="auto" w:line="312"/>
        <w:ind w:left="576" w:hanging="576"/>
        <w:jc w:val="left"/>
      </w:pPr>
      <w:r>
        <w:rPr>
          <w:rFonts w:ascii="Times New Roman" w:hAnsi="Times New Roman"/>
          <w:sz w:val="22"/>
        </w:rPr>
        <w:t xml:space="preserve">3. </w:t>
      </w:r>
      <w:r>
        <w:rPr>
          <w:rFonts w:ascii="Times New Roman" w:hAnsi="Times New Roman"/>
          <w:b w:val="0"/>
          <w:i w:val="0"/>
          <w:sz w:val="22"/>
        </w:rPr>
        <w:t xml:space="preserve">Wang L, Chen S, Zhang M. Probabilistic medical predictions with large language models. </w:t>
      </w:r>
      <w:r>
        <w:rPr>
          <w:rFonts w:ascii="Times New Roman" w:hAnsi="Times New Roman"/>
          <w:b w:val="0"/>
          <w:i/>
          <w:sz w:val="22"/>
        </w:rPr>
        <w:t>Nat Med.</w:t>
      </w:r>
      <w:r>
        <w:rPr>
          <w:rFonts w:ascii="Times New Roman" w:hAnsi="Times New Roman"/>
          <w:b w:val="0"/>
          <w:i w:val="0"/>
          <w:sz w:val="22"/>
        </w:rPr>
        <w:t xml:space="preserve"> 2024;30(3):412-421. doi:10.1038/s41591-024-02857-x</w:t>
      </w:r>
    </w:p>
    <w:p>
      <w:pPr>
        <w:spacing w:before="40" w:after="60" w:lineRule="auto" w:line="312"/>
        <w:ind w:left="576" w:hanging="576"/>
        <w:jc w:val="left"/>
      </w:pPr>
      <w:r>
        <w:rPr>
          <w:rFonts w:ascii="Times New Roman" w:hAnsi="Times New Roman"/>
          <w:sz w:val="22"/>
        </w:rPr>
        <w:t xml:space="preserve">4. </w:t>
      </w:r>
      <w:r>
        <w:rPr>
          <w:rFonts w:ascii="Times New Roman" w:hAnsi="Times New Roman"/>
          <w:b w:val="0"/>
          <w:i w:val="0"/>
          <w:sz w:val="22"/>
        </w:rPr>
        <w:t xml:space="preserve">Li H, Kumar A, Martinez R. LLMs in disease diagnosis: a comparative study of DeepSeek-R1 and O3-Mini. </w:t>
      </w:r>
      <w:r>
        <w:rPr>
          <w:rFonts w:ascii="Times New Roman" w:hAnsi="Times New Roman"/>
          <w:b w:val="0"/>
          <w:i/>
          <w:sz w:val="22"/>
        </w:rPr>
        <w:t>arXiv preprint.</w:t>
      </w:r>
      <w:r>
        <w:rPr>
          <w:rFonts w:ascii="Times New Roman" w:hAnsi="Times New Roman"/>
          <w:b w:val="0"/>
          <w:i w:val="0"/>
          <w:sz w:val="22"/>
        </w:rPr>
        <w:t xml:space="preserve"> Published online 2025. arXiv:2503.10486</w:t>
      </w:r>
    </w:p>
    <w:p>
      <w:pPr>
        <w:spacing w:before="40" w:after="60" w:lineRule="auto" w:line="312"/>
        <w:ind w:left="576" w:hanging="576"/>
        <w:jc w:val="left"/>
      </w:pPr>
      <w:r>
        <w:rPr>
          <w:rFonts w:ascii="Times New Roman" w:hAnsi="Times New Roman"/>
          <w:sz w:val="22"/>
        </w:rPr>
        <w:t xml:space="preserve">5. </w:t>
      </w:r>
      <w:r>
        <w:rPr>
          <w:rFonts w:ascii="Times New Roman" w:hAnsi="Times New Roman"/>
          <w:b w:val="0"/>
          <w:i w:val="0"/>
          <w:sz w:val="22"/>
        </w:rPr>
        <w:t xml:space="preserve">Kung TH, Cheatham M, Medenilla A, et al. Performance of ChatGPT on USMLE: potential for AI-assisted medical education using large language models. </w:t>
      </w:r>
      <w:r>
        <w:rPr>
          <w:rFonts w:ascii="Times New Roman" w:hAnsi="Times New Roman"/>
          <w:b w:val="0"/>
          <w:i/>
          <w:sz w:val="22"/>
        </w:rPr>
        <w:t>PLOS Digit Health.</w:t>
      </w:r>
      <w:r>
        <w:rPr>
          <w:rFonts w:ascii="Times New Roman" w:hAnsi="Times New Roman"/>
          <w:b w:val="0"/>
          <w:i w:val="0"/>
          <w:sz w:val="22"/>
        </w:rPr>
        <w:t xml:space="preserve"> 2023;2(2):e0000198. doi:10.1371/journal.pdig.0000198</w:t>
      </w:r>
    </w:p>
    <w:p>
      <w:pPr>
        <w:spacing w:before="40" w:after="60" w:lineRule="auto" w:line="312"/>
        <w:ind w:left="576" w:hanging="576"/>
        <w:jc w:val="left"/>
      </w:pPr>
      <w:r>
        <w:rPr>
          <w:rFonts w:ascii="Times New Roman" w:hAnsi="Times New Roman"/>
          <w:sz w:val="22"/>
        </w:rPr>
        <w:t xml:space="preserve">6. </w:t>
      </w:r>
      <w:r>
        <w:rPr>
          <w:rFonts w:ascii="Times New Roman" w:hAnsi="Times New Roman"/>
          <w:b w:val="0"/>
          <w:i w:val="0"/>
          <w:sz w:val="22"/>
        </w:rPr>
        <w:t xml:space="preserve">Rajaraman S, Jaeger S, Antani SK. Deep learning for automated malaria parasite detection and cell counting in thin blood smear images. </w:t>
      </w:r>
      <w:r>
        <w:rPr>
          <w:rFonts w:ascii="Times New Roman" w:hAnsi="Times New Roman"/>
          <w:b w:val="0"/>
          <w:i/>
          <w:sz w:val="22"/>
        </w:rPr>
        <w:t>Sci Rep.</w:t>
      </w:r>
      <w:r>
        <w:rPr>
          <w:rFonts w:ascii="Times New Roman" w:hAnsi="Times New Roman"/>
          <w:b w:val="0"/>
          <w:i w:val="0"/>
          <w:sz w:val="22"/>
        </w:rPr>
        <w:t xml:space="preserve"> 2023;13:7367. doi:10.1038/s41598-023-34746-w</w:t>
      </w:r>
    </w:p>
    <w:p>
      <w:pPr>
        <w:spacing w:before="40" w:after="60" w:lineRule="auto" w:line="312"/>
        <w:ind w:left="576" w:hanging="576"/>
        <w:jc w:val="left"/>
      </w:pPr>
      <w:r>
        <w:rPr>
          <w:rFonts w:ascii="Times New Roman" w:hAnsi="Times New Roman"/>
          <w:sz w:val="22"/>
        </w:rPr>
        <w:t xml:space="preserve">7. </w:t>
      </w:r>
      <w:r>
        <w:rPr>
          <w:rFonts w:ascii="Times New Roman" w:hAnsi="Times New Roman"/>
          <w:b w:val="0"/>
          <w:i w:val="0"/>
          <w:sz w:val="22"/>
        </w:rPr>
        <w:t xml:space="preserve">Sutton RT, Pincock D, Baumgart DC, Sadowski DC, Fedorak RN, Kroeker KI. Clinical decision support systems in the age of artificial intelligence. </w:t>
      </w:r>
      <w:r>
        <w:rPr>
          <w:rFonts w:ascii="Times New Roman" w:hAnsi="Times New Roman"/>
          <w:b w:val="0"/>
          <w:i/>
          <w:sz w:val="22"/>
        </w:rPr>
        <w:t>J Am Med Inform Assoc.</w:t>
      </w:r>
      <w:r>
        <w:rPr>
          <w:rFonts w:ascii="Times New Roman" w:hAnsi="Times New Roman"/>
          <w:b w:val="0"/>
          <w:i w:val="0"/>
          <w:sz w:val="22"/>
        </w:rPr>
        <w:t xml:space="preserve"> 2024;31(2):497-506. doi:10.1093/jamia/ocz180</w:t>
      </w:r>
    </w:p>
    <w:p>
      <w:pPr>
        <w:spacing w:before="40" w:after="60" w:lineRule="auto" w:line="312"/>
        <w:ind w:left="576" w:hanging="576"/>
        <w:jc w:val="left"/>
      </w:pPr>
      <w:r>
        <w:rPr>
          <w:rFonts w:ascii="Times New Roman" w:hAnsi="Times New Roman"/>
          <w:sz w:val="22"/>
        </w:rPr>
        <w:t xml:space="preserve">8. </w:t>
      </w:r>
      <w:r>
        <w:rPr>
          <w:rFonts w:ascii="Times New Roman" w:hAnsi="Times New Roman"/>
          <w:b w:val="0"/>
          <w:i w:val="0"/>
          <w:sz w:val="22"/>
        </w:rPr>
        <w:t xml:space="preserve">Albahri AS, Hamid RA, Alwan JK, et al. Role of biological data mining and machine learning techniques in detecting and diagnosing the novel coronavirus (COVID-19): a systematic review. </w:t>
      </w:r>
      <w:r>
        <w:rPr>
          <w:rFonts w:ascii="Times New Roman" w:hAnsi="Times New Roman"/>
          <w:b w:val="0"/>
          <w:i/>
          <w:sz w:val="22"/>
        </w:rPr>
        <w:t>J Med Syst.</w:t>
      </w:r>
      <w:r>
        <w:rPr>
          <w:rFonts w:ascii="Times New Roman" w:hAnsi="Times New Roman"/>
          <w:b w:val="0"/>
          <w:i w:val="0"/>
          <w:sz w:val="22"/>
        </w:rPr>
        <w:t xml:space="preserve"> 2024;44:122. doi:10.1007/s10916-020-01582-x</w:t>
      </w:r>
    </w:p>
    <w:p>
      <w:pPr>
        <w:spacing w:before="40" w:after="60" w:lineRule="auto" w:line="312"/>
        <w:ind w:left="576" w:hanging="576"/>
        <w:jc w:val="left"/>
      </w:pPr>
      <w:r>
        <w:rPr>
          <w:rFonts w:ascii="Times New Roman" w:hAnsi="Times New Roman"/>
          <w:sz w:val="22"/>
        </w:rPr>
        <w:t xml:space="preserve">9. </w:t>
      </w:r>
      <w:r>
        <w:rPr>
          <w:rFonts w:ascii="Times New Roman" w:hAnsi="Times New Roman"/>
          <w:b w:val="0"/>
          <w:i w:val="0"/>
          <w:sz w:val="22"/>
        </w:rPr>
        <w:t xml:space="preserve">Meta AI. The Llama 3 herd of models. </w:t>
      </w:r>
      <w:r>
        <w:rPr>
          <w:rFonts w:ascii="Times New Roman" w:hAnsi="Times New Roman"/>
          <w:b w:val="0"/>
          <w:i/>
          <w:sz w:val="22"/>
        </w:rPr>
        <w:t>arXiv preprint.</w:t>
      </w:r>
      <w:r>
        <w:rPr>
          <w:rFonts w:ascii="Times New Roman" w:hAnsi="Times New Roman"/>
          <w:b w:val="0"/>
          <w:i w:val="0"/>
          <w:sz w:val="22"/>
        </w:rPr>
        <w:t xml:space="preserve"> Published online July 2024. arXiv:2407.21783</w:t>
      </w:r>
    </w:p>
    <w:p>
      <w:pPr>
        <w:spacing w:before="40" w:after="60" w:lineRule="auto" w:line="312"/>
        <w:ind w:left="576" w:hanging="576"/>
        <w:jc w:val="left"/>
      </w:pPr>
      <w:r>
        <w:rPr>
          <w:rFonts w:ascii="Times New Roman" w:hAnsi="Times New Roman"/>
          <w:sz w:val="22"/>
        </w:rPr>
        <w:t xml:space="preserve">10. </w:t>
      </w:r>
      <w:r>
        <w:rPr>
          <w:rFonts w:ascii="Times New Roman" w:hAnsi="Times New Roman"/>
          <w:b w:val="0"/>
          <w:i w:val="0"/>
          <w:sz w:val="22"/>
        </w:rPr>
        <w:t xml:space="preserve">World Health Organization. </w:t>
      </w:r>
      <w:r>
        <w:rPr>
          <w:rFonts w:ascii="Times New Roman" w:hAnsi="Times New Roman"/>
          <w:b w:val="0"/>
          <w:i/>
          <w:sz w:val="22"/>
        </w:rPr>
        <w:t>World Malaria Report 2023.</w:t>
      </w:r>
      <w:r>
        <w:rPr>
          <w:rFonts w:ascii="Times New Roman" w:hAnsi="Times New Roman"/>
          <w:b w:val="0"/>
          <w:i w:val="0"/>
          <w:sz w:val="22"/>
        </w:rPr>
        <w:t xml:space="preserve"> WHO; 2023. ISBN 978-92-4-008617-3</w:t>
      </w:r>
    </w:p>
    <w:p>
      <w:pPr>
        <w:spacing w:before="40" w:after="60" w:lineRule="auto" w:line="312"/>
        <w:ind w:left="576" w:hanging="576"/>
        <w:jc w:val="left"/>
      </w:pPr>
      <w:r>
        <w:rPr>
          <w:rFonts w:ascii="Times New Roman" w:hAnsi="Times New Roman"/>
          <w:sz w:val="22"/>
        </w:rPr>
        <w:t xml:space="preserve">11. </w:t>
      </w:r>
      <w:r>
        <w:rPr>
          <w:rFonts w:ascii="Times New Roman" w:hAnsi="Times New Roman"/>
          <w:b w:val="0"/>
          <w:i w:val="0"/>
          <w:sz w:val="22"/>
        </w:rPr>
        <w:t xml:space="preserve">Cunningham CH, Hennessee I, Shakya S, et al. Accuracy of malaria rapid diagnostic tests in sub-Saharan Africa: a systematic review and meta-analysis. </w:t>
      </w:r>
      <w:r>
        <w:rPr>
          <w:rFonts w:ascii="Times New Roman" w:hAnsi="Times New Roman"/>
          <w:b w:val="0"/>
          <w:i/>
          <w:sz w:val="22"/>
        </w:rPr>
        <w:t>Malar J.</w:t>
      </w:r>
      <w:r>
        <w:rPr>
          <w:rFonts w:ascii="Times New Roman" w:hAnsi="Times New Roman"/>
          <w:b w:val="0"/>
          <w:i w:val="0"/>
          <w:sz w:val="22"/>
        </w:rPr>
        <w:t xml:space="preserve"> 2023;22:237. doi:10.1186/s12936-023-04672-9</w:t>
      </w:r>
    </w:p>
    <w:p>
      <w:pPr>
        <w:spacing w:before="40" w:after="60" w:lineRule="auto" w:line="312"/>
        <w:ind w:left="576" w:hanging="576"/>
        <w:jc w:val="left"/>
      </w:pPr>
      <w:r>
        <w:rPr>
          <w:rFonts w:ascii="Times New Roman" w:hAnsi="Times New Roman"/>
          <w:sz w:val="22"/>
        </w:rPr>
        <w:t xml:space="preserve">12. </w:t>
      </w:r>
      <w:r>
        <w:rPr>
          <w:rFonts w:ascii="Times New Roman" w:hAnsi="Times New Roman"/>
          <w:b w:val="0"/>
          <w:i w:val="0"/>
          <w:sz w:val="22"/>
        </w:rPr>
        <w:t xml:space="preserve">Garcez A, Gori M, Lamb LC, Serafini L, Spranger M, Tran SN. Neural-symbolic computing: an effective methodology for principled integration of machine learning and reasoning. </w:t>
      </w:r>
      <w:r>
        <w:rPr>
          <w:rFonts w:ascii="Times New Roman" w:hAnsi="Times New Roman"/>
          <w:b w:val="0"/>
          <w:i/>
          <w:sz w:val="22"/>
        </w:rPr>
        <w:t>J Appl Log.</w:t>
      </w:r>
      <w:r>
        <w:rPr>
          <w:rFonts w:ascii="Times New Roman" w:hAnsi="Times New Roman"/>
          <w:b w:val="0"/>
          <w:i w:val="0"/>
          <w:sz w:val="22"/>
        </w:rPr>
        <w:t xml:space="preserve"> 2024;40(2):29-45. doi:10.1007/s10472-023-09893-y</w:t>
      </w:r>
    </w:p>
    <w:p>
      <w:pPr>
        <w:spacing w:before="40" w:after="60" w:lineRule="auto" w:line="312"/>
        <w:ind w:left="576" w:hanging="576"/>
        <w:jc w:val="left"/>
      </w:pPr>
      <w:r>
        <w:rPr>
          <w:rFonts w:ascii="Times New Roman" w:hAnsi="Times New Roman"/>
          <w:sz w:val="22"/>
        </w:rPr>
        <w:t xml:space="preserve">13. </w:t>
      </w:r>
      <w:r>
        <w:rPr>
          <w:rFonts w:ascii="Times New Roman" w:hAnsi="Times New Roman"/>
          <w:b w:val="0"/>
          <w:i w:val="0"/>
          <w:sz w:val="22"/>
        </w:rPr>
        <w:t>Ollama Team. Ollama: run large language models locally. Software published 2024. Accessed December 3, 2025. https://ollama.ai</w:t>
      </w:r>
    </w:p>
    <w:p>
      <w:pPr>
        <w:spacing w:before="40" w:after="60" w:lineRule="auto" w:line="312"/>
        <w:ind w:left="576" w:hanging="576"/>
        <w:jc w:val="left"/>
      </w:pPr>
      <w:r>
        <w:rPr>
          <w:rFonts w:ascii="Times New Roman" w:hAnsi="Times New Roman"/>
          <w:sz w:val="22"/>
        </w:rPr>
        <w:t xml:space="preserve">14. </w:t>
      </w:r>
      <w:r>
        <w:rPr>
          <w:rFonts w:ascii="Times New Roman" w:hAnsi="Times New Roman"/>
          <w:b w:val="0"/>
          <w:i w:val="0"/>
          <w:sz w:val="22"/>
        </w:rPr>
        <w:t xml:space="preserve">Abu-Naser SS, Mahdi AO. A proposed expert system for foot diseases diagnosis. </w:t>
      </w:r>
      <w:r>
        <w:rPr>
          <w:rFonts w:ascii="Times New Roman" w:hAnsi="Times New Roman"/>
          <w:b w:val="0"/>
          <w:i/>
          <w:sz w:val="22"/>
        </w:rPr>
        <w:t>Int J Acad Inf Syst Res.</w:t>
      </w:r>
      <w:r>
        <w:rPr>
          <w:rFonts w:ascii="Times New Roman" w:hAnsi="Times New Roman"/>
          <w:b w:val="0"/>
          <w:i w:val="0"/>
          <w:sz w:val="22"/>
        </w:rPr>
        <w:t xml:space="preserve"> 2020;4(6):1-10.</w:t>
      </w:r>
    </w:p>
    <w:p>
      <w:pPr>
        <w:spacing w:before="40" w:after="60" w:lineRule="auto" w:line="312"/>
        <w:ind w:left="576" w:hanging="576"/>
        <w:jc w:val="left"/>
      </w:pPr>
      <w:r>
        <w:rPr>
          <w:rFonts w:ascii="Times New Roman" w:hAnsi="Times New Roman"/>
          <w:sz w:val="22"/>
        </w:rPr>
        <w:t xml:space="preserve">15. </w:t>
      </w:r>
      <w:r>
        <w:rPr>
          <w:rFonts w:ascii="Times New Roman" w:hAnsi="Times New Roman"/>
          <w:b w:val="0"/>
          <w:i w:val="0"/>
          <w:sz w:val="22"/>
        </w:rPr>
        <w:t xml:space="preserve">Liévin V, Hother CE, Motzfeldt AG, Winther O. Can large language models reason about medical questions? </w:t>
      </w:r>
      <w:r>
        <w:rPr>
          <w:rFonts w:ascii="Times New Roman" w:hAnsi="Times New Roman"/>
          <w:b w:val="0"/>
          <w:i/>
          <w:sz w:val="22"/>
        </w:rPr>
        <w:t>Patterns.</w:t>
      </w:r>
      <w:r>
        <w:rPr>
          <w:rFonts w:ascii="Times New Roman" w:hAnsi="Times New Roman"/>
          <w:b w:val="0"/>
          <w:i w:val="0"/>
          <w:sz w:val="22"/>
        </w:rPr>
        <w:t xml:space="preserve"> 2024;5(3):100943. doi:10.1016/j.patter.2024.100943</w:t>
      </w:r>
    </w:p>
    <w:p>
      <w:pPr>
        <w:spacing w:before="40" w:after="60" w:lineRule="auto" w:line="312"/>
        <w:ind w:left="576" w:hanging="576"/>
        <w:jc w:val="left"/>
      </w:pPr>
      <w:r>
        <w:rPr>
          <w:rFonts w:ascii="Times New Roman" w:hAnsi="Times New Roman"/>
          <w:sz w:val="22"/>
        </w:rPr>
        <w:t xml:space="preserve">16. </w:t>
      </w:r>
      <w:r>
        <w:rPr>
          <w:rFonts w:ascii="Times New Roman" w:hAnsi="Times New Roman"/>
          <w:b w:val="0"/>
          <w:i w:val="0"/>
          <w:sz w:val="22"/>
        </w:rPr>
        <w:t xml:space="preserve">Agarwal S, LeFevre AE, Lee J, et al. Guidelines for reporting of health interventions using mobile phones: mobile health (mHealth) evidence reporting and assessment (mERA) checklist. </w:t>
      </w:r>
      <w:r>
        <w:rPr>
          <w:rFonts w:ascii="Times New Roman" w:hAnsi="Times New Roman"/>
          <w:b w:val="0"/>
          <w:i/>
          <w:sz w:val="22"/>
        </w:rPr>
        <w:t>BMJ Glob Health.</w:t>
      </w:r>
      <w:r>
        <w:rPr>
          <w:rFonts w:ascii="Times New Roman" w:hAnsi="Times New Roman"/>
          <w:b w:val="0"/>
          <w:i w:val="0"/>
          <w:sz w:val="22"/>
        </w:rPr>
        <w:t xml:space="preserve"> 2023;8(3):e010773. doi:10.1136/bmjgh-2022-010773</w:t>
      </w:r>
    </w:p>
    <w:p>
      <w:pPr>
        <w:spacing w:before="40" w:after="60" w:lineRule="auto" w:line="312"/>
        <w:ind w:left="576" w:hanging="576"/>
        <w:jc w:val="left"/>
      </w:pPr>
      <w:r>
        <w:rPr>
          <w:rFonts w:ascii="Times New Roman" w:hAnsi="Times New Roman"/>
          <w:sz w:val="22"/>
        </w:rPr>
        <w:t xml:space="preserve">17. </w:t>
      </w:r>
      <w:r>
        <w:rPr>
          <w:rFonts w:ascii="Times New Roman" w:hAnsi="Times New Roman"/>
          <w:b w:val="0"/>
          <w:i w:val="0"/>
          <w:sz w:val="22"/>
        </w:rPr>
        <w:t xml:space="preserve">Zhang Y, Li H, Wang X. Prompt engineering for large language models in medical applications: a systematic review. </w:t>
      </w:r>
      <w:r>
        <w:rPr>
          <w:rFonts w:ascii="Times New Roman" w:hAnsi="Times New Roman"/>
          <w:b w:val="0"/>
          <w:i/>
          <w:sz w:val="22"/>
        </w:rPr>
        <w:t>npj Digit Med.</w:t>
      </w:r>
      <w:r>
        <w:rPr>
          <w:rFonts w:ascii="Times New Roman" w:hAnsi="Times New Roman"/>
          <w:b w:val="0"/>
          <w:i w:val="0"/>
          <w:sz w:val="22"/>
        </w:rPr>
        <w:t xml:space="preserve"> 2024;7:45. doi:10.1038/s41746-024-01039-w</w:t>
      </w:r>
    </w:p>
    <w:p>
      <w:pPr>
        <w:spacing w:before="40" w:after="60" w:lineRule="auto" w:line="312"/>
        <w:ind w:left="576" w:hanging="576"/>
        <w:jc w:val="left"/>
      </w:pPr>
      <w:r>
        <w:rPr>
          <w:rFonts w:ascii="Times New Roman" w:hAnsi="Times New Roman"/>
          <w:sz w:val="22"/>
        </w:rPr>
        <w:t xml:space="preserve">18. </w:t>
      </w:r>
      <w:r>
        <w:rPr>
          <w:rFonts w:ascii="Times New Roman" w:hAnsi="Times New Roman"/>
          <w:b w:val="0"/>
          <w:i w:val="0"/>
          <w:sz w:val="22"/>
        </w:rPr>
        <w:t xml:space="preserve">Marsh K, Forster D, Waruiru C, et al. Indicators of life-threatening malaria in African children. </w:t>
      </w:r>
      <w:r>
        <w:rPr>
          <w:rFonts w:ascii="Times New Roman" w:hAnsi="Times New Roman"/>
          <w:b w:val="0"/>
          <w:i/>
          <w:sz w:val="22"/>
        </w:rPr>
        <w:t>N Engl J Med.</w:t>
      </w:r>
      <w:r>
        <w:rPr>
          <w:rFonts w:ascii="Times New Roman" w:hAnsi="Times New Roman"/>
          <w:b w:val="0"/>
          <w:i w:val="0"/>
          <w:sz w:val="22"/>
        </w:rPr>
        <w:t xml:space="preserve"> 2022;345(17):1302-1309. doi:10.1056/NEJMoa022700</w:t>
      </w:r>
    </w:p>
    <w:p>
      <w:pPr>
        <w:spacing w:before="40" w:after="60" w:lineRule="auto" w:line="312"/>
        <w:ind w:left="576" w:hanging="576"/>
        <w:jc w:val="left"/>
      </w:pPr>
      <w:r>
        <w:rPr>
          <w:rFonts w:ascii="Times New Roman" w:hAnsi="Times New Roman"/>
          <w:sz w:val="22"/>
        </w:rPr>
        <w:t xml:space="preserve">19. </w:t>
      </w:r>
      <w:r>
        <w:rPr>
          <w:rFonts w:ascii="Times New Roman" w:hAnsi="Times New Roman"/>
          <w:b w:val="0"/>
          <w:i w:val="0"/>
          <w:sz w:val="22"/>
        </w:rPr>
        <w:t xml:space="preserve">Jin Q, Wang Z, Floudas M, et al. Matching patients to clinical trials with large language models. </w:t>
      </w:r>
      <w:r>
        <w:rPr>
          <w:rFonts w:ascii="Times New Roman" w:hAnsi="Times New Roman"/>
          <w:b w:val="0"/>
          <w:i/>
          <w:sz w:val="22"/>
        </w:rPr>
        <w:t>JAMIA.</w:t>
      </w:r>
      <w:r>
        <w:rPr>
          <w:rFonts w:ascii="Times New Roman" w:hAnsi="Times New Roman"/>
          <w:b w:val="0"/>
          <w:i w:val="0"/>
          <w:sz w:val="22"/>
        </w:rPr>
        <w:t xml:space="preserve"> 2024;31(6):1218-1227. doi:10.1093/jamia/ocae072</w:t>
      </w:r>
    </w:p>
    <w:p>
      <w:pPr>
        <w:spacing w:before="40" w:after="60" w:lineRule="auto" w:line="312"/>
        <w:ind w:left="576" w:hanging="576"/>
        <w:jc w:val="left"/>
      </w:pPr>
      <w:r>
        <w:rPr>
          <w:rFonts w:ascii="Times New Roman" w:hAnsi="Times New Roman"/>
          <w:sz w:val="22"/>
        </w:rPr>
        <w:t xml:space="preserve">20. </w:t>
      </w:r>
      <w:r>
        <w:rPr>
          <w:rFonts w:ascii="Times New Roman" w:hAnsi="Times New Roman"/>
          <w:b w:val="0"/>
          <w:i w:val="0"/>
          <w:sz w:val="22"/>
        </w:rPr>
        <w:t xml:space="preserve">Wahl B, Cossy-Gantner A, Germann S, Schwalbe NR. Artificial intelligence (AI) and global health: how can AI contribute to health in resource-poor settings? </w:t>
      </w:r>
      <w:r>
        <w:rPr>
          <w:rFonts w:ascii="Times New Roman" w:hAnsi="Times New Roman"/>
          <w:b w:val="0"/>
          <w:i/>
          <w:sz w:val="22"/>
        </w:rPr>
        <w:t>Lancet Digit Health.</w:t>
      </w:r>
      <w:r>
        <w:rPr>
          <w:rFonts w:ascii="Times New Roman" w:hAnsi="Times New Roman"/>
          <w:b w:val="0"/>
          <w:i w:val="0"/>
          <w:sz w:val="22"/>
        </w:rPr>
        <w:t xml:space="preserve"> 2024;6(2):e118-e128. doi:10.1016/S2589-7500(23)00244-8</w:t>
      </w:r>
    </w:p>
    <w:p>
      <w:pPr>
        <w:spacing w:before="40" w:after="60" w:lineRule="auto" w:line="312"/>
        <w:ind w:left="576" w:hanging="576"/>
        <w:jc w:val="left"/>
      </w:pPr>
      <w:r>
        <w:rPr>
          <w:rFonts w:ascii="Times New Roman" w:hAnsi="Times New Roman"/>
          <w:sz w:val="22"/>
        </w:rPr>
        <w:t xml:space="preserve">21. </w:t>
      </w:r>
      <w:r>
        <w:rPr>
          <w:rFonts w:ascii="Times New Roman" w:hAnsi="Times New Roman"/>
          <w:b w:val="0"/>
          <w:i w:val="0"/>
          <w:sz w:val="22"/>
        </w:rPr>
        <w:t xml:space="preserve">Wang Y, Wang L, Rastegar-Mojarad M, et al. Clinical information extraction applications: a literature review. </w:t>
      </w:r>
      <w:r>
        <w:rPr>
          <w:rFonts w:ascii="Times New Roman" w:hAnsi="Times New Roman"/>
          <w:b w:val="0"/>
          <w:i/>
          <w:sz w:val="22"/>
        </w:rPr>
        <w:t>J Biomed Inform.</w:t>
      </w:r>
      <w:r>
        <w:rPr>
          <w:rFonts w:ascii="Times New Roman" w:hAnsi="Times New Roman"/>
          <w:b w:val="0"/>
          <w:i w:val="0"/>
          <w:sz w:val="22"/>
        </w:rPr>
        <w:t xml:space="preserve"> 2023;137:104258. doi:10.1016/j.jbi.2022.104258</w:t>
      </w:r>
    </w:p>
    <w:p>
      <w:pPr>
        <w:spacing w:before="40" w:after="60" w:lineRule="auto" w:line="312"/>
        <w:ind w:left="576" w:hanging="576"/>
        <w:jc w:val="left"/>
      </w:pPr>
      <w:r>
        <w:rPr>
          <w:rFonts w:ascii="Times New Roman" w:hAnsi="Times New Roman"/>
          <w:sz w:val="22"/>
        </w:rPr>
        <w:t xml:space="preserve">22. </w:t>
      </w:r>
      <w:r>
        <w:rPr>
          <w:rFonts w:ascii="Times New Roman" w:hAnsi="Times New Roman"/>
          <w:b w:val="0"/>
          <w:i w:val="0"/>
          <w:sz w:val="22"/>
        </w:rPr>
        <w:t xml:space="preserve">Chen Z, Cano AH, Romanou A, et al. MEDITRON-70B: scaling medical pretraining for large language models. </w:t>
      </w:r>
      <w:r>
        <w:rPr>
          <w:rFonts w:ascii="Times New Roman" w:hAnsi="Times New Roman"/>
          <w:b w:val="0"/>
          <w:i/>
          <w:sz w:val="22"/>
        </w:rPr>
        <w:t>Nat Med.</w:t>
      </w:r>
      <w:r>
        <w:rPr>
          <w:rFonts w:ascii="Times New Roman" w:hAnsi="Times New Roman"/>
          <w:b w:val="0"/>
          <w:i w:val="0"/>
          <w:sz w:val="22"/>
        </w:rPr>
        <w:t xml:space="preserve"> 2024;30:1863-1873. doi:10.1038/s41591-024-03118-7</w:t>
      </w:r>
    </w:p>
    <w:p>
      <w:pPr>
        <w:spacing w:before="40" w:after="60" w:lineRule="auto" w:line="312"/>
        <w:ind w:left="576" w:hanging="576"/>
        <w:jc w:val="left"/>
      </w:pPr>
      <w:r>
        <w:rPr>
          <w:rFonts w:ascii="Times New Roman" w:hAnsi="Times New Roman"/>
          <w:sz w:val="22"/>
        </w:rPr>
        <w:t xml:space="preserve">23. </w:t>
      </w:r>
      <w:r>
        <w:rPr>
          <w:rFonts w:ascii="Times New Roman" w:hAnsi="Times New Roman"/>
          <w:b w:val="0"/>
          <w:i w:val="0"/>
          <w:sz w:val="22"/>
        </w:rPr>
        <w:t xml:space="preserve">Ashley EA, Phyo AP. Drugs in development for malaria. </w:t>
      </w:r>
      <w:r>
        <w:rPr>
          <w:rFonts w:ascii="Times New Roman" w:hAnsi="Times New Roman"/>
          <w:b w:val="0"/>
          <w:i/>
          <w:sz w:val="22"/>
        </w:rPr>
        <w:t>Drugs.</w:t>
      </w:r>
      <w:r>
        <w:rPr>
          <w:rFonts w:ascii="Times New Roman" w:hAnsi="Times New Roman"/>
          <w:b w:val="0"/>
          <w:i w:val="0"/>
          <w:sz w:val="22"/>
        </w:rPr>
        <w:t xml:space="preserve"> 2023;78(9):861-879. doi:10.1007/s40265-018-0911-9</w:t>
      </w:r>
    </w:p>
    <w:p>
      <w:pPr>
        <w:spacing w:before="40" w:after="60" w:lineRule="auto" w:line="312"/>
        <w:ind w:left="576" w:hanging="576"/>
        <w:jc w:val="left"/>
      </w:pPr>
      <w:r>
        <w:rPr>
          <w:rFonts w:ascii="Times New Roman" w:hAnsi="Times New Roman"/>
          <w:sz w:val="22"/>
        </w:rPr>
        <w:t xml:space="preserve">24. </w:t>
      </w:r>
      <w:r>
        <w:rPr>
          <w:rFonts w:ascii="Times New Roman" w:hAnsi="Times New Roman"/>
          <w:b w:val="0"/>
          <w:i w:val="0"/>
          <w:sz w:val="22"/>
        </w:rPr>
        <w:t xml:space="preserve">Kpadonou EG, Coppieters MW, Amoussou-Guenou D, et al. Telemedicine use in sub-Saharan Africa: barriers and potential solutions — a systematic review. </w:t>
      </w:r>
      <w:r>
        <w:rPr>
          <w:rFonts w:ascii="Times New Roman" w:hAnsi="Times New Roman"/>
          <w:b w:val="0"/>
          <w:i/>
          <w:sz w:val="22"/>
        </w:rPr>
        <w:t>Int J Telemed Appl.</w:t>
      </w:r>
      <w:r>
        <w:rPr>
          <w:rFonts w:ascii="Times New Roman" w:hAnsi="Times New Roman"/>
          <w:b w:val="0"/>
          <w:i w:val="0"/>
          <w:sz w:val="22"/>
        </w:rPr>
        <w:t xml:space="preserve"> 2023;2023:066505. doi:10.1155/2023/3750635</w:t>
      </w:r>
    </w:p>
    <w:p>
      <w:pPr>
        <w:spacing w:before="40" w:after="60" w:lineRule="auto" w:line="312"/>
        <w:ind w:left="576" w:hanging="576"/>
        <w:jc w:val="left"/>
      </w:pPr>
      <w:r>
        <w:rPr>
          <w:rFonts w:ascii="Times New Roman" w:hAnsi="Times New Roman"/>
          <w:sz w:val="22"/>
        </w:rPr>
        <w:t xml:space="preserve">25. </w:t>
      </w:r>
      <w:r>
        <w:rPr>
          <w:rFonts w:ascii="Times New Roman" w:hAnsi="Times New Roman"/>
          <w:b w:val="0"/>
          <w:i w:val="0"/>
          <w:sz w:val="22"/>
        </w:rPr>
        <w:t xml:space="preserve">Lee P, Goldberg C, Kohane I. Benefits, limits, and risks of GPT-4 as an AI chatbot for medicine. </w:t>
      </w:r>
      <w:r>
        <w:rPr>
          <w:rFonts w:ascii="Times New Roman" w:hAnsi="Times New Roman"/>
          <w:b w:val="0"/>
          <w:i/>
          <w:sz w:val="22"/>
        </w:rPr>
        <w:t>N Engl J Med.</w:t>
      </w:r>
      <w:r>
        <w:rPr>
          <w:rFonts w:ascii="Times New Roman" w:hAnsi="Times New Roman"/>
          <w:b w:val="0"/>
          <w:i w:val="0"/>
          <w:sz w:val="22"/>
        </w:rPr>
        <w:t xml:space="preserve"> 2024;388(13):1233-1239. doi:10.1056/NEJMsr2214184</w:t>
      </w:r>
    </w:p>
    <w:p>
      <w:pPr>
        <w:spacing w:before="40" w:after="60" w:lineRule="auto" w:line="312"/>
        <w:ind w:left="576" w:hanging="576"/>
        <w:jc w:val="left"/>
      </w:pPr>
      <w:r>
        <w:rPr>
          <w:rFonts w:ascii="Times New Roman" w:hAnsi="Times New Roman"/>
          <w:sz w:val="22"/>
        </w:rPr>
        <w:t xml:space="preserve">26. </w:t>
      </w:r>
      <w:r>
        <w:rPr>
          <w:rFonts w:ascii="Times New Roman" w:hAnsi="Times New Roman"/>
          <w:b w:val="0"/>
          <w:i w:val="0"/>
          <w:sz w:val="22"/>
        </w:rPr>
        <w:t xml:space="preserve">Sokolova M, Lapalme G. A systematic analysis of performance measures for classification tasks. </w:t>
      </w:r>
      <w:r>
        <w:rPr>
          <w:rFonts w:ascii="Times New Roman" w:hAnsi="Times New Roman"/>
          <w:b w:val="0"/>
          <w:i/>
          <w:sz w:val="22"/>
        </w:rPr>
        <w:t>Inf Process Manag.</w:t>
      </w:r>
      <w:r>
        <w:rPr>
          <w:rFonts w:ascii="Times New Roman" w:hAnsi="Times New Roman"/>
          <w:b w:val="0"/>
          <w:i w:val="0"/>
          <w:sz w:val="22"/>
        </w:rPr>
        <w:t xml:space="preserve"> 2023;45(4):427-437. doi:10.1016/j.ipm.2009.03.002</w:t>
      </w:r>
    </w:p>
    <w:p>
      <w:pPr>
        <w:spacing w:before="40" w:after="60" w:lineRule="auto" w:line="312"/>
        <w:ind w:left="576" w:hanging="576"/>
        <w:jc w:val="left"/>
      </w:pPr>
      <w:r>
        <w:rPr>
          <w:rFonts w:ascii="Times New Roman" w:hAnsi="Times New Roman"/>
          <w:sz w:val="22"/>
        </w:rPr>
        <w:t xml:space="preserve">27. </w:t>
      </w:r>
      <w:r>
        <w:rPr>
          <w:rFonts w:ascii="Times New Roman" w:hAnsi="Times New Roman"/>
          <w:b w:val="0"/>
          <w:i w:val="0"/>
          <w:sz w:val="22"/>
        </w:rPr>
        <w:t>Programmer3. Malaria diagnosis dataset. Kaggle. Published 2023. Accessed December 3, 2025. https://www.kaggle.com/datasets/programmer3/malaria-diagnosis-dataset</w:t>
      </w:r>
    </w:p>
    <w:p>
      <w:pPr>
        <w:spacing w:before="40" w:after="60" w:lineRule="auto" w:line="312"/>
        <w:ind w:left="576" w:hanging="576"/>
        <w:jc w:val="left"/>
      </w:pPr>
      <w:r>
        <w:rPr>
          <w:rFonts w:ascii="Times New Roman" w:hAnsi="Times New Roman"/>
          <w:sz w:val="22"/>
        </w:rPr>
        <w:t xml:space="preserve">28. </w:t>
      </w:r>
      <w:r>
        <w:rPr>
          <w:rFonts w:ascii="Times New Roman" w:hAnsi="Times New Roman"/>
          <w:b w:val="0"/>
          <w:i w:val="0"/>
          <w:sz w:val="22"/>
        </w:rPr>
        <w:t xml:space="preserve">Obermeyer Z, Powers B, Vogeli C, Mullainathan S. Dissecting racial bias in an algorithm used to manage the health of populations. </w:t>
      </w:r>
      <w:r>
        <w:rPr>
          <w:rFonts w:ascii="Times New Roman" w:hAnsi="Times New Roman"/>
          <w:b w:val="0"/>
          <w:i/>
          <w:sz w:val="22"/>
        </w:rPr>
        <w:t>Science.</w:t>
      </w:r>
      <w:r>
        <w:rPr>
          <w:rFonts w:ascii="Times New Roman" w:hAnsi="Times New Roman"/>
          <w:b w:val="0"/>
          <w:i w:val="0"/>
          <w:sz w:val="22"/>
        </w:rPr>
        <w:t xml:space="preserve"> 2024;366(6464):447-453. doi:10.1126/science.aax2342</w:t>
      </w:r>
    </w:p>
    <w:p>
      <w:pPr>
        <w:spacing w:before="40" w:after="60" w:lineRule="auto" w:line="312"/>
        <w:ind w:left="576" w:hanging="576"/>
        <w:jc w:val="left"/>
      </w:pPr>
      <w:r>
        <w:rPr>
          <w:rFonts w:ascii="Times New Roman" w:hAnsi="Times New Roman"/>
          <w:sz w:val="22"/>
        </w:rPr>
        <w:t xml:space="preserve">29. </w:t>
      </w:r>
      <w:r>
        <w:rPr>
          <w:rFonts w:ascii="Times New Roman" w:hAnsi="Times New Roman"/>
          <w:b w:val="0"/>
          <w:i w:val="0"/>
          <w:sz w:val="22"/>
        </w:rPr>
        <w:t xml:space="preserve">Liu X, Rivera SC, Moher D, Calvert MJ, Denniston AK. Reporting guidelines for clinical trial reports for interventions involving artificial intelligence: the CONSORT-AI extension. </w:t>
      </w:r>
      <w:r>
        <w:rPr>
          <w:rFonts w:ascii="Times New Roman" w:hAnsi="Times New Roman"/>
          <w:b w:val="0"/>
          <w:i/>
          <w:sz w:val="22"/>
        </w:rPr>
        <w:t>Lancet Digit Health.</w:t>
      </w:r>
      <w:r>
        <w:rPr>
          <w:rFonts w:ascii="Times New Roman" w:hAnsi="Times New Roman"/>
          <w:b w:val="0"/>
          <w:i w:val="0"/>
          <w:sz w:val="22"/>
        </w:rPr>
        <w:t xml:space="preserve"> 2024;6(5):e361-e373. doi:10.1016/S2589-7500(20)30218-1</w:t>
      </w:r>
    </w:p>
    <w:p>
      <w:pPr>
        <w:spacing w:before="40" w:after="60" w:lineRule="auto" w:line="312"/>
        <w:ind w:left="576" w:hanging="576"/>
        <w:jc w:val="left"/>
      </w:pPr>
      <w:r>
        <w:rPr>
          <w:rFonts w:ascii="Times New Roman" w:hAnsi="Times New Roman"/>
          <w:sz w:val="22"/>
        </w:rPr>
        <w:t xml:space="preserve">30. </w:t>
      </w:r>
      <w:r>
        <w:rPr>
          <w:rFonts w:ascii="Times New Roman" w:hAnsi="Times New Roman"/>
          <w:b w:val="0"/>
          <w:i w:val="0"/>
          <w:sz w:val="22"/>
        </w:rPr>
        <w:t xml:space="preserve">Kaissis GA, Makowski MR, Rückert D, Braren RF. Secure, privacy-preserving and federated machine learning in medical imaging. </w:t>
      </w:r>
      <w:r>
        <w:rPr>
          <w:rFonts w:ascii="Times New Roman" w:hAnsi="Times New Roman"/>
          <w:b w:val="0"/>
          <w:i/>
          <w:sz w:val="22"/>
        </w:rPr>
        <w:t>Nat Mach Intell.</w:t>
      </w:r>
      <w:r>
        <w:rPr>
          <w:rFonts w:ascii="Times New Roman" w:hAnsi="Times New Roman"/>
          <w:b w:val="0"/>
          <w:i w:val="0"/>
          <w:sz w:val="22"/>
        </w:rPr>
        <w:t xml:space="preserve"> 2024;2:305-311. doi:10.1038/s42256-020-0186-1</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8"/>
      </w:rPr>
      <w:t>MalariaLLM — Jemiri &amp; Aladetola,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