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VLM Benchmark Table v3</w:t>
      </w:r>
    </w:p>
    <w:p>
      <w:pPr>
        <w:pStyle w:val="Heading2"/>
      </w:pPr>
      <w:r>
        <w:t xml:space="preserve">Table 1. Specifications, capacity, and throughput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50"/>
        <w:gridCol w:w="950"/>
        <w:gridCol w:w="2000"/>
        <w:gridCol w:w="1850"/>
        <w:gridCol w:w="1150"/>
        <w:gridCol w:w="950"/>
        <w:gridCol w:w="1360"/>
        <w:gridCol w:w="145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Developer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Released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Modalities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License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Context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Approx VRAM (bf16)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Throughput (tok/s, H100)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2B effective (PLE)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~1.5 GB (int4)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effective (PLE)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Hugging Face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Feb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2.2B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Image, multi-image, video, text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~4.4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~8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~8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Microsoft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Feb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5.6B (LoRA adapters)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speech/audio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~11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Jan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~32K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OpenGVLab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~24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12B dense (encoder-free)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~24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OpenGVLab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~28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26B total, ~4B active (MoE)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~50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~54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30B total, ~3B active (MoE)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~60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~32K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~64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~64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31B dense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~62 GB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Table 2. Published benchmark scores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4"/>
        <w:gridCol w:w="1508"/>
        <w:gridCol w:w="1508"/>
        <w:gridCol w:w="1508"/>
        <w:gridCol w:w="1508"/>
        <w:gridCol w:w="1508"/>
        <w:gridCol w:w="1508"/>
        <w:gridCol w:w="1508"/>
      </w:tblGrid>
      <w:tr>
        <w:trPr>
          <w:tblHeader/>
        </w:trP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MMMU val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MMMU-Pro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DocVQA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ChartQA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AI2D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OCRBench (/1000)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MathVista (%)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42.0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729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51.5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84.1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74.8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38.5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93.2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81.4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82.3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844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62.4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58.6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38.3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68.2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96.1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92.7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75.2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69.1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74.2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60.4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80.1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76.0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96.9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83.8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76.9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2026-06-25T17:03:22.475Z</dcterms:created>
  <dcterms:modified xsi:type="dcterms:W3CDTF">2026-06-25T17:03:22.491Z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