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VLM Benchmark Table v6</w:t>
      </w:r>
    </w:p>
    <w:p>
      <w:pPr>
        <w:pStyle w:val="Heading2"/>
      </w:pPr>
      <w:r>
        <w:t xml:space="preserve">Table 1. Specifications, capacity, and throughput</w:t>
      </w:r>
    </w:p>
    <w:tbl>
      <w:tblPr>
        <w:tblW w:type="dxa" w:w="12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900"/>
        <w:gridCol w:w="1750"/>
        <w:gridCol w:w="1650"/>
        <w:gridCol w:w="1050"/>
        <w:gridCol w:w="850"/>
        <w:gridCol w:w="1250"/>
        <w:gridCol w:w="1350"/>
        <w:gridCol w:w="95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Developer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Released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Parameters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Modalities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License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Context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Approx VRAM (bf16)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Est. throughput (tok/s, H100)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H100 Fits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E2B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2B effective (PLE)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video, audio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~1.5 GB (int4)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377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E4B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4B effective (PLE)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video, audio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~3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188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SmolVLM2-2.2B-Instruct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Hugging Face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Feb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2.2B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Image, multi-image, video, text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~4.4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343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Qwen3-VL-4B-Instruct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~8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188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4B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~8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188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Phi-4-multimodal-instruct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Microsoft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Feb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5.6B (LoRA adapters)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speech/audio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MIT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~11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135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Qwen2.5-VL-7B-Instruct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Jan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~32K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~16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108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Qwen3-VL-8B-Instruct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~16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InternVL3-8B (hf)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OpenGVLab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~16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12B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~24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12B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12B dense (encoder-free)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video, audio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256K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~24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InternVL3-14B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OpenGVLab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~28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26B-A4B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26B total, ~4B active (MoE)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256K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~50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27B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128K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~54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Qwen3-VL-30B-A3B-Instruct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30B total, ~3B active (MoE)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~60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Qwen2.5-VL-32B-Instruct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Mar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~32K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Qwen3-VL-32B-Instruct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Alibaba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Oct 2025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262K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~64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Yes*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31B (it)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Apr 2026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31B dense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Text, image, video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Apache-2.0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256K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~62 GB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No</w:t>
            </w:r>
          </w:p>
        </w:tc>
      </w:tr>
    </w:tbl>
    <w:p>
      <w:pPr>
        <w:spacing w:after="60" w:before="60"/>
      </w:pPr>
      <w:r>
        <w:rPr>
          <w:i/>
          <w:iCs/>
          <w:sz w:val="16"/>
          <w:szCs w:val="16"/>
        </w:rPr>
        <w:t xml:space="preserve">*: Some quantization may be needed for full context window availability</w:t>
      </w:r>
    </w:p>
    <w:p>
      <w:pPr>
        <w:spacing w:after="60" w:before="60"/>
      </w:pPr>
      <w:r>
        <w:rPr>
          <w:i/>
          <w:iCs/>
          <w:sz w:val="16"/>
          <w:szCs w:val="16"/>
        </w:rPr>
        <w:t xml:space="preserve">Est. throughput is a projection, not a measurement (basis in the Table 3 notes). It is populated only for models at or below 16 GB. n/e = not estimated: above 16 GB the practical throughput depends on quantization scheme, MoE routing behaviour, and KV cache pressure, so a projection would not be defensible. Those rows are measured directly instead.</w:t>
      </w:r>
    </w:p>
    <w:p>
      <w:pPr>
        <w:pStyle w:val="Heading2"/>
      </w:pPr>
      <w:r>
        <w:t xml:space="preserve">Table 2. Published benchmark scores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4"/>
        <w:gridCol w:w="1508"/>
        <w:gridCol w:w="1508"/>
        <w:gridCol w:w="1508"/>
        <w:gridCol w:w="1508"/>
        <w:gridCol w:w="1508"/>
        <w:gridCol w:w="1508"/>
        <w:gridCol w:w="1508"/>
      </w:tblGrid>
      <w:tr>
        <w:trPr>
          <w:tblHeader/>
        </w:trP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MMMU val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MMMU-Pro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DocVQA test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ChartQA test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AI2D test (%)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OCRBench (/1000)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MathVista (%)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E2B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E4B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SmolVLM2-2.2B-Instruct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42.0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80.0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68.7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729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51.5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Qwen3-VL-4B-Instruct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95.3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83.3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84.1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881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4B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75.8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74.8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Phi-4-multimodal-instruct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38.5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93.2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81.4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82.3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844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62.4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Qwen2.5-VL-7B-Instruct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58.6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38.3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95.7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87.3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68.2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Qwen3-VL-8B-Instruct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96.1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85.7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896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InternVL3-8B (hf)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65.6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92.7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86.6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85.2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880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75.2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12B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87.1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12B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69.1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InternVL3-14B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26B-A4B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94.9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27B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Qwen3-VL-30B-A3B-Instruct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74.2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60.4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95.0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86.8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85.0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80.1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Qwen2.5-VL-32B-Instruct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Qwen3-VL-32B-Instruct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76.0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65.3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96.9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88.5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89.5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895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83.8</w:t>
            </w:r>
          </w:p>
        </w:tc>
      </w:tr>
      <w:tr>
        <w:tc>
          <w:tcPr>
            <w:tcW w:type="dxa" w:w="24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31B (it)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76.9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  <w:tc>
          <w:tcPr>
            <w:tcW w:type="dxa" w:w="15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NR</w:t>
            </w:r>
          </w:p>
        </w:tc>
      </w:tr>
    </w:tbl>
    <w:p>
      <w:pPr>
        <w:pStyle w:val="Heading2"/>
      </w:pPr>
      <w:r>
        <w:t xml:space="preserve">Table 3. Cost on a single H100 80GB (SageMaker ml.p5.4xlarge)</w:t>
      </w:r>
    </w:p>
    <w:tbl>
      <w:tblPr>
        <w:tblW w:type="dxa" w:w="12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150"/>
        <w:gridCol w:w="1000"/>
        <w:gridCol w:w="950"/>
        <w:gridCol w:w="1150"/>
        <w:gridCol w:w="1400"/>
        <w:gridCol w:w="1000"/>
        <w:gridCol w:w="1250"/>
        <w:gridCol w:w="1150"/>
        <w:gridCol w:w="1250"/>
      </w:tblGrid>
      <w:tr>
        <w:trPr>
          <w:tblHeader/>
        </w:trP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Model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Est. decode (tok/s)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Est. sec/doc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Est. docs/hr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On-demand ($/hr)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Est. cost/doc on-demand ($)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Spot ($/hr)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Est. cost/doc spot ($)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MEASURED tok/s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MEASURED cost/doc ($)</w:t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E2B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377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2.96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1215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0.0065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0.0036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E4B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5.68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634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0.0125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0.0070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SmolVLM2-2.2B-Instruct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343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3.23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1113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0.0071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0.0040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Qwen3-VL-4B-Instruct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5.68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634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0.0125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0.0070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4B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5.68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634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0.0125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0.0070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Phi-4-multimodal-instruct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135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7.85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459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0.0172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0.0097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Qwen2.5-VL-7B-Instruct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9.75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369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0.0214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0.0120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Qwen3-VL-8B-Instruct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11.10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0.0244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0.0137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InternVL3-8B (hf)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11.10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324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0.0244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0.0137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12B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12B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InternVL3-14B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26B-A4B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3 27B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Qwen3-VL-30B-A3B-Instruct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Qwen2.5-VL-32B-Instruct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Qwen3-VL-32B-Instruct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Gemma 4 31B (it)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7.91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4.43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n/e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60"/>
      </w:pPr>
      <w:r>
        <w:rPr>
          <w:i/>
          <w:iCs/>
          <w:sz w:val="16"/>
          <w:szCs w:val="16"/>
        </w:rPr>
        <w:t xml:space="preserve">Pricing: ml.p5.4xlarge (1x NVIDIA H100 80GB), us-east-1 on-demand at 7.91 USD/hr. Cross-checked two ways: ml.p5.48xlarge at 63.296 USD/hr divided by 8 GPUs, and EC2 p5.4xlarge at 6.88 USD/hr plus the SageMaker uplift. Spot at 4.43 USD/hr applies the ~44 percent P5 spot discount. Other regions are higher (Mumbai ~9.49, Tokyo ~9.89, London ~10.29 USD/hr). SageMaker managed spot applies to training and processing jobs, not real-time endpoints. The USD/hr columns are a property of the instance, so they are identical for every model; only throughput differs, and that is what drives cost per document.</w:t>
      </w:r>
    </w:p>
    <w:p>
      <w:pPr>
        <w:spacing w:after="60" w:before="60"/>
      </w:pPr>
      <w:r>
        <w:rPr>
          <w:i/>
          <w:iCs/>
          <w:sz w:val="16"/>
          <w:szCs w:val="16"/>
        </w:rPr>
        <w:t xml:space="preserve">One document = one page image in, ~1000 output tokens out. Estimate basis: batch size 1, bf16, optimized serving stack (vLLM class). Decode is memory-bandwidth bound, so tok/s = (3350 GB/s x 0.45) / (2 bytes x active parameters), where 0.45 is the sustained fraction of peak HBM bandwidth realistically achieved at batch 1 after attention, KV traffic, and framework overhead. Sec/doc adds a per-document overhead of 0.25 s plus 0.03 s per billion total parameters for image preprocessing, vision encoding, and prefill. Active parameters are used, so an MoE model would estimate faster than its total size suggests.</w:t>
      </w:r>
    </w:p>
    <w:p>
      <w:pPr>
        <w:spacing w:after="60" w:before="60"/>
      </w:pPr>
      <w:r>
        <w:rPr>
          <w:i/>
          <w:iCs/>
          <w:sz w:val="16"/>
          <w:szCs w:val="16"/>
        </w:rPr>
        <w:t xml:space="preserve">These are engineering projections for planning and ranking, not measurements, and they are not evidence for the ticket. Expect real values within roughly plus or minus 40 percent: throughput is sensitive to serving stack, image resolution and token budget, output length, and batch size, and batching well above 1 will raise docs/hr and lower cost per document substantially. The MEASURED columns are intentionally blank for every model; fill them from the SageMaker runs and treat them as the numbers of record. Formula: cost per document = (USD per hour) / 3600 x (seconds per document).</w:t>
      </w:r>
    </w:p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2026-07-16T16:57:36.147Z</dcterms:created>
  <dcterms:modified xsi:type="dcterms:W3CDTF">2026-07-16T16:57:36.165Z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