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sz w:val="32"/>
          <w:szCs w:val="32"/>
        </w:rPr>
        <w:t xml:space="preserve">Open Source OCR Models for Enterprise Deployment</w:t>
      </w:r>
    </w:p>
    <w:p>
      <w:pPr>
        <w:spacing w:after="360" w:before="0"/>
      </w:pPr>
      <w:r>
        <w:rPr>
          <w:rFonts w:ascii="Calibri" w:cs="Calibri" w:eastAsia="Calibri" w:hAnsi="Calibri"/>
          <w:color w:val="595959"/>
          <w:sz w:val="24"/>
          <w:szCs w:val="24"/>
        </w:rPr>
        <w:t xml:space="preserve">Benchmarking Shortlist, April 2026</w:t>
      </w:r>
    </w:p>
    <w:p>
      <w:pPr>
        <w:spacing w:after="120" w:before="0"/>
      </w:pPr>
      <w:r>
        <w:rPr>
          <w:rFonts w:ascii="Calibri" w:cs="Calibri" w:eastAsia="Calibri" w:hAnsi="Calibri"/>
          <w:b/>
          <w:bCs/>
          <w:sz w:val="22"/>
          <w:szCs w:val="22"/>
        </w:rPr>
        <w:t xml:space="preserve">Purpose</w:t>
      </w:r>
    </w:p>
    <w:p>
      <w:pPr>
        <w:spacing w:after="200" w:before="0"/>
      </w:pPr>
      <w:r>
        <w:rPr>
          <w:rFonts w:ascii="Calibri" w:cs="Calibri" w:eastAsia="Calibri" w:hAnsi="Calibri"/>
          <w:sz w:val="20"/>
          <w:szCs w:val="20"/>
        </w:rPr>
        <w:t xml:space="preserve">This document captures the candidate models under consideration for an OCR pipeline that ingests scanned bills, receipts, and similar documents into Agilink. The table is structured as a spec sheet with each model as a column and each attribute as a row. The shortlist is ten models and spans four categories: the native PaddleOCR family, open-source VLM-based document parsers that are competitive on OmniDocBench, two newer general-purpose VLMs, and Tesseract 5 as a baseline floor.</w:t>
      </w:r>
    </w:p>
    <w:p>
      <w:pPr>
        <w:spacing w:after="120" w:before="0"/>
      </w:pPr>
      <w:r>
        <w:rPr>
          <w:rFonts w:ascii="Calibri" w:cs="Calibri" w:eastAsia="Calibri" w:hAnsi="Calibri"/>
          <w:b/>
          <w:bCs/>
          <w:sz w:val="22"/>
          <w:szCs w:val="22"/>
        </w:rPr>
        <w:t xml:space="preserve">Data sources</w:t>
      </w:r>
    </w:p>
    <w:p>
      <w:pPr>
        <w:spacing w:after="200" w:before="0"/>
      </w:pPr>
      <w:r>
        <w:rPr>
          <w:rFonts w:ascii="Calibri" w:cs="Calibri" w:eastAsia="Calibri" w:hAnsi="Calibri"/>
          <w:sz w:val="20"/>
          <w:szCs w:val="20"/>
        </w:rPr>
        <w:t xml:space="preserve">Accuracy scores are drawn from the OmniDocBench v1.5 leaderboard maintained by OpenDataLab, the OCRBench v2 private-set 2026-03 leaderboard at 99franklin.github.io/ocrbench_v2, model-author papers (PaddleOCR-VL-1.5 arXiv 2601.21957, MinerU 2.5-Pro arXiv 2604.04771, DeepSeek-OCR 2 arXiv 2601.20552, Qwen3-VL arXiv 2511.21631, PaddleOCR-VL arXiv 2510.14528, DeepSeek-OCR arXiv 2510.18234), and the GLM-OCR paper (arXiv 2603.10910) which provides cross-model comparison on OmniDocBench v1.5. Throughput numbers come from the same model-author papers. Licenses were verified from primary sources, specifically HuggingFace model cards and LICENSE files in the respective repositories, as of April 21, 2026.</w:t>
      </w:r>
    </w:p>
    <w:p>
      <w:pPr>
        <w:spacing w:after="120" w:before="0"/>
      </w:pPr>
      <w:r>
        <w:rPr>
          <w:rFonts w:ascii="Calibri" w:cs="Calibri" w:eastAsia="Calibri" w:hAnsi="Calibri"/>
          <w:b/>
          <w:bCs/>
          <w:sz w:val="22"/>
          <w:szCs w:val="22"/>
        </w:rPr>
        <w:t xml:space="preserve">Conventions</w:t>
      </w:r>
    </w:p>
    <w:p>
      <w:pPr>
        <w:spacing w:after="300" w:before="0"/>
      </w:pPr>
      <w:r>
        <w:rPr>
          <w:rFonts w:ascii="Calibri" w:cs="Calibri" w:eastAsia="Calibri" w:hAnsi="Calibri"/>
          <w:sz w:val="20"/>
          <w:szCs w:val="20"/>
        </w:rPr>
        <w:t xml:space="preserve">DNA means "data not available" and is used where no vendor or third-party benchmark has reported a value for a given cell. This is common for very recent models (Gemma 4 was released on 2026-04-02, about two and a half weeks before this document was prepared) and for latency percentile metrics, which are rarely published in the OCR space. Benchmark hardware varies across models; see the final row of the table for what each vendor used. This means throughput numbers are not strictly comparable across models. The two blank rows near the end of the table are intentional placeholders for annotation during internal benchmarking.</w:t>
      </w:r>
    </w:p>
    <w:p>
      <w:pPr>
        <w:sectPr>
          <w:pgSz w:w="11906" w:h="16838" w:orient="portrait"/>
          <w:pgMar w:top="1440" w:right="1440" w:bottom="1440" w:left="1440" w:header="708" w:footer="708" w:gutter="0"/>
          <w:pgNumType/>
          <w:docGrid w:linePitch="360"/>
        </w:sectPr>
      </w:pPr>
    </w:p>
    <w:tbl>
      <w:tblPr>
        <w:tblW w:type="dxa" w:w="15390"/>
        <w:tblBorders>
          <w:top w:val="single" w:color="auto" w:sz="4"/>
          <w:left w:val="single" w:color="auto" w:sz="4"/>
          <w:bottom w:val="single" w:color="auto" w:sz="4"/>
          <w:right w:val="single" w:color="auto" w:sz="4"/>
          <w:insideH w:val="single" w:color="auto" w:sz="4"/>
          <w:insideV w:val="single" w:color="auto" w:sz="4"/>
        </w:tblBorders>
      </w:tblPr>
      <w:tblGrid>
        <w:gridCol w:w="2200"/>
        <w:gridCol w:w="1319"/>
        <w:gridCol w:w="1319"/>
        <w:gridCol w:w="1319"/>
        <w:gridCol w:w="1319"/>
        <w:gridCol w:w="1319"/>
        <w:gridCol w:w="1319"/>
        <w:gridCol w:w="1319"/>
        <w:gridCol w:w="1319"/>
        <w:gridCol w:w="1319"/>
        <w:gridCol w:w="1319"/>
      </w:tblGrid>
      <w:tr>
        <w:trPr>
          <w:tblHeader/>
        </w:trPr>
        <w:tc>
          <w:tcPr>
            <w:tcW w:type="dxa" w:w="220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6"/>
                <w:szCs w:val="16"/>
              </w:rPr>
              <w:t xml:space="preserve">Attribute</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PP-OCRv5 server</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PaddleOCR-VL-1.5</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dots.ocr / dots.mocr</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MinerU 2.5-Pro</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Qwen3-VL-235B-A22B</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Gemma 4 26B A4B</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DeepSeek-OCR2</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ERNIE-4.5-VL-28B-A3B</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Tesseract 5</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GLM-OCR</w:t>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Identity</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Developer</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Baidu / PaddlePaddle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Baidu / PaddlePaddle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rednote hilab (Xiaohongshu)</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Shanghai AI Lab / OpenDataLab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Alibaba Cloud Qwen team</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Google DeepMind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DeepSeek AI</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Baidu</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Google / community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Zhipu AI / Z.ai</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Release date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2025-05 (v3.0)</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2026-01-29</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2025-07-30 (dots.ocr 1.7B); 2026-03-19 rebranded to dots.mocr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2026-04-10</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2025-09-23</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2026-04-02</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2026-01 (arXiv 2601.20552)</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2025-11-11 (Thinking variant); base A3B 2025-06-30</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5.5.0 (Nov 2024, maintained)</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2026-02 (model); 2026-03-11 (technical report, arXiv 2603.10910)</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License (verified from primary source)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MIT (HF model card). Note: repo contains a secondary "dots.ocr LICENSE AGREEMENT" file with unresolved scope conflicts (issues #141, #142). PyMuPDF dep pulls in AGPL.</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MinerU Open Source License (custom, based on Apache 2.0). Moved from AGPLv3 in 3.1.0 release alongside 2.5-Pro. AGPLv3 YOLO and CC-BY-NC-SA layoutreader were stripped out to enable this.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 (first Gemma release to drop the custom Gemma terms)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 (code, LICENSE.txt). Model weights carry the DeepSeek Model License, an OpenRAIL-derived license with use-based restrictions but permits commercial deployment and derivatives.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MIT (model). Layout module PP-DocLayoutV3 is Apache 2.0 (inherited from PaddleOCR). Users must comply with both licenses per the HF model card.</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Model card / repo</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github.com/PaddlePaddle/PaddleOCR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huggingface.co/PaddlePaddle/PaddleOCR-VL-1.5</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github.com/rednote-hilab/dots.ocr; hf.co/rednote-hilab/dots.mocr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github.com/opendatalab/MinerU; hf.co/opendatalab/MinerU2.5-Pro-2604-1.2B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hf.co/Qwen/Qwen3-VL-235B-A22B-Instruct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hf.co/google/gemma-4-26B-A4B-it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hf.co/deepseek-ai/DeepSeek-OCR-2</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hf.co/baidu/ERNIE-4.5-VL-28B-A3B-Thinking</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github.com/tesseract-ocr/tesseract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hf.co/zai-org/GLM-OCR; github.com/zai-org/GLM-OCR</w:t>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Architecture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Type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Classical 2-stage pipeline (det + rec)</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Hybrid: PP-DocLayoutV3 plus 0.9B VLM (ERNIE-4.5-0.3B + NaViT)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End-to-end VLM (Qwen2.5-VL-derived)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Decoupled 2-stage VLM; 1.2B total, data-engineered upgrade of MinerU 2.5 architecture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End-to-end general VLM (MoE)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End-to-end general VLM (MoE)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End-to-end VLM with optical (visual-token) compression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End-to-end VLM (MoE, heterogeneous multimodal)</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Classical LSTM-based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Hybrid: PP-DocLayoutV3 layout stage plus end-to-end VLM decoder. Same layout stack as PaddleOCR-VL-1.5.</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Total parameters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~0.07B (70M; mobile and server variants)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0.9B (VLM) plus layout module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1.7B LLM; ~3B total including vision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1.2B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235B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25.2B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~3B total</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~30B (28B-VL branch)</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 of MB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0.9B (CogViT visual encoder plus GLM-0.5B language decoder)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Active parameters (MoE)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(dense)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(dense)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22B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3.8B (8 of 128 experts)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570M (MoE decoder, 3B total)</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3B (A3B routing; 14 active of 130 experts)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(dense)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Vision encoder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CNN-based text detector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NaViT-style dynamic resolution encoder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ViT (dots VLM backbone)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Custom high-resolution ViT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ViT with 32x spatial compression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ViT, 550M params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DeepEncoder V2: SAM-base (80M) + conv layers; Qwen2-0.5B as LLM-style encoder; 16x compression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ViT with shared + modality-specific experts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CogViT (proprietary Zhipu ViT, pre-trained on large-scale image-text pairs); 4x downsampling; SwiGLU fusion into decoder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Context window</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(image-focused)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256K native (extendable to 1M with YaRN)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256K (E2B/E4B: 128K)</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131K (deployment max-model-len)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Enterprise GPU deployment</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Minimum GPUs (FP16 / BF16 serving)</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CPU only is viable; 1 x T4 or A100 is ample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A100 40GB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A100 40GB (about 8GB VRAM minimum)</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A100 40GB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 to 8 x H100 80GB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H100 80GB, or 2 x A100 40GB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A100 40GB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A100 80GB (official deployment guide)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CPU only (no GPU path)</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consumer GPU with 4GB+ VRAM (very low footprint due to 0.9B size)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Minimum GPUs (INT8 / INT4 quantized)</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(already tiny)</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consumer GPU, 12GB+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consumer, 8GB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consumer, 8GB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H100 or 2 x A100 40GB (UD-Q2_K_XL); llama.cpp with MoE CPU offload is possible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consumer, 24GB (Q4)</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consumer, 8GB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A100 80GB down to ~60GB via wint8 quant (FastDeploy); 2-bit convolutional quant noted in ERNIE docs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 to 4 GB VRAM at FP16 already; INT4/INT8 would run on edge devices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Recommended serving framework</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PaddleInference, FastDeploy, ONNX Runtime, TensorRT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FastDeploy, vLLM, SGLang, MLX-VLM, llama.cpp</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(native integration since 0.11.0)</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mineru-router for multi-GPU orchestration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SGLang, llama.cpp</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Ollama, llama.cpp, MLX, TensorRT-LLM (NVIDIA NIM)</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transformers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FastDeploy, ERNIEKit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binary (libtesseract)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SGLang, Ollama (one-line install), hosted API via Z.ai MaaS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Multi-GPU scaling</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Pipeline parallel across det and rec stages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on VLM stage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via vLLM</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plus mineru-router orchestration (one-click multi-GPU)</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(standard MoE TP)</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CPU multi-threading only</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via vLLM/SGLang; multi-replica scaling is natural given small footprint</w:t>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Throughput and latency (A100 reference where published)</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Tokens per second (batch=1)</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(classical pipeline)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~1045 tok/s (A100, unoptimized baseline)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Multi-Token Prediction averages 5.2 tokens per decode step, ~50% throughput gain over standard next-token prediction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Tokens per second (max batch)</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2016.6 tok/s (FastDeploy, A100, batch=512)</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2337.25 tok/s (A100, optimized)</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Pages per second (batch=1)</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~370 chars/sec on Intel Xeon Gold 6271C CPU (mobile rec)</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0.95 pages/s (A100, unoptimized)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~2.3 pages/s implied from 200k pages/day on A100-40G (v1 paper; v2 not published separately)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1.86 pages/s for PDFs (single replica, single concurrency, per Zhipu paper); 0.67 images/s for image inputs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Pages per second (batched)</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1.4335 pages/s (A100, batch=512)</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2.12 pages/s (A100, optimized)</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for v2</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(single-concurrency number is what Zhipu published)</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Tokens per document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(characters per page)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~1,100 tokens/page average (OmniDocBench)</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256 to 1120 vision tokens per page (vs roughly 6,000 for MinerU 2.0)</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P50 latency per page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P99 latency per page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Accuracy benchmarks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OmniDocBench v1.5 composite (higher is better)</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Top average 1-edit-distance on OCR-block subset; not a full document parser, so no composite published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94.50 (SOTA at release)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88.41 (dots.ocr 3B, OmniDocBench leaderboard)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92.98 on v1.5; 95.69 on v1.6 (current SOTA per MinerU 2.5-Pro paper)</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89.78</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(model released 2026-04-02; no OCR-specific evaluation published)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91.09 (DeepSeek-OCR 2 paper)</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evaluated on OmniDocBench; Baidu benchmarks against MathVista, ChartQA, DocVQA instead)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Evaluated on v1.0 historical leaderboard; substantially below modern VLMs; exact composite 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94.62 (current #1 on OmniDocBench v1.5 leaderboard, narrowly beating PaddleOCR-VL-1.5 at 94.50 and Gemini 3 Pro at 90.33)</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OmniDocBench text edit distance (lower is better)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Best in class on OCR-block subset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for 1.5; base model: 0.041 EN, 0.062 ZH</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better than MinerU 2.5 baseline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0.063</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0.100 (document-parsing edit distance at 1120 vision tokens, beats Gemini 3 Pro at 0.115)</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paper reports slight deficit vs PaddleOCR-VL-1.5 on TextEdit</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OCRBench v2 private leaderboard, English average (2026-03)</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on leaderboard)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on leaderboard)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43.3 (entered as dots.mocr 3B, rank 18)</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on leaderboard)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for 235B variant. Qwen3-Omni-30B-A3B is on the leaderboard at 61.3 for reference 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on leaderboard)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on leaderboard as of 2026-03)</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OCRBench v2 private leaderboard, Chinese average (2026-03)</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50.6 (dots.mocr 3B, rank 18)</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for 235B variant. Qwen3-Omni-30B-A3B scores 60.0 for reference only.</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Legacy OCRBench v1 (text recognition 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75.3 (per GLM-OCR comparison table)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75.3</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92.1</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75.3</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34.7 (low because designed for compression, not pure text recognition)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858 (per Baidu; ahead of GPT-5 high at 810; Gemini 2.5 Pro 866)</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94.0 (per GLM-OCR paper, best in comparison table)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Table TEDS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88.0 English on OmniDocBench v1.5 in-house; strong across categories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88.6 (best in small-model class per CodeSOTA, ahead of GPT-5.4 at 72)</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improved over MinerU 2.5</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92.55 (OmniDocBench v1.5)</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Folded into 91.09 composite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Best in GLM-OCR paper comparison (86.0 TEDS_TEST, ahead of PaddleOCR-VL-1.5); TableTEDS dominates field per paper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Formula CDM</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0.241 EN and 0.316 ZH edit distance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Omitted by authors (high sensitivity to detection and matching protocols)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83.07</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90.31 (per DeepSeek-OCR 2 paper)</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UniMERNet 96.5 (best in paper comparison, edging MinerU 2.5 at 96.4)</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Layout detection mAP</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PP-DocLayoutV3 pipeline (DocLayout-YOLO baseline is 48.7)</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PP-DocLayoutV3 integrated</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Prompt-based layout inside the same VLM; matches DocLayout-YOLO-class performance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Uses PP-DocLayoutV3 (same as PaddleOCR-VL-1.5), so inherits its mAP</w:t>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Receipt and bill specific</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Handwriting and low-quality scan robustness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Strong (best 1-edit-distance on handwriting per Baidu evaluation)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Very strong: explicit Real5-OmniDocBench training and SOTA on skew, warp, scan, illumination, screen-photo scenarios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Strong on multilingual and messy docs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Very strong; OmniDocBench v1.6 adds a Hard subset where it leads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Moderate (general-purpose VLM)</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 OCR-specific evaluation yet)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Strong; high compression is tolerant of degraded input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Strong; "Thinking with Images" supports adaptive zoom for fine detail</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Weak on skew, warp, and low-quality input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Strong but slightly below PaddleOCR-VL-1.5 on handwritten text per Zhipu in-house eval. Very strong on seals (90.5, near Gemini 3 Pro 91.3) and on real-world tables.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Structured output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bbox + JSON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polygonal and irregular bbox plus Markdown and JSON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bbox plus layout JSON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Markdown plus bbox plus reading order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bbox via grounding prompts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bbox in response format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Markdown plus grounding</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JSON bbox plus function calling</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hOCR, ALTO XML, plain text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Markdown, HTML (for tables), and JSON (for KIE). Strict schema enforcement during IE mode.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Multi-page document handling</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 (pipeline)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cross-page table merging plus hierarchical heading identification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cross-page table merging, truncated-paragraph merging, sliding window and streaming writes for ultra-long docs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via 256K context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via 256K context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 compression-optimized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 via SDK pipeline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Streaming memory footprint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 per page (decoupled pipeline)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decoded tokens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 (sliding window plus streaming disk writes for long docs)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Lower than peers (token compression)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decoded tokens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 per page (decoupled layout plus recognition)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PDF-native input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Via PaddleOCR rendering</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(built-in PDF rendering)</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 (PDF via PyMuPDF; note AGPL conflict)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native PDF, DOCX, PPTX, XLSX in 3.1.0</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 (PDF via external wrapper)</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(built-in via SDK, which wraps PP-DocLayoutV3)</w:t>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Integration and notes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PaddleOCR integration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Component (earlier MinerU versions bundled PaddleOCR as optional text stage; verify 3.1.0 deps)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 (same vendor, not yet integrated)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Component: directly uses PP-DocLayoutV3 from PaddleOCR as the layout stage. Swapping in or out of PaddleOCR-VL-1.5 is low cost.</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Native KIE and structured JSON output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Via PP-ChatOCRv4 companion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(Markdown plus JSON for tables)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(layout JSON: bbox, category, text)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(Markdown plus JSON)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(prompt-driven)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(native function calling)</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(Markdown plus grounding)</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(native function calling, JSON)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(text only)</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(dedicated IE mode with receipts, invoices, forms; 94.5 score on Zhipu in-house receipt KIE eval vs GPT-5.2 at 83.5)</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Why you would pick this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Fastest and cheapest for pure text extraction; CPU friendly; proven in production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SOTA in-the-wild robustness; native to PaddleOCR; compact 0.9B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Unified single-VLM design; strongest table extraction for small-model size; MIT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Current SOTA on OmniDocBench v1.6 (95.69); multi-format native; new permissive license removes prior AGPL blocker</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Best general-purpose VLM with massive context for multi-page documents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Newest; Apache 2.0; native function calling; strong long context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Best throughput per page via token compression; 200k pages/day/A100 (v1); v2 adds reading-order improvements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Compact MoE with adaptive zoom for fine detail in documents and charts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Established baseline floor</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Top OmniDocBench v1.5 score at 0.9B size; highest published receipt-KIE score (94.5) in any open model; MIT license; 2 to 4 GB VRAM footprint makes multi-replica scaling cheap. Best candidate for the Agilink use case per published numbers.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Blank row 1 (for Muntaser to populate)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Blank row 2 (for Muntaser to populate)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Benchmark hardware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Hardware used for reported throughput numbers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NVIDIA T4 (PaddleOCR 3.0 tech report); Intel Xeon Gold 6271C for CPU numbers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Single NVIDIA A100, batch=512, 72 DPI, OmniDocBench v1.5</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NVIDIA A100 via vLLM 0.9.1 or later</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NVIDIA A100 (MinerU 2.5 paper; carries forward to Pro)</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Hardware not specified on OmniDocBench 2026-03-31 update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NVIDIA A100-40G (v1 paper); v2 hardware 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Single 80GB GPU cited in official deployment docs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CPU</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Hardware not specified in Zhipu paper beyond "identical hardware, single replica, single concurrency". Benchmark partner ecosystem suggests A100 class.</w:t>
            </w:r>
          </w:p>
        </w:tc>
      </w:tr>
    </w:tbl>
    <w:p>
      <w:pPr>
        <w:sectPr>
          <w:pgSz w:w="16838" w:h="11906" w:orient="landscape"/>
          <w:pgMar w:top="720" w:right="720" w:bottom="720" w:left="720" w:header="708" w:footer="708" w:gutter="0"/>
          <w:pgNumType/>
          <w:docGrid w:linePitch="360"/>
        </w:sectPr>
      </w:pPr>
    </w:p>
    <w:p>
      <w:pPr>
        <w:spacing w:after="120" w:before="400"/>
      </w:pPr>
      <w:r>
        <w:rPr>
          <w:rFonts w:ascii="Calibri" w:cs="Calibri" w:eastAsia="Calibri" w:hAnsi="Calibri"/>
          <w:b/>
          <w:bCs/>
          <w:sz w:val="22"/>
          <w:szCs w:val="22"/>
        </w:rPr>
        <w:t xml:space="preserve">Notes on licensing</w:t>
      </w:r>
    </w:p>
    <w:p>
      <w:pPr>
        <w:spacing w:after="200" w:before="0"/>
      </w:pPr>
      <w:r>
        <w:rPr>
          <w:rFonts w:ascii="Calibri" w:cs="Calibri" w:eastAsia="Calibri" w:hAnsi="Calibri"/>
          <w:sz w:val="20"/>
          <w:szCs w:val="20"/>
        </w:rPr>
        <w:t xml:space="preserve">Six of the nine models are under clean Apache 2.0: PP-OCRv5, PaddleOCR-VL-1.5, Qwen3-VL-235B, Gemma 4 26B A4B, ERNIE-4.5-VL-28B-A3B, and Tesseract 5. MinerU 2.5-Pro is under a custom "MinerU Open Source License" based on Apache 2.0, adopted in the 3.1.0 release. That release specifically stripped out AGPL-licensed components (DocLayout-YOLO, mfd_yolov8) and CC-BY-NC-SA layoutreader so the project could move off AGPLv3. DeepSeek-OCR 2 has Apache 2.0 code with a separate DeepSeek Model License for weights; that license is OpenRAIL-derived with use-based restrictions but permits commercial deployment and derivatives. dots.ocr is under MIT on the HuggingFace model card but has an unresolved conflict with a secondary "dots.ocr LICENSE AGREEMENT" file in the GitHub repo (open issues #141 and #142 since August 2025); in addition, the requirements.txt pulls in PyMuPDF, which is AGPL and would require relicensing any derivative work. For production use, consider swapping PyMuPDF for a non-AGPL PDF renderer.</w:t>
      </w:r>
    </w:p>
    <w:p>
      <w:pPr>
        <w:spacing w:after="120" w:before="200"/>
      </w:pPr>
      <w:r>
        <w:rPr>
          <w:rFonts w:ascii="Calibri" w:cs="Calibri" w:eastAsia="Calibri" w:hAnsi="Calibri"/>
          <w:b/>
          <w:bCs/>
          <w:sz w:val="22"/>
          <w:szCs w:val="22"/>
        </w:rPr>
        <w:t xml:space="preserve">Notes on benchmark relevance for receipts and bills</w:t>
      </w:r>
    </w:p>
    <w:p>
      <w:pPr>
        <w:spacing w:after="200" w:before="0"/>
      </w:pPr>
      <w:r>
        <w:rPr>
          <w:rFonts w:ascii="Calibri" w:cs="Calibri" w:eastAsia="Calibri" w:hAnsi="Calibri"/>
          <w:sz w:val="20"/>
          <w:szCs w:val="20"/>
        </w:rPr>
        <w:t xml:space="preserve">OmniDocBench v1.5 is weighted toward academic papers, financial reports, newspapers, textbooks, and handwritten notes. It does not specifically target retail receipts or vendor invoices. OCRBench v2 covers a wider range of scenarios (31) but does not expose a dedicated receipt subset either. For the Agilink use case, the most diagnostic columns in this table are: table TEDS (for line-item accuracy), handwriting and low-quality scan robustness (for crumpled or thermal-printed receipts), PDF-native input (for emailed bill attachments), and streaming memory footprint (for multi-page invoice scans). Full confidence in any ranking will require benchmarking on a representative sample of Agilink-style documents, which is why the two blank annotation rows are included.</w:t>
      </w:r>
    </w:p>
    <w:p>
      <w:pPr>
        <w:spacing w:after="120" w:before="200"/>
      </w:pPr>
      <w:r>
        <w:rPr>
          <w:rFonts w:ascii="Calibri" w:cs="Calibri" w:eastAsia="Calibri" w:hAnsi="Calibri"/>
          <w:b/>
          <w:bCs/>
          <w:sz w:val="22"/>
          <w:szCs w:val="22"/>
        </w:rPr>
        <w:t xml:space="preserve">Models deliberately not included</w:t>
      </w:r>
    </w:p>
    <w:p>
      <w:pPr>
        <w:spacing w:after="0" w:before="0"/>
      </w:pPr>
      <w:r>
        <w:rPr>
          <w:rFonts w:ascii="Calibri" w:cs="Calibri" w:eastAsia="Calibri" w:hAnsi="Calibri"/>
          <w:sz w:val="20"/>
          <w:szCs w:val="20"/>
        </w:rPr>
        <w:t xml:space="preserve">MinerU 2.5 base (90.67 on v1.5) is not included separately because MinerU 2.5-Pro supersedes it with the same architecture and a better data pipeline. EasyOCR is not included because it has known accuracy issues with currency symbols on receipts (systematic confusion of "$" with "8" per third-party evaluations), which is disqualifying for this use case. DocLayout-YOLO alone, and Nougat, are layout- or academic-specific and do not cover the general receipt scenario.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2026-04-21T17:18:14.411Z</dcterms:created>
  <dcterms:modified xsi:type="dcterms:W3CDTF">2026-04-21T17:18:14.412Z</dcterms:modified>
</cp:coreProperties>
</file>

<file path=docProps/custom.xml><?xml version="1.0" encoding="utf-8"?>
<Properties xmlns="http://schemas.openxmlformats.org/officeDocument/2006/custom-properties" xmlns:vt="http://schemas.openxmlformats.org/officeDocument/2006/docPropsVTypes"/>
</file>