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Amazon Bedrock Deployment and Inference Options</w:t>
      </w:r>
    </w:p>
    <w:p>
      <w:pPr>
        <w:spacing w:after="200"/>
      </w:pPr>
      <w:r>
        <w:rPr>
          <w:rFonts w:ascii="Calibri" w:cs="Calibri" w:eastAsia="Calibri" w:hAnsi="Calibri"/>
          <w:color w:val="404040"/>
          <w:sz w:val="26"/>
          <w:szCs w:val="26"/>
        </w:rPr>
        <w:t xml:space="preserve">Document 1 of 3: how models are deployed and invoked on Amazon Bedrock today, and when each option applies</w:t>
      </w:r>
    </w:p>
    <w:p>
      <w:pPr>
        <w:spacing w:after="40"/>
      </w:pPr>
      <w:r>
        <w:rPr>
          <w:rFonts w:ascii="Calibri" w:cs="Calibri" w:eastAsia="Calibri" w:hAnsi="Calibri"/>
          <w:color w:val="595959"/>
          <w:sz w:val="20"/>
          <w:szCs w:val="20"/>
        </w:rPr>
        <w:t xml:space="preserve">Prepared for: JSD research ticket "Research current AWS Bedrock model deployment workflows"</w:t>
      </w:r>
    </w:p>
    <w:p>
      <w:pPr>
        <w:spacing w:after="40"/>
      </w:pPr>
      <w:r>
        <w:rPr>
          <w:rFonts w:ascii="Calibri" w:cs="Calibri" w:eastAsia="Calibri" w:hAnsi="Calibri"/>
          <w:color w:val="595959"/>
          <w:sz w:val="20"/>
          <w:szCs w:val="20"/>
        </w:rPr>
        <w:t xml:space="preserve">Acceptance criterion covered: Document the current Bedrock deployment/inference options and when each applies</w:t>
      </w:r>
    </w:p>
    <w:p>
      <w:pPr>
        <w:spacing w:after="40"/>
      </w:pPr>
      <w:r>
        <w:rPr>
          <w:rFonts w:ascii="Calibri" w:cs="Calibri" w:eastAsia="Calibri" w:hAnsi="Calibri"/>
          <w:color w:val="595959"/>
          <w:sz w:val="20"/>
          <w:szCs w:val="20"/>
        </w:rPr>
        <w:t xml:space="preserve">Snapshot date: August 17, 2026. Every statement below was checked against the AWS documentation or an AWS announcement on that date; secondary sources are labeled as such.</w:t>
      </w:r>
    </w:p>
    <w:p>
      <w:pPr>
        <w:spacing w:after="40"/>
      </w:pPr>
      <w:r>
        <w:rPr>
          <w:rFonts w:ascii="Calibri" w:cs="Calibri" w:eastAsia="Calibri" w:hAnsi="Calibri"/>
          <w:color w:val="595959"/>
          <w:sz w:val="20"/>
          <w:szCs w:val="20"/>
        </w:rPr>
        <w:t xml:space="preserve">Status: Draft for team review</w:t>
      </w:r>
    </w:p>
    <w:p>
      <w:pPr>
        <w:pBdr>
          <w:bottom w:val="single" w:color="1F3864" w:sz="8" w:space="4"/>
        </w:pBdr>
        <w:spacing w:after="240"/>
      </w:pPr>
      <w:r>
        <w:rPr>
          <w:rFonts w:ascii="Calibri" w:cs="Calibri" w:eastAsia="Calibri" w:hAnsi="Calibri"/>
        </w:rPr>
        <w:t xml:space="preserve"/>
      </w:r>
    </w:p>
    <w:p>
      <w:pPr>
        <w:pStyle w:val="Heading1"/>
      </w:pPr>
      <w:r>
        <w:rPr>
          <w:rFonts w:ascii="Calibri" w:cs="Calibri" w:eastAsia="Calibri" w:hAnsi="Calibri"/>
        </w:rPr>
        <w:t xml:space="preserve">1. Purpose and scope</w:t>
      </w:r>
    </w:p>
    <w:p>
      <w:pPr>
        <w:keepNext w:val="false"/>
        <w:spacing w:after="120" w:line="276"/>
        <w:jc w:val="left"/>
      </w:pPr>
      <w:r>
        <w:rPr>
          <w:rFonts w:ascii="Calibri" w:cs="Calibri" w:eastAsia="Calibri" w:hAnsi="Calibri"/>
          <w:sz w:val="21"/>
          <w:szCs w:val="21"/>
        </w:rPr>
        <w:t xml:space="preserve">This document describes the inference and deployment options that Amazon Bedrock offers as of the snapshot date, what each option is for, what it costs relative to standard on-demand pricing, and which limits apply. It is written so that requirements and planning work can rely on it instead of assumptions carried over from 2024 or 2025. Several of those older assumptions no longer hold: model access is no longer requested per model, most current-generation models are not available for Provisioned Throughput, several models are only reachable through cross-Region inference profiles, and Bedrock now has a second inference endpoint (bedrock-mantle) with different APIs and quota behavior.</w:t>
      </w:r>
    </w:p>
    <w:p>
      <w:pPr>
        <w:keepNext w:val="false"/>
        <w:spacing w:after="120" w:line="276"/>
        <w:jc w:val="left"/>
      </w:pPr>
      <w:r>
        <w:rPr>
          <w:rFonts w:ascii="Calibri" w:cs="Calibri" w:eastAsia="Calibri" w:hAnsi="Calibri"/>
          <w:sz w:val="21"/>
          <w:szCs w:val="21"/>
        </w:rPr>
        <w:t xml:space="preserve">The companion documents cover the model versions relevant to the document extraction use case (Document 2) and a condensed summary for requirements and planning (Document 3). This document deliberately stays at the level of the service, not individual models, except where a model is needed as an example.</w:t>
      </w:r>
    </w:p>
    <w:p>
      <w:pPr>
        <w:pStyle w:val="Heading1"/>
      </w:pPr>
      <w:r>
        <w:rPr>
          <w:rFonts w:ascii="Calibri" w:cs="Calibri" w:eastAsia="Calibri" w:hAnsi="Calibri"/>
        </w:rPr>
        <w:t xml:space="preserve">2. How a model is invoked: endpoints and APIs</w:t>
      </w:r>
    </w:p>
    <w:p>
      <w:pPr>
        <w:keepNext w:val="false"/>
        <w:spacing w:after="120" w:line="276"/>
        <w:jc w:val="left"/>
      </w:pPr>
      <w:r>
        <w:rPr>
          <w:rFonts w:ascii="Calibri" w:cs="Calibri" w:eastAsia="Calibri" w:hAnsi="Calibri"/>
          <w:sz w:val="21"/>
          <w:szCs w:val="21"/>
        </w:rPr>
        <w:t xml:space="preserve">Bedrock currently exposes two inference endpoints. They are priced identically per token for the same model, but they support different APIs and features, and they draw from separate quota buckets.</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1310"/>
        <w:gridCol w:w="2520"/>
        <w:gridCol w:w="3226"/>
        <w:gridCol w:w="3024"/>
      </w:tblGrid>
      <w:tr>
        <w:trPr>
          <w:tblHeader/>
        </w:trPr>
        <w:tc>
          <w:tcPr>
            <w:tcW w:type="dxa" w:w="1310"/>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Endpoint</w:t>
            </w:r>
          </w:p>
        </w:tc>
        <w:tc>
          <w:tcPr>
            <w:tcW w:type="dxa" w:w="2520"/>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APIs</w:t>
            </w:r>
          </w:p>
        </w:tc>
        <w:tc>
          <w:tcPr>
            <w:tcW w:type="dxa" w:w="3226"/>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What it is for</w:t>
            </w:r>
          </w:p>
        </w:tc>
        <w:tc>
          <w:tcPr>
            <w:tcW w:type="dxa" w:w="3024"/>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Notes verified on August 17, 2026</w:t>
            </w:r>
          </w:p>
        </w:tc>
      </w:tr>
      <w:tr>
        <w:trPr>
          <w:cantSplit w:val="false"/>
        </w:trPr>
        <w:tc>
          <w:tcPr>
            <w:tcW w:type="dxa" w:w="1310"/>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7"/>
                <w:szCs w:val="17"/>
              </w:rPr>
              <w:t xml:space="preserve">bedrock-runtime</w:t>
            </w:r>
          </w:p>
        </w:tc>
        <w:tc>
          <w:tcPr>
            <w:tcW w:type="dxa" w:w="252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InvokeModel, InvokeModelWithResponseStream, Converse, ConverseStream, StartAsyncInvoke, CreateModelInvocationJob (batch), Anthropic Messages API for Claude</w:t>
            </w:r>
          </w:p>
        </w:tc>
        <w:tc>
          <w:tcPr>
            <w:tcW w:type="dxa" w:w="32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The Bedrock-native surface. Required for batch inference, Guardrails, Knowledge Bases, Agents, Flows, Prompt management, model evaluation, and for models that are not yet on bedrock-mantle.</w:t>
            </w:r>
          </w:p>
        </w:tc>
        <w:tc>
          <w:tcPr>
            <w:tcW w:type="dxa" w:w="302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AWS still lists this as fully supported. Model cards for Claude 5, Haiku 4.5 and Nova 2 Lite state "Whenever possible, we recommend using the bedrock-runtime endpoint for new applications." The endpoints overview page recommends bedrock-mantle for new applications; the two pages disagree, so treat endpoint choice as an architecture decision, not a default.</w:t>
            </w:r>
          </w:p>
        </w:tc>
      </w:tr>
      <w:tr>
        <w:trPr>
          <w:cantSplit w:val="false"/>
        </w:trPr>
        <w:tc>
          <w:tcPr>
            <w:tcW w:type="dxa" w:w="1310"/>
            <w:shd w:fill="F2F2F2" w:color="auto" w:val="clear"/>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7"/>
                <w:szCs w:val="17"/>
              </w:rPr>
              <w:t xml:space="preserve">bedrock-mantle</w:t>
            </w:r>
          </w:p>
        </w:tc>
        <w:tc>
          <w:tcPr>
            <w:tcW w:type="dxa" w:w="252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OpenAI Responses API, OpenAI Chat Completions API, Anthropic Messages API</w:t>
            </w:r>
          </w:p>
        </w:tc>
        <w:tc>
          <w:tcPr>
            <w:tcW w:type="dxa" w:w="32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Lets existing OpenAI-SDK or Anthropic-SDK code run against Bedrock by changing the base URL and API key. Adds stateful conversations, server-side tool use, and Projects (OpenAI-style) or Workspaces (Anthropic-style) for per-application cost tracking. CloudWatch metrics are published under the AWS/BedrockMantle namespace since June 2026.</w:t>
            </w:r>
          </w:p>
        </w:tc>
        <w:tc>
          <w:tcPr>
            <w:tcW w:type="dxa" w:w="302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Structured outputs (output_config.format) are rejected with a 400 error on bedrock-mantle. Not every model is on bedrock-mantle (Nova 2 Lite is bedrock-runtime only). Quotas are separate input and output token quotas with no output burndown multiplier.</w:t>
            </w:r>
          </w:p>
        </w:tc>
      </w:tr>
    </w:tbl>
    <w:p>
      <w:pPr>
        <w:spacing w:after="60"/>
      </w:pPr>
      <w:r>
        <w:rPr>
          <w:rFonts w:ascii="Calibri" w:cs="Calibri" w:eastAsia="Calibri" w:hAnsi="Calibri"/>
        </w:rPr>
        <w:t xml:space="preserve"/>
      </w:r>
    </w:p>
    <w:p>
      <w:pPr>
        <w:keepNext w:val="false"/>
        <w:spacing w:after="120" w:line="276"/>
        <w:jc w:val="left"/>
      </w:pPr>
      <w:r>
        <w:rPr>
          <w:rFonts w:ascii="Calibri" w:cs="Calibri" w:eastAsia="Calibri" w:hAnsi="Calibri"/>
          <w:sz w:val="21"/>
          <w:szCs w:val="21"/>
        </w:rPr>
        <w:t xml:space="preserve">The </w:t>
      </w:r>
      <w:r>
        <w:rPr>
          <w:rFonts w:ascii="Consolas" w:cs="Consolas" w:eastAsia="Consolas" w:hAnsi="Consolas"/>
          <w:sz w:val="20"/>
          <w:szCs w:val="20"/>
        </w:rPr>
        <w:t xml:space="preserve">modelId</w:t>
      </w:r>
      <w:r>
        <w:rPr>
          <w:rFonts w:ascii="Calibri" w:cs="Calibri" w:eastAsia="Calibri" w:hAnsi="Calibri"/>
          <w:sz w:val="21"/>
          <w:szCs w:val="21"/>
        </w:rPr>
        <w:t xml:space="preserve"> field of a request determines both the model and the routing behavior. It can be a base model ID (in-Region), a system-defined cross-Region inference profile ID (prefixed </w:t>
      </w:r>
      <w:r>
        <w:rPr>
          <w:rFonts w:ascii="Consolas" w:cs="Consolas" w:eastAsia="Consolas" w:hAnsi="Consolas"/>
          <w:sz w:val="20"/>
          <w:szCs w:val="20"/>
        </w:rPr>
        <w:t xml:space="preserve">us.</w:t>
      </w:r>
      <w:r>
        <w:rPr>
          <w:rFonts w:ascii="Calibri" w:cs="Calibri" w:eastAsia="Calibri" w:hAnsi="Calibri"/>
          <w:sz w:val="21"/>
          <w:szCs w:val="21"/>
        </w:rPr>
        <w:t xml:space="preserve">, </w:t>
      </w:r>
      <w:r>
        <w:rPr>
          <w:rFonts w:ascii="Consolas" w:cs="Consolas" w:eastAsia="Consolas" w:hAnsi="Consolas"/>
          <w:sz w:val="20"/>
          <w:szCs w:val="20"/>
        </w:rPr>
        <w:t xml:space="preserve">eu.</w:t>
      </w:r>
      <w:r>
        <w:rPr>
          <w:rFonts w:ascii="Calibri" w:cs="Calibri" w:eastAsia="Calibri" w:hAnsi="Calibri"/>
          <w:sz w:val="21"/>
          <w:szCs w:val="21"/>
        </w:rPr>
        <w:t xml:space="preserve">, </w:t>
      </w:r>
      <w:r>
        <w:rPr>
          <w:rFonts w:ascii="Consolas" w:cs="Consolas" w:eastAsia="Consolas" w:hAnsi="Consolas"/>
          <w:sz w:val="20"/>
          <w:szCs w:val="20"/>
        </w:rPr>
        <w:t xml:space="preserve">apac.</w:t>
      </w:r>
      <w:r>
        <w:rPr>
          <w:rFonts w:ascii="Calibri" w:cs="Calibri" w:eastAsia="Calibri" w:hAnsi="Calibri"/>
          <w:sz w:val="21"/>
          <w:szCs w:val="21"/>
        </w:rPr>
        <w:t xml:space="preserve">, </w:t>
      </w:r>
      <w:r>
        <w:rPr>
          <w:rFonts w:ascii="Consolas" w:cs="Consolas" w:eastAsia="Consolas" w:hAnsi="Consolas"/>
          <w:sz w:val="20"/>
          <w:szCs w:val="20"/>
        </w:rPr>
        <w:t xml:space="preserve">jp.</w:t>
      </w:r>
      <w:r>
        <w:rPr>
          <w:rFonts w:ascii="Calibri" w:cs="Calibri" w:eastAsia="Calibri" w:hAnsi="Calibri"/>
          <w:sz w:val="21"/>
          <w:szCs w:val="21"/>
        </w:rPr>
        <w:t xml:space="preserve">, </w:t>
      </w:r>
      <w:r>
        <w:rPr>
          <w:rFonts w:ascii="Consolas" w:cs="Consolas" w:eastAsia="Consolas" w:hAnsi="Consolas"/>
          <w:sz w:val="20"/>
          <w:szCs w:val="20"/>
        </w:rPr>
        <w:t xml:space="preserve">au.</w:t>
      </w:r>
      <w:r>
        <w:rPr>
          <w:rFonts w:ascii="Calibri" w:cs="Calibri" w:eastAsia="Calibri" w:hAnsi="Calibri"/>
          <w:sz w:val="21"/>
          <w:szCs w:val="21"/>
        </w:rPr>
        <w:t xml:space="preserve"> or </w:t>
      </w:r>
      <w:r>
        <w:rPr>
          <w:rFonts w:ascii="Consolas" w:cs="Consolas" w:eastAsia="Consolas" w:hAnsi="Consolas"/>
          <w:sz w:val="20"/>
          <w:szCs w:val="20"/>
        </w:rPr>
        <w:t xml:space="preserve">global.</w:t>
      </w:r>
      <w:r>
        <w:rPr>
          <w:rFonts w:ascii="Calibri" w:cs="Calibri" w:eastAsia="Calibri" w:hAnsi="Calibri"/>
          <w:sz w:val="21"/>
          <w:szCs w:val="21"/>
        </w:rPr>
        <w:t xml:space="preserve">), an application inference profile ARN, a Provisioned Throughput ARN, or a custom model deployment ARN. Section 4 walks through each of these.</w:t>
      </w:r>
    </w:p>
    <w:p>
      <w:pPr>
        <w:pStyle w:val="Heading1"/>
      </w:pPr>
      <w:r>
        <w:rPr>
          <w:rFonts w:ascii="Calibri" w:cs="Calibri" w:eastAsia="Calibri" w:hAnsi="Calibri"/>
        </w:rPr>
        <w:t xml:space="preserve">3. Getting access to a model</w:t>
      </w:r>
    </w:p>
    <w:p>
      <w:pPr>
        <w:keepNext w:val="false"/>
        <w:spacing w:after="120" w:line="276"/>
        <w:jc w:val="left"/>
      </w:pPr>
      <w:r>
        <w:rPr>
          <w:rFonts w:ascii="Calibri" w:cs="Calibri" w:eastAsia="Calibri" w:hAnsi="Calibri"/>
          <w:sz w:val="21"/>
          <w:szCs w:val="21"/>
        </w:rPr>
        <w:t xml:space="preserve">Since October 15, 2025 all serverless foundation models are enabled by default in every commercial Region. The old "Model access" console page and the PutFoundationModelEntitlement permission were retired. Access is now governed with ordinary IAM policies and Service Control Policies, for example by allowing or denying bedrock:InvokeModel on specific model or inference profile ARNs.</w:t>
      </w:r>
    </w:p>
    <w:p>
      <w:pPr>
        <w:keepNext w:val="false"/>
        <w:spacing w:after="120" w:line="276"/>
        <w:jc w:val="left"/>
      </w:pPr>
      <w:r>
        <w:rPr>
          <w:rFonts w:ascii="Calibri" w:cs="Calibri" w:eastAsia="Calibri" w:hAnsi="Calibri"/>
          <w:sz w:val="21"/>
          <w:szCs w:val="21"/>
        </w:rPr>
        <w:t xml:space="preserve">Two practical exceptions remain. First, Anthropic models are enabled by default but require a one-time use case form before first use; it can be submitted from the console playground or with the PutUseCaseForModelAccess API, and when it is submitted from an AWS Organizations management account through the API the approval extends to member accounts. Second, third-party serverless models are delivered through AWS Marketplace, so the calling identity needs the Marketplace subscription actions (aws-marketplace:Subscribe and related permissions) or an administrator has to complete the subscription; missing permissions surface as an "Access denied" or "subscription cannot be completed" error on the first invocation. AWS GovCloud accounts still have to establish the EULA through the linked commercial account before enabling a model.</w:t>
      </w:r>
    </w:p>
    <w:p>
      <w:pPr>
        <w:pStyle w:val="Heading1"/>
      </w:pPr>
      <w:r>
        <w:rPr>
          <w:rFonts w:ascii="Calibri" w:cs="Calibri" w:eastAsia="Calibri" w:hAnsi="Calibri"/>
        </w:rPr>
        <w:t xml:space="preserve">4. Inference options and when each applies</w:t>
      </w:r>
    </w:p>
    <w:p>
      <w:pPr>
        <w:keepNext w:val="false"/>
        <w:spacing w:after="120" w:line="276"/>
        <w:jc w:val="left"/>
      </w:pPr>
      <w:r>
        <w:rPr>
          <w:rFonts w:ascii="Calibri" w:cs="Calibri" w:eastAsia="Calibri" w:hAnsi="Calibri"/>
          <w:sz w:val="21"/>
          <w:szCs w:val="21"/>
        </w:rPr>
        <w:t xml:space="preserve">The options below are not mutually exclusive. A production call typically combines one routing choice (in-Region, geographic, or global), one service tier (Standard by default), and optionally an application inference profile for cost allocation. Batch and Provisioned Throughput are separate paths with their own model support lists.</w:t>
      </w:r>
    </w:p>
    <w:p>
      <w:pPr>
        <w:pStyle w:val="Heading2"/>
      </w:pPr>
      <w:r>
        <w:rPr>
          <w:rFonts w:ascii="Calibri" w:cs="Calibri" w:eastAsia="Calibri" w:hAnsi="Calibri"/>
        </w:rPr>
        <w:t xml:space="preserve">4.1 On-demand, in-Region invocation</w:t>
      </w:r>
    </w:p>
    <w:p>
      <w:pPr>
        <w:keepNext w:val="false"/>
        <w:spacing w:after="120" w:line="276"/>
        <w:jc w:val="left"/>
      </w:pPr>
      <w:r>
        <w:rPr>
          <w:rFonts w:ascii="Calibri" w:cs="Calibri" w:eastAsia="Calibri" w:hAnsi="Calibri"/>
          <w:sz w:val="21"/>
          <w:szCs w:val="21"/>
        </w:rPr>
        <w:t xml:space="preserve">You pass the base model ID (for example </w:t>
      </w:r>
      <w:r>
        <w:rPr>
          <w:rFonts w:ascii="Consolas" w:cs="Consolas" w:eastAsia="Consolas" w:hAnsi="Consolas"/>
          <w:sz w:val="20"/>
          <w:szCs w:val="20"/>
        </w:rPr>
        <w:t xml:space="preserve">anthropic.claude-haiku-4-5-20251001-v1:0</w:t>
      </w:r>
      <w:r>
        <w:rPr>
          <w:rFonts w:ascii="Calibri" w:cs="Calibri" w:eastAsia="Calibri" w:hAnsi="Calibri"/>
          <w:sz w:val="21"/>
          <w:szCs w:val="21"/>
        </w:rPr>
        <w:t xml:space="preserve"> or </w:t>
      </w:r>
      <w:r>
        <w:rPr>
          <w:rFonts w:ascii="Consolas" w:cs="Consolas" w:eastAsia="Consolas" w:hAnsi="Consolas"/>
          <w:sz w:val="20"/>
          <w:szCs w:val="20"/>
        </w:rPr>
        <w:t xml:space="preserve">amazon.nova-pro-v1:0</w:t>
      </w:r>
      <w:r>
        <w:rPr>
          <w:rFonts w:ascii="Calibri" w:cs="Calibri" w:eastAsia="Calibri" w:hAnsi="Calibri"/>
          <w:sz w:val="21"/>
          <w:szCs w:val="21"/>
        </w:rPr>
        <w:t xml:space="preserve">) and the request is processed entirely inside the Region of the endpoint you called. Pricing is the standard on-demand rate for that Region. Throughput is bounded by the per-model, per-Region service quotas for requests per minute and tokens per minute (Section 5).</w:t>
      </w:r>
    </w:p>
    <w:p>
      <w:pPr>
        <w:keepNext w:val="false"/>
        <w:spacing w:after="120" w:line="276"/>
        <w:jc w:val="left"/>
      </w:pPr>
      <w:r>
        <w:rPr>
          <w:rFonts w:ascii="Calibri" w:cs="Calibri" w:eastAsia="Calibri" w:hAnsi="Calibri"/>
          <w:sz w:val="21"/>
          <w:szCs w:val="21"/>
        </w:rPr>
        <w:t xml:space="preserve">When it applies: workloads with a strict single-Region data processing requirement, and any workload that will later move to Provisioned Throughput (Provisioned Throughput only works in-Region). Its main limitation is availability. The Regional availability page shows that many current models have no in-Region option at all and can only be called through a cross-Region profile. Examples verified on the snapshot date: Claude Sonnet 4.6, Claude Opus 4.6, Claude Opus 4.5 and Nova 2 Lite have no in-Region entry in any commercial Region; Claude Sonnet 5 and Claude Opus 5 are in-Region only in us-east-1, eu-north-1, eu-west-1, ap-southeast-4 and GovCloud West; Claude Haiku 4.5 is in-Region in us-east-1, eu-north-1, eu-west-1, ap-northeast-1 and ap-southeast-4. None of the Claude 4.5 and later models has an in-Region entry in ca-central-1 or ca-west-1.</w:t>
      </w:r>
    </w:p>
    <w:p>
      <w:pPr>
        <w:pStyle w:val="Heading2"/>
      </w:pPr>
      <w:r>
        <w:rPr>
          <w:rFonts w:ascii="Calibri" w:cs="Calibri" w:eastAsia="Calibri" w:hAnsi="Calibri"/>
        </w:rPr>
        <w:t xml:space="preserve">4.2 Cross-Region inference with system-defined inference profiles</w:t>
      </w:r>
    </w:p>
    <w:p>
      <w:pPr>
        <w:keepNext w:val="false"/>
        <w:spacing w:after="120" w:line="276"/>
        <w:jc w:val="left"/>
      </w:pPr>
      <w:r>
        <w:rPr>
          <w:rFonts w:ascii="Calibri" w:cs="Calibri" w:eastAsia="Calibri" w:hAnsi="Calibri"/>
          <w:sz w:val="21"/>
          <w:szCs w:val="21"/>
        </w:rPr>
        <w:t xml:space="preserve">A cross-Region inference profile is a predefined resource that names a model and a set of destination Regions. You call it from a source Region by putting the profile ID in modelId, and Bedrock routes the request to one of the destination Regions. AWS positions this as the way to absorb traffic bursts and raise effective throughput without a quota ticket: cross-Region calls have their own quotas ("Cross-region model inference tokens per minute for ...") that are separate from and larger than in-Region quotas, and the 2024 launch announcement quoted up to twice the in-Region allocation.</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1613"/>
        <w:gridCol w:w="4435"/>
        <w:gridCol w:w="4032"/>
      </w:tblGrid>
      <w:tr>
        <w:trPr>
          <w:tblHeader/>
        </w:trPr>
        <w:tc>
          <w:tcPr>
            <w:tcW w:type="dxa" w:w="1613"/>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Aspect</w:t>
            </w:r>
          </w:p>
        </w:tc>
        <w:tc>
          <w:tcPr>
            <w:tcW w:type="dxa" w:w="4435"/>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Geographic (Geo) profile</w:t>
            </w:r>
          </w:p>
        </w:tc>
        <w:tc>
          <w:tcPr>
            <w:tcW w:type="dxa" w:w="4032"/>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Global profile</w:t>
            </w:r>
          </w:p>
        </w:tc>
      </w:tr>
      <w:tr>
        <w:trPr>
          <w:cantSplit w:val="false"/>
        </w:trPr>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Prefix and scope</w:t>
            </w:r>
          </w:p>
        </w:tc>
        <w:tc>
          <w:tcPr>
            <w:tcW w:type="dxa" w:w="4435"/>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7"/>
                <w:szCs w:val="17"/>
              </w:rPr>
              <w:t xml:space="preserve">us.</w:t>
            </w:r>
            <w:r>
              <w:rPr>
                <w:rFonts w:ascii="Calibri" w:cs="Calibri" w:eastAsia="Calibri" w:hAnsi="Calibri"/>
                <w:b w:val="false"/>
                <w:bCs w:val="false"/>
                <w:sz w:val="18"/>
                <w:szCs w:val="18"/>
              </w:rPr>
              <w:t xml:space="preserve"> (US and Canada), </w:t>
            </w:r>
            <w:r>
              <w:rPr>
                <w:rFonts w:ascii="Consolas" w:cs="Consolas" w:eastAsia="Consolas" w:hAnsi="Consolas"/>
                <w:b w:val="false"/>
                <w:bCs w:val="false"/>
                <w:i w:val="false"/>
                <w:iCs w:val="false"/>
                <w:sz w:val="17"/>
                <w:szCs w:val="17"/>
              </w:rPr>
              <w:t xml:space="preserve">eu.</w:t>
            </w:r>
            <w:r>
              <w:rPr>
                <w:rFonts w:ascii="Calibri" w:cs="Calibri" w:eastAsia="Calibri" w:hAnsi="Calibri"/>
                <w:b w:val="false"/>
                <w:bCs w:val="false"/>
                <w:sz w:val="18"/>
                <w:szCs w:val="18"/>
              </w:rPr>
              <w:t xml:space="preserve"> (EU), </w:t>
            </w:r>
            <w:r>
              <w:rPr>
                <w:rFonts w:ascii="Consolas" w:cs="Consolas" w:eastAsia="Consolas" w:hAnsi="Consolas"/>
                <w:b w:val="false"/>
                <w:bCs w:val="false"/>
                <w:i w:val="false"/>
                <w:iCs w:val="false"/>
                <w:sz w:val="17"/>
                <w:szCs w:val="17"/>
              </w:rPr>
              <w:t xml:space="preserve">apac.</w:t>
            </w:r>
            <w:r>
              <w:rPr>
                <w:rFonts w:ascii="Calibri" w:cs="Calibri" w:eastAsia="Calibri" w:hAnsi="Calibri"/>
                <w:b w:val="false"/>
                <w:bCs w:val="false"/>
                <w:sz w:val="18"/>
                <w:szCs w:val="18"/>
              </w:rPr>
              <w:t xml:space="preserve">, </w:t>
            </w:r>
            <w:r>
              <w:rPr>
                <w:rFonts w:ascii="Consolas" w:cs="Consolas" w:eastAsia="Consolas" w:hAnsi="Consolas"/>
                <w:b w:val="false"/>
                <w:bCs w:val="false"/>
                <w:i w:val="false"/>
                <w:iCs w:val="false"/>
                <w:sz w:val="17"/>
                <w:szCs w:val="17"/>
              </w:rPr>
              <w:t xml:space="preserve">jp.</w:t>
            </w:r>
            <w:r>
              <w:rPr>
                <w:rFonts w:ascii="Calibri" w:cs="Calibri" w:eastAsia="Calibri" w:hAnsi="Calibri"/>
                <w:b w:val="false"/>
                <w:bCs w:val="false"/>
                <w:sz w:val="18"/>
                <w:szCs w:val="18"/>
              </w:rPr>
              <w:t xml:space="preserve"> (Tokyo and Osaka), </w:t>
            </w:r>
            <w:r>
              <w:rPr>
                <w:rFonts w:ascii="Consolas" w:cs="Consolas" w:eastAsia="Consolas" w:hAnsi="Consolas"/>
                <w:b w:val="false"/>
                <w:bCs w:val="false"/>
                <w:i w:val="false"/>
                <w:iCs w:val="false"/>
                <w:sz w:val="17"/>
                <w:szCs w:val="17"/>
              </w:rPr>
              <w:t xml:space="preserve">au.</w:t>
            </w:r>
            <w:r>
              <w:rPr>
                <w:rFonts w:ascii="Calibri" w:cs="Calibri" w:eastAsia="Calibri" w:hAnsi="Calibri"/>
                <w:b w:val="false"/>
                <w:bCs w:val="false"/>
                <w:sz w:val="18"/>
                <w:szCs w:val="18"/>
              </w:rPr>
              <w:t xml:space="preserve"> (Sydney, Melbourne, and for some models New Zealand). Requests stay inside the geography.</w:t>
            </w:r>
          </w:p>
        </w:tc>
        <w:tc>
          <w:tcPr>
            <w:tcW w:type="dxa" w:w="4032"/>
            <w:tcMar>
              <w:top w:type="dxa" w:w="50"/>
              <w:left w:type="dxa" w:w="80"/>
              <w:bottom w:type="dxa" w:w="50"/>
              <w:right w:type="dxa" w:w="80"/>
            </w:tcMar>
          </w:tcPr>
          <w:p>
            <w:pPr>
              <w:spacing w:after="40" w:line="252"/>
            </w:pPr>
            <w:r>
              <w:rPr>
                <w:rFonts w:ascii="Consolas" w:cs="Consolas" w:eastAsia="Consolas" w:hAnsi="Consolas"/>
                <w:b w:val="false"/>
                <w:bCs w:val="false"/>
                <w:i w:val="false"/>
                <w:iCs w:val="false"/>
                <w:sz w:val="17"/>
                <w:szCs w:val="17"/>
              </w:rPr>
              <w:t xml:space="preserve">global.</w:t>
            </w:r>
            <w:r>
              <w:rPr>
                <w:rFonts w:ascii="Calibri" w:cs="Calibri" w:eastAsia="Calibri" w:hAnsi="Calibri"/>
                <w:b w:val="false"/>
                <w:bCs w:val="false"/>
                <w:sz w:val="18"/>
                <w:szCs w:val="18"/>
              </w:rPr>
              <w:t xml:space="preserve">. Requests may be processed in any supported commercial Region worldwide.</w:t>
            </w:r>
          </w:p>
        </w:tc>
      </w:tr>
      <w:tr>
        <w:trPr>
          <w:cantSplit w:val="false"/>
        </w:trPr>
        <w:tc>
          <w:tcPr>
            <w:tcW w:type="dxa" w:w="1613"/>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Data residency</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Prompts and outputs may move between Regions of the geography but not outside it. For the Claude 5 models the model cards state explicitly that the US geo profile keeps data within US and Canada Regions. Data at rest stays in the source Region except for abuse detection storage, which is kept in the destination Region.</w:t>
            </w:r>
          </w:p>
        </w:tc>
        <w:tc>
          <w:tcPr>
            <w:tcW w:type="dxa" w:w="403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 geographic restriction. AWS recommends it only when there are no residency constraints.</w:t>
            </w:r>
          </w:p>
        </w:tc>
      </w:tr>
      <w:tr>
        <w:trPr>
          <w:cantSplit w:val="false"/>
        </w:trPr>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Pricing</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Charged at the source Region price with no routing surcharge. For Claude 4.5 and later, Anthropic states that regional endpoints carry a 10 percent premium over global endpoints; a secondary source (Caylent) reports Sonnet 5 on Bedrock at 2.20 and 11.00 USD per million tokens for geographic and in-Region calls versus 2.00 and 10.00 for global.</w:t>
            </w:r>
          </w:p>
        </w:tc>
        <w:tc>
          <w:tcPr>
            <w:tcW w:type="dxa" w:w="403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AWS documentation says approximately 10 percent savings compared with geographic routing for some models.</w:t>
            </w:r>
          </w:p>
        </w:tc>
      </w:tr>
      <w:tr>
        <w:trPr>
          <w:cantSplit w:val="false"/>
        </w:trPr>
        <w:tc>
          <w:tcPr>
            <w:tcW w:type="dxa" w:w="1613"/>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Organization policy</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SCPs must allow every destination Region in the profile.</w:t>
            </w:r>
          </w:p>
        </w:tc>
        <w:tc>
          <w:tcPr>
            <w:tcW w:type="dxa" w:w="403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SCPs must allow "aws:RequestedRegion": "unspecified".</w:t>
            </w:r>
          </w:p>
        </w:tc>
      </w:tr>
      <w:tr>
        <w:trPr>
          <w:cantSplit w:val="false"/>
        </w:trPr>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Region enablement</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Destination Regions do not need to be manually enabled in the account; opt-in Regions can be used even if not enabled.</w:t>
            </w:r>
          </w:p>
        </w:tc>
        <w:tc>
          <w:tcPr>
            <w:tcW w:type="dxa" w:w="403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Same.</w:t>
            </w:r>
          </w:p>
        </w:tc>
      </w:tr>
      <w:tr>
        <w:trPr>
          <w:cantSplit w:val="false"/>
        </w:trPr>
        <w:tc>
          <w:tcPr>
            <w:tcW w:type="dxa" w:w="1613"/>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Auditability</w:t>
            </w:r>
          </w:p>
        </w:tc>
        <w:tc>
          <w:tcPr>
            <w:tcW w:type="dxa" w:w="4435"/>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CloudTrail records every cross-Region request in the source Region; the field additionalEventData.inferenceRegion shows where it ran. Data in transit stays on the AWS network and is encrypted.</w:t>
            </w:r>
          </w:p>
        </w:tc>
        <w:tc>
          <w:tcPr>
            <w:tcW w:type="dxa" w:w="4032"/>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Same.</w:t>
            </w:r>
          </w:p>
        </w:tc>
      </w:tr>
      <w:tr>
        <w:trPr>
          <w:cantSplit w:val="false"/>
        </w:trPr>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Restrictions</w:t>
            </w:r>
          </w:p>
        </w:tc>
        <w:tc>
          <w:tcPr>
            <w:tcW w:type="dxa" w:w="4435"/>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Provisioned Throughput cannot be used through an inference profile. You must have access to the model in every destination Region.</w:t>
            </w:r>
          </w:p>
        </w:tc>
        <w:tc>
          <w:tcPr>
            <w:tcW w:type="dxa" w:w="4032"/>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Same. Global profiles are supported for on-demand inference, batch inference, Agents, model evaluation, Prompt management and Flows.</w:t>
            </w:r>
          </w:p>
        </w:tc>
      </w:tr>
    </w:tbl>
    <w:p>
      <w:pPr>
        <w:spacing w:after="60"/>
      </w:pPr>
      <w:r>
        <w:rPr>
          <w:rFonts w:ascii="Calibri" w:cs="Calibri" w:eastAsia="Calibri" w:hAnsi="Calibri"/>
        </w:rPr>
        <w:t xml:space="preserve"/>
      </w:r>
    </w:p>
    <w:p>
      <w:pPr>
        <w:keepNext w:val="false"/>
        <w:spacing w:after="120" w:line="276"/>
        <w:jc w:val="left"/>
      </w:pPr>
      <w:r>
        <w:rPr>
          <w:rFonts w:ascii="Calibri" w:cs="Calibri" w:eastAsia="Calibri" w:hAnsi="Calibri"/>
          <w:sz w:val="21"/>
          <w:szCs w:val="21"/>
        </w:rPr>
        <w:t xml:space="preserve">When it applies: this is now the default way to reach most current models. For a workload that must keep processing in North America, the us. profile is the correct choice; note the asymmetry visible in the model cards, where a request originating in ca-central-1 may be routed to ca-central-1 or to us-east-1, us-east-2 and us-west-2, while a request originating in a US Region is routed among US Regions only. For a workload with no residency constraint, the global. profile gives the largest capacity pool and, for some models, the lower price.</w:t>
      </w:r>
    </w:p>
    <w:p>
      <w:pPr>
        <w:pStyle w:val="Heading2"/>
      </w:pPr>
      <w:r>
        <w:rPr>
          <w:rFonts w:ascii="Calibri" w:cs="Calibri" w:eastAsia="Calibri" w:hAnsi="Calibri"/>
        </w:rPr>
        <w:t xml:space="preserve">4.3 Application inference profiles</w:t>
      </w:r>
    </w:p>
    <w:p>
      <w:pPr>
        <w:keepNext w:val="false"/>
        <w:spacing w:after="120" w:line="276"/>
        <w:jc w:val="left"/>
      </w:pPr>
      <w:r>
        <w:rPr>
          <w:rFonts w:ascii="Calibri" w:cs="Calibri" w:eastAsia="Calibri" w:hAnsi="Calibri"/>
          <w:sz w:val="21"/>
          <w:szCs w:val="21"/>
        </w:rPr>
        <w:t xml:space="preserve">An application inference profile is a resource you create yourself. It wraps either a foundation model in one Region or a system-defined cross-Region profile, and its purpose is bookkeeping: you attach cost allocation tags to it and you can collect CloudWatch usage metrics per profile. It does not change routing or pricing; the price is the model price in the Region from which you call the profile. It can be used with model inference, Knowledge Bases, model evaluation, Prompt management and Flows.</w:t>
      </w:r>
    </w:p>
    <w:p>
      <w:pPr>
        <w:keepNext w:val="false"/>
        <w:spacing w:after="120" w:line="276"/>
        <w:jc w:val="left"/>
      </w:pPr>
      <w:r>
        <w:rPr>
          <w:rFonts w:ascii="Calibri" w:cs="Calibri" w:eastAsia="Calibri" w:hAnsi="Calibri"/>
          <w:sz w:val="21"/>
          <w:szCs w:val="21"/>
        </w:rPr>
        <w:t xml:space="preserve">When it applies: whenever more than one team, environment or business line shares a Bedrock account and cost or usage has to be attributed. For the document pipeline it is the natural way to separate production extraction traffic from evaluation traffic in Cost Explorer.</w:t>
      </w:r>
    </w:p>
    <w:p>
      <w:pPr>
        <w:pStyle w:val="Heading2"/>
      </w:pPr>
      <w:r>
        <w:rPr>
          <w:rFonts w:ascii="Calibri" w:cs="Calibri" w:eastAsia="Calibri" w:hAnsi="Calibri"/>
        </w:rPr>
        <w:t xml:space="preserve">4.4 Service tiers: Standard, Priority, Flex and Reserved</w:t>
      </w:r>
    </w:p>
    <w:p>
      <w:pPr>
        <w:keepNext w:val="false"/>
        <w:spacing w:after="120" w:line="276"/>
        <w:jc w:val="left"/>
      </w:pPr>
      <w:r>
        <w:rPr>
          <w:rFonts w:ascii="Calibri" w:cs="Calibri" w:eastAsia="Calibri" w:hAnsi="Calibri"/>
          <w:sz w:val="21"/>
          <w:szCs w:val="21"/>
        </w:rPr>
        <w:t xml:space="preserve">Service tiers were introduced in November 2025 and extended with a Reserved tier. They are selected per request with the </w:t>
      </w:r>
      <w:r>
        <w:rPr>
          <w:rFonts w:ascii="Consolas" w:cs="Consolas" w:eastAsia="Consolas" w:hAnsi="Consolas"/>
          <w:sz w:val="20"/>
          <w:szCs w:val="20"/>
        </w:rPr>
        <w:t xml:space="preserve">service_tier</w:t>
      </w:r>
      <w:r>
        <w:rPr>
          <w:rFonts w:ascii="Calibri" w:cs="Calibri" w:eastAsia="Calibri" w:hAnsi="Calibri"/>
          <w:sz w:val="21"/>
          <w:szCs w:val="21"/>
        </w:rPr>
        <w:t xml:space="preserve"> parameter on the runtime API (values </w:t>
      </w:r>
      <w:r>
        <w:rPr>
          <w:rFonts w:ascii="Consolas" w:cs="Consolas" w:eastAsia="Consolas" w:hAnsi="Consolas"/>
          <w:sz w:val="20"/>
          <w:szCs w:val="20"/>
        </w:rPr>
        <w:t xml:space="preserve">reserved</w:t>
      </w:r>
      <w:r>
        <w:rPr>
          <w:rFonts w:ascii="Calibri" w:cs="Calibri" w:eastAsia="Calibri" w:hAnsi="Calibri"/>
          <w:sz w:val="21"/>
          <w:szCs w:val="21"/>
        </w:rPr>
        <w:t xml:space="preserve">, </w:t>
      </w:r>
      <w:r>
        <w:rPr>
          <w:rFonts w:ascii="Consolas" w:cs="Consolas" w:eastAsia="Consolas" w:hAnsi="Consolas"/>
          <w:sz w:val="20"/>
          <w:szCs w:val="20"/>
        </w:rPr>
        <w:t xml:space="preserve">priority</w:t>
      </w:r>
      <w:r>
        <w:rPr>
          <w:rFonts w:ascii="Calibri" w:cs="Calibri" w:eastAsia="Calibri" w:hAnsi="Calibri"/>
          <w:sz w:val="21"/>
          <w:szCs w:val="21"/>
        </w:rPr>
        <w:t xml:space="preserve">, </w:t>
      </w:r>
      <w:r>
        <w:rPr>
          <w:rFonts w:ascii="Consolas" w:cs="Consolas" w:eastAsia="Consolas" w:hAnsi="Consolas"/>
          <w:sz w:val="20"/>
          <w:szCs w:val="20"/>
        </w:rPr>
        <w:t xml:space="preserve">default</w:t>
      </w:r>
      <w:r>
        <w:rPr>
          <w:rFonts w:ascii="Calibri" w:cs="Calibri" w:eastAsia="Calibri" w:hAnsi="Calibri"/>
          <w:sz w:val="21"/>
          <w:szCs w:val="21"/>
        </w:rPr>
        <w:t xml:space="preserve">, </w:t>
      </w:r>
      <w:r>
        <w:rPr>
          <w:rFonts w:ascii="Consolas" w:cs="Consolas" w:eastAsia="Consolas" w:hAnsi="Consolas"/>
          <w:sz w:val="20"/>
          <w:szCs w:val="20"/>
        </w:rPr>
        <w:t xml:space="preserve">flex</w:t>
      </w:r>
      <w:r>
        <w:rPr>
          <w:rFonts w:ascii="Calibri" w:cs="Calibri" w:eastAsia="Calibri" w:hAnsi="Calibri"/>
          <w:sz w:val="21"/>
          <w:szCs w:val="21"/>
        </w:rPr>
        <w:t xml:space="preserve">); Standard is used when the parameter is omitted. The on-demand quota for a model is shared across Priority, Standard and Flex; Reserved capacity is separate. The tier that actually served a request is visible in the API response, in CloudTrail, and in CloudWatch under ServiceTier and ResolvedServiceTier.</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1109"/>
        <w:gridCol w:w="3326"/>
        <w:gridCol w:w="1613"/>
        <w:gridCol w:w="2218"/>
        <w:gridCol w:w="1814"/>
      </w:tblGrid>
      <w:tr>
        <w:trPr>
          <w:tblHeader/>
        </w:trPr>
        <w:tc>
          <w:tcPr>
            <w:tcW w:type="dxa" w:w="1109"/>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Tier</w:t>
            </w:r>
          </w:p>
        </w:tc>
        <w:tc>
          <w:tcPr>
            <w:tcW w:type="dxa" w:w="3326"/>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Behavior</w:t>
            </w:r>
          </w:p>
        </w:tc>
        <w:tc>
          <w:tcPr>
            <w:tcW w:type="dxa" w:w="1613"/>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Price relative to Standard</w:t>
            </w:r>
          </w:p>
        </w:tc>
        <w:tc>
          <w:tcPr>
            <w:tcW w:type="dxa" w:w="2218"/>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When it applies</w:t>
            </w:r>
          </w:p>
        </w:tc>
        <w:tc>
          <w:tcPr>
            <w:tcW w:type="dxa" w:w="1814"/>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Model support</w:t>
            </w:r>
          </w:p>
        </w:tc>
      </w:tr>
      <w:tr>
        <w:trPr>
          <w:cantSplit w:val="false"/>
        </w:trPr>
        <w:tc>
          <w:tcPr>
            <w:tcW w:type="dxa" w:w="110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Standard</w:t>
            </w:r>
          </w:p>
        </w:tc>
        <w:tc>
          <w:tcPr>
            <w:tcW w:type="dxa" w:w="33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Default on-demand processing.</w:t>
            </w:r>
          </w:p>
        </w:tc>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List price.</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Everyday production traffic.</w:t>
            </w:r>
          </w:p>
        </w:tc>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All models.</w:t>
            </w:r>
          </w:p>
        </w:tc>
      </w:tr>
      <w:tr>
        <w:trPr>
          <w:cantSplit w:val="false"/>
        </w:trPr>
        <w:tc>
          <w:tcPr>
            <w:tcW w:type="dxa" w:w="110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Priority</w:t>
            </w:r>
          </w:p>
        </w:tc>
        <w:tc>
          <w:tcPr>
            <w:tcW w:type="dxa" w:w="33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Requests are prioritized over Standard and Flex; AWS quotes up to 25 percent better output tokens per second for most supporting models. No reservation needed.</w:t>
            </w:r>
          </w:p>
        </w:tc>
        <w:tc>
          <w:tcPr>
            <w:tcW w:type="dxa" w:w="1613"/>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AWS pricing page footnote: 75 percent premium.</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Customer-facing, latency-sensitive paths that do not justify a 24x7 reservation.</w:t>
            </w:r>
          </w:p>
        </w:tc>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Per model card. Nova 2 Lite: yes. Claude Sonnet 5, Opus 5, Fable 5, Haiku 4.5: no.</w:t>
            </w:r>
          </w:p>
        </w:tc>
      </w:tr>
      <w:tr>
        <w:trPr>
          <w:cantSplit w:val="false"/>
        </w:trPr>
        <w:tc>
          <w:tcPr>
            <w:tcW w:type="dxa" w:w="1109"/>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Flex</w:t>
            </w:r>
          </w:p>
        </w:tc>
        <w:tc>
          <w:tcPr>
            <w:tcW w:type="dxa" w:w="33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Lower priority during peak demand, longer processing times.</w:t>
            </w:r>
          </w:p>
        </w:tc>
        <w:tc>
          <w:tcPr>
            <w:tcW w:type="dxa" w:w="1613"/>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AWS pricing page footnote: 50 percent discount.</w:t>
            </w:r>
          </w:p>
        </w:tc>
        <w:tc>
          <w:tcPr>
            <w:tcW w:type="dxa" w:w="2218"/>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Evaluations, summarization, labeling, agentic steps and other work that tolerates delay but should stay on the synchronous API.</w:t>
            </w:r>
          </w:p>
        </w:tc>
        <w:tc>
          <w:tcPr>
            <w:tcW w:type="dxa" w:w="181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Per model card. Nova 2 Lite: yes. Claude Sonnet 5, Opus 5, Fable 5, Haiku 4.5: no.</w:t>
            </w:r>
          </w:p>
        </w:tc>
      </w:tr>
      <w:tr>
        <w:trPr>
          <w:cantSplit w:val="false"/>
        </w:trPr>
        <w:tc>
          <w:tcPr>
            <w:tcW w:type="dxa" w:w="1109"/>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Reserved</w:t>
            </w:r>
          </w:p>
        </w:tc>
        <w:tc>
          <w:tcPr>
            <w:tcW w:type="dxa" w:w="33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Reserved, prioritized capacity with separate input and output tokens-per-minute allocations, targeting 99.5 percent uptime for model response. Overflow above the reservation goes to Standard automatically. Minimum 100,000 input TPM and 10,000 output TPM. Terms of 1 or 3 months, billed monthly at a fixed price per 1,000 TPM. Set at the account level through the AWS account team, not per request. Cache write tokens count toward the reservation.</w:t>
            </w:r>
          </w:p>
        </w:tc>
        <w:tc>
          <w:tcPr>
            <w:tcW w:type="dxa" w:w="1613"/>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Fixed price per 1K TPM per month (not published as a rate card).</w:t>
            </w:r>
          </w:p>
        </w:tc>
        <w:tc>
          <w:tcPr>
            <w:tcW w:type="dxa" w:w="2218"/>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Mission-critical workloads with steady tokens-per-minute needs. This is the current successor to Provisioned Throughput for models that no longer offer it.</w:t>
            </w:r>
          </w:p>
        </w:tc>
        <w:tc>
          <w:tcPr>
            <w:tcW w:type="dxa" w:w="181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Per model card. Claude Haiku 4.5: yes. Claude Sonnet 5, Opus 5, Fable 5, Nova 2 Lite: no.</w:t>
            </w:r>
          </w:p>
        </w:tc>
      </w:tr>
    </w:tbl>
    <w:p>
      <w:pPr>
        <w:pStyle w:val="Heading2"/>
      </w:pPr>
      <w:r>
        <w:rPr>
          <w:rFonts w:ascii="Calibri" w:cs="Calibri" w:eastAsia="Calibri" w:hAnsi="Calibri"/>
        </w:rPr>
        <w:t xml:space="preserve">4.5 Batch inference</w:t>
      </w:r>
    </w:p>
    <w:p>
      <w:pPr>
        <w:keepNext w:val="false"/>
        <w:spacing w:after="120" w:line="276"/>
        <w:jc w:val="left"/>
      </w:pPr>
      <w:r>
        <w:rPr>
          <w:rFonts w:ascii="Calibri" w:cs="Calibri" w:eastAsia="Calibri" w:hAnsi="Calibri"/>
          <w:sz w:val="21"/>
          <w:szCs w:val="21"/>
        </w:rPr>
        <w:t xml:space="preserve">Batch inference (</w:t>
      </w:r>
      <w:r>
        <w:rPr>
          <w:rFonts w:ascii="Consolas" w:cs="Consolas" w:eastAsia="Consolas" w:hAnsi="Consolas"/>
          <w:sz w:val="20"/>
          <w:szCs w:val="20"/>
        </w:rPr>
        <w:t xml:space="preserve">CreateModelInvocationJob</w:t>
      </w:r>
      <w:r>
        <w:rPr>
          <w:rFonts w:ascii="Calibri" w:cs="Calibri" w:eastAsia="Calibri" w:hAnsi="Calibri"/>
          <w:sz w:val="21"/>
          <w:szCs w:val="21"/>
        </w:rPr>
        <w:t xml:space="preserve">) takes a JSONL file of prompts from S3, runs them asynchronously, and writes the responses back to S3. AWS prices it at 50 percent of on-demand for the supported models and, at general availability, quoted a typical completion time within 24 hours. Each record is processed independently, so features that need multi-turn interaction are unavailable. Job state changes can be delivered through EventBridge instead of polling. The user guide also documents an OpenAI Batch API surface on Bedrock.</w:t>
      </w:r>
    </w:p>
    <w:p>
      <w:pPr>
        <w:keepNext w:val="false"/>
        <w:spacing w:after="120" w:line="276"/>
        <w:jc w:val="left"/>
      </w:pPr>
      <w:r>
        <w:rPr>
          <w:rFonts w:ascii="Calibri" w:cs="Calibri" w:eastAsia="Calibri" w:hAnsi="Calibri"/>
          <w:sz w:val="21"/>
          <w:szCs w:val="21"/>
        </w:rPr>
        <w:t xml:space="preserve">Model support is per model and per Region and is listed on the batch inference support page. On the snapshot date that page listed, among others: Claude Haiku 4.5, Claude Sonnet 4.5, Claude Sonnet 4.6, Claude Opus 4.5, Claude Opus 4.6, Claude Sonnet 4 (Legacy), Claude 3.x models, Nova 2 Lite, Nova Pro, Nova Lite, Nova Micro, Nova Premier (Legacy), Qwen3 VL 235B, NVIDIA Nemotron Nano 12B v2 VL, Meta Llama 4 Maverick and Scout, Google Gemma 3, DeepSeek V3.1 and V3.2, Mistral Large 3 and several others. Most Anthropic and Nova entries are supported through cross-Region inference profiles rather than in-Region. The Claude 5 family and Claude Opus 4.7 and 4.8 were not yet on that page, although the Claude Opus 5 model card lists batch as supported; confirm in the target Region before designing around a batch discount for those models. No Cohere generation model appears on the page.</w:t>
      </w:r>
    </w:p>
    <w:p>
      <w:pPr>
        <w:keepNext w:val="false"/>
        <w:spacing w:after="120" w:line="276"/>
        <w:jc w:val="left"/>
      </w:pPr>
      <w:r>
        <w:rPr>
          <w:rFonts w:ascii="Calibri" w:cs="Calibri" w:eastAsia="Calibri" w:hAnsi="Calibri"/>
          <w:sz w:val="21"/>
          <w:szCs w:val="21"/>
        </w:rPr>
        <w:t xml:space="preserve">When it applies: any backlog or nightly workload where results are not needed synchronously. For a document extraction pipeline that already buffers work in a queue, batch is the largest single price lever available at 50 percent off, and it can be combined with prompt caching where the model supports both.</w:t>
      </w:r>
    </w:p>
    <w:p>
      <w:pPr>
        <w:pStyle w:val="Heading2"/>
      </w:pPr>
      <w:r>
        <w:rPr>
          <w:rFonts w:ascii="Calibri" w:cs="Calibri" w:eastAsia="Calibri" w:hAnsi="Calibri"/>
        </w:rPr>
        <w:t xml:space="preserve">4.6 Provisioned Throughput</w:t>
      </w:r>
    </w:p>
    <w:p>
      <w:pPr>
        <w:keepNext w:val="false"/>
        <w:spacing w:after="120" w:line="276"/>
        <w:jc w:val="left"/>
      </w:pPr>
      <w:r>
        <w:rPr>
          <w:rFonts w:ascii="Calibri" w:cs="Calibri" w:eastAsia="Calibri" w:hAnsi="Calibri"/>
          <w:sz w:val="21"/>
          <w:szCs w:val="21"/>
        </w:rPr>
        <w:t xml:space="preserve">Provisioned Throughput reserves dedicated capacity in Model Units. Each Model Unit delivers a stated number of input and output tokens per minute for a specific model, billed hourly, with commitment terms of no commitment, 1 month or 6 months (longer terms are cheaper per hour). It is mandatory for customized models unless the model is deployed with on-demand custom model deployment (Section 4.9). It cannot be used through inference profiles, and it cannot be created for models in the Legacy state.</w:t>
      </w:r>
    </w:p>
    <w:p>
      <w:pPr>
        <w:keepNext w:val="false"/>
        <w:spacing w:after="120" w:line="276"/>
        <w:jc w:val="left"/>
      </w:pPr>
      <w:r>
        <w:rPr>
          <w:rFonts w:ascii="Calibri" w:cs="Calibri" w:eastAsia="Calibri" w:hAnsi="Calibri"/>
          <w:sz w:val="21"/>
          <w:szCs w:val="21"/>
        </w:rPr>
        <w:t xml:space="preserve">The important planning fact is the supported model list. On the snapshot date it covered Nova 2 Lite, Nova Lite, Nova Micro, Nova Pro, Nova Canvas, Titan Embeddings and Titan Image Generator, Claude 2.x, Claude Instant, Claude 3 Haiku, Claude 3 Sonnet, Claude 3.5 Sonnet and 3.5 Sonnet v2, Cohere Embed English and Multilingual, and Llama 3.1 and 3.2. No Claude 4.x or 5.x model, no Nova Premier, and no Cohere Command model can be provisioned. AWS GovCloud West supports it only for custom models without commitment.</w:t>
      </w:r>
    </w:p>
    <w:p>
      <w:pPr>
        <w:keepNext w:val="false"/>
        <w:spacing w:after="120" w:line="276"/>
        <w:jc w:val="left"/>
      </w:pPr>
      <w:r>
        <w:rPr>
          <w:rFonts w:ascii="Calibri" w:cs="Calibri" w:eastAsia="Calibri" w:hAnsi="Calibri"/>
          <w:sz w:val="21"/>
          <w:szCs w:val="21"/>
        </w:rPr>
        <w:t xml:space="preserve">When it applies: legacy or Amazon-model workloads with steady, high, predictable volume, or customized models that must run in-Region. For current Claude models it does not apply; the Reserved service tier is the equivalent lever where the model card lists it.</w:t>
      </w:r>
    </w:p>
    <w:p>
      <w:pPr>
        <w:pStyle w:val="Heading2"/>
      </w:pPr>
      <w:r>
        <w:rPr>
          <w:rFonts w:ascii="Calibri" w:cs="Calibri" w:eastAsia="Calibri" w:hAnsi="Calibri"/>
        </w:rPr>
        <w:t xml:space="preserve">4.7 Latency-optimized inference</w:t>
      </w:r>
    </w:p>
    <w:p>
      <w:pPr>
        <w:keepNext w:val="false"/>
        <w:spacing w:after="120" w:line="276"/>
        <w:jc w:val="left"/>
      </w:pPr>
      <w:r>
        <w:rPr>
          <w:rFonts w:ascii="Calibri" w:cs="Calibri" w:eastAsia="Calibri" w:hAnsi="Calibri"/>
          <w:sz w:val="21"/>
          <w:szCs w:val="21"/>
        </w:rPr>
        <w:t xml:space="preserve">This remains a preview feature. It is selected per request with </w:t>
      </w:r>
      <w:r>
        <w:rPr>
          <w:rFonts w:ascii="Consolas" w:cs="Consolas" w:eastAsia="Consolas" w:hAnsi="Consolas"/>
          <w:sz w:val="20"/>
          <w:szCs w:val="20"/>
        </w:rPr>
        <w:t xml:space="preserve">performanceConfig</w:t>
      </w:r>
      <w:r>
        <w:rPr>
          <w:rFonts w:ascii="Calibri" w:cs="Calibri" w:eastAsia="Calibri" w:hAnsi="Calibri"/>
          <w:sz w:val="21"/>
          <w:szCs w:val="21"/>
        </w:rPr>
        <w:t xml:space="preserve"> set to </w:t>
      </w:r>
      <w:r>
        <w:rPr>
          <w:rFonts w:ascii="Consolas" w:cs="Consolas" w:eastAsia="Consolas" w:hAnsi="Consolas"/>
          <w:sz w:val="20"/>
          <w:szCs w:val="20"/>
        </w:rPr>
        <w:t xml:space="preserve">{"latency": "optimized"}</w:t>
      </w:r>
      <w:r>
        <w:rPr>
          <w:rFonts w:ascii="Calibri" w:cs="Calibri" w:eastAsia="Calibri" w:hAnsi="Calibri"/>
          <w:sz w:val="21"/>
          <w:szCs w:val="21"/>
        </w:rPr>
        <w:t xml:space="preserve"> and falls back to Standard when the optimized capacity is exhausted. Documented coverage is limited to Amazon Nova Pro, Claude 3.5 Haiku, and Meta Llama 3.1 70B and 405B in specific US Regions through cross-Region inference. It does not cover any Claude 4.x or 5.x model, so it is not a lever for the current pipeline; the Priority service tier is the current mechanism for the models that support it.</w:t>
      </w:r>
    </w:p>
    <w:p>
      <w:pPr>
        <w:pStyle w:val="Heading2"/>
      </w:pPr>
      <w:r>
        <w:rPr>
          <w:rFonts w:ascii="Calibri" w:cs="Calibri" w:eastAsia="Calibri" w:hAnsi="Calibri"/>
        </w:rPr>
        <w:t xml:space="preserve">4.8 Prompt caching</w:t>
      </w:r>
    </w:p>
    <w:p>
      <w:pPr>
        <w:keepNext w:val="false"/>
        <w:spacing w:after="120" w:line="276"/>
        <w:jc w:val="left"/>
      </w:pPr>
      <w:r>
        <w:rPr>
          <w:rFonts w:ascii="Calibri" w:cs="Calibri" w:eastAsia="Calibri" w:hAnsi="Calibri"/>
          <w:sz w:val="21"/>
          <w:szCs w:val="21"/>
        </w:rPr>
        <w:t xml:space="preserve">Prompt caching stores a prefix of the prompt (system prompt, prior messages, tool definitions) so later requests that share the prefix are billed at a much lower rate for those tokens and are processed faster. Support and limits are documented on each model card. Verified values: Claude Sonnet 5 needs at least 4,096 tokens per cache checkpoint, Claude Fable 5 at least 1,024, Claude Opus 5 at least 512, Claude Haiku 4.5 at least 4,096; all four allow up to 4 checkpoints per request and both a 5 minute and a 1 hour time to live, on the system, messages and tools fields. Nova 2 Lite needs at least 1,000 tokens, supports 4 checkpoints, only the 5 minute time to live, a maximum of 20,000 cached tokens, and caching is intended primarily for text prompts.</w:t>
      </w:r>
    </w:p>
    <w:p>
      <w:pPr>
        <w:keepNext w:val="false"/>
        <w:spacing w:after="120" w:line="276"/>
        <w:jc w:val="left"/>
      </w:pPr>
      <w:r>
        <w:rPr>
          <w:rFonts w:ascii="Calibri" w:cs="Calibri" w:eastAsia="Calibri" w:hAnsi="Calibri"/>
          <w:sz w:val="21"/>
          <w:szCs w:val="21"/>
        </w:rPr>
        <w:t xml:space="preserve">Anthropic publishes the multipliers used for Claude: a 5 minute cache write costs 1.25 times the base input price, a 1 hour write costs 2 times, and a cache read costs 0.1 times, so a 5 minute cache pays for itself after one hit. Cache read tokens do not count against tokens-per-minute quotas on bedrock-runtime, which makes caching a throughput lever as well as a cost lever. Caching stacks with the batch discount and with cross-Region routing.</w:t>
      </w:r>
    </w:p>
    <w:p>
      <w:pPr>
        <w:keepNext w:val="false"/>
        <w:spacing w:after="120" w:line="276"/>
        <w:jc w:val="left"/>
      </w:pPr>
      <w:r>
        <w:rPr>
          <w:rFonts w:ascii="Calibri" w:cs="Calibri" w:eastAsia="Calibri" w:hAnsi="Calibri"/>
          <w:sz w:val="21"/>
          <w:szCs w:val="21"/>
        </w:rPr>
        <w:t xml:space="preserve">When it applies: any prompt with a large stable prefix. In an extraction pipeline the extraction instructions, field schema and few-shot examples are the natural cached prefix; the per-document image is the variable suffix.</w:t>
      </w:r>
    </w:p>
    <w:p>
      <w:pPr>
        <w:pStyle w:val="Heading2"/>
      </w:pPr>
      <w:r>
        <w:rPr>
          <w:rFonts w:ascii="Calibri" w:cs="Calibri" w:eastAsia="Calibri" w:hAnsi="Calibri"/>
        </w:rPr>
        <w:t xml:space="preserve">4.9 Custom models: fine-tuning, distillation and Custom Model Import</w:t>
      </w:r>
    </w:p>
    <w:p>
      <w:pPr>
        <w:keepNext w:val="false"/>
        <w:spacing w:after="120" w:line="276"/>
        <w:jc w:val="left"/>
      </w:pPr>
      <w:r>
        <w:rPr>
          <w:rFonts w:ascii="Calibri" w:cs="Calibri" w:eastAsia="Calibri" w:hAnsi="Calibri"/>
          <w:sz w:val="21"/>
          <w:szCs w:val="21"/>
        </w:rPr>
        <w:t xml:space="preserve">Customized models (fine-tuned, distilled or imported) can be served either with Provisioned Throughput or, for models customized on or after July 16, 2025, with on-demand custom model deployment in us-east-1 or us-west-2, in which case the deployment ARN is used as modelId and billing is on demand. Customization is only available for a documented set of base models and cannot be started once a base model enters the Legacy state. Custom Model Import is a separate path that brings supported open-weight architectures into Bedrock as serverless models.</w:t>
      </w:r>
    </w:p>
    <w:p>
      <w:pPr>
        <w:keepNext w:val="false"/>
        <w:spacing w:after="120" w:line="276"/>
        <w:jc w:val="left"/>
      </w:pPr>
      <w:r>
        <w:rPr>
          <w:rFonts w:ascii="Calibri" w:cs="Calibri" w:eastAsia="Calibri" w:hAnsi="Calibri"/>
          <w:sz w:val="21"/>
          <w:szCs w:val="21"/>
        </w:rPr>
        <w:t xml:space="preserve">When it applies: only when prompt engineering, caching and model choice cannot reach the quality target, and only with a base model that Bedrock allows to be customized. This document does not evaluate customization further; Document 3 lists it as an open item.</w:t>
      </w:r>
    </w:p>
    <w:p>
      <w:pPr>
        <w:pStyle w:val="Heading2"/>
      </w:pPr>
      <w:r>
        <w:rPr>
          <w:rFonts w:ascii="Calibri" w:cs="Calibri" w:eastAsia="Calibri" w:hAnsi="Calibri"/>
        </w:rPr>
        <w:t xml:space="preserve">4.10 Models that are not Bedrock serverless models: Bedrock Marketplace and SageMaker</w:t>
      </w:r>
    </w:p>
    <w:p>
      <w:pPr>
        <w:keepNext w:val="false"/>
        <w:spacing w:after="120" w:line="276"/>
        <w:jc w:val="left"/>
      </w:pPr>
      <w:r>
        <w:rPr>
          <w:rFonts w:ascii="Calibri" w:cs="Calibri" w:eastAsia="Calibri" w:hAnsi="Calibri"/>
          <w:sz w:val="21"/>
          <w:szCs w:val="21"/>
        </w:rPr>
        <w:t xml:space="preserve">Bedrock Marketplace exposes more than 100 additional models that are deployed onto dedicated endpoints rather than shared serverless capacity, and SageMaker JumpStart offers a still larger catalog with subscription-based Marketplace packages. Everything in Sections 4.2 to 4.8 applies only to serverless Bedrock models. A model reached through a Marketplace or SageMaker endpoint has no cross-Region profile, no service tiers, no Bedrock batch discount, no Bedrock prompt caching and no Bedrock lifecycle table; capacity, scaling and cost are those of the underlying instances. This distinction matters for the current pipeline because the Cohere Command A family is served on AWS through SageMaker (see Document 2, Section 2).</w:t>
      </w:r>
    </w:p>
    <w:p>
      <w:pPr>
        <w:pStyle w:val="Heading1"/>
      </w:pPr>
      <w:r>
        <w:rPr>
          <w:rFonts w:ascii="Calibri" w:cs="Calibri" w:eastAsia="Calibri" w:hAnsi="Calibri"/>
        </w:rPr>
        <w:t xml:space="preserve">5. Quotas, throughput accounting and monitoring</w:t>
      </w:r>
    </w:p>
    <w:p>
      <w:pPr>
        <w:keepNext w:val="false"/>
        <w:spacing w:after="120" w:line="276"/>
        <w:jc w:val="left"/>
      </w:pPr>
      <w:r>
        <w:rPr>
          <w:rFonts w:ascii="Calibri" w:cs="Calibri" w:eastAsia="Calibri" w:hAnsi="Calibri"/>
          <w:sz w:val="21"/>
          <w:szCs w:val="21"/>
        </w:rPr>
        <w:t xml:space="preserve">On-demand throughput is bounded per model, per Region and per account by requests-per-minute and tokens-per-minute quotas. Cross-Region profiles have their own, larger quotas. Two accounting rules cause most unexpected throttling and both are documented by AWS.</w:t>
      </w:r>
    </w:p>
    <w:p>
      <w:pPr>
        <w:pStyle w:val="ListParagraph"/>
        <w:numPr>
          <w:ilvl w:val="0"/>
          <w:numId w:val="2"/>
        </w:numPr>
        <w:spacing w:after="60" w:line="276"/>
      </w:pPr>
      <w:r>
        <w:rPr>
          <w:rFonts w:ascii="Calibri" w:cs="Calibri" w:eastAsia="Calibri" w:hAnsi="Calibri"/>
          <w:sz w:val="21"/>
          <w:szCs w:val="21"/>
        </w:rPr>
        <w:t xml:space="preserve">The full </w:t>
      </w:r>
      <w:r>
        <w:rPr>
          <w:rFonts w:ascii="Consolas" w:cs="Consolas" w:eastAsia="Consolas" w:hAnsi="Consolas"/>
          <w:sz w:val="20"/>
          <w:szCs w:val="20"/>
        </w:rPr>
        <w:t xml:space="preserve">max_tokens</w:t>
      </w:r>
      <w:r>
        <w:rPr>
          <w:rFonts w:ascii="Calibri" w:cs="Calibri" w:eastAsia="Calibri" w:hAnsi="Calibri"/>
          <w:sz w:val="21"/>
          <w:szCs w:val="21"/>
        </w:rPr>
        <w:t xml:space="preserve"> value is deducted from the tokens-per-minute quota at the start of each request and the unused part is returned when the request completes. Requests that leave max_tokens at the model maximum (128,000 for Claude Sonnet 5) reserve far more quota than they use. Right-sizing max_tokens is the cheapest throughput fix available.</w:t>
      </w:r>
    </w:p>
    <w:p>
      <w:pPr>
        <w:pStyle w:val="ListParagraph"/>
        <w:numPr>
          <w:ilvl w:val="0"/>
          <w:numId w:val="2"/>
        </w:numPr>
        <w:spacing w:after="60" w:line="276"/>
      </w:pPr>
      <w:r>
        <w:rPr>
          <w:rFonts w:ascii="Calibri" w:cs="Calibri" w:eastAsia="Calibri" w:hAnsi="Calibri"/>
          <w:sz w:val="21"/>
          <w:szCs w:val="21"/>
        </w:rPr>
        <w:t xml:space="preserve">Output tokens are weighted by a model-specific burndown rate on bedrock-runtime. Verified values on the snapshot date: 15x for Claude 4.8, 10x for Claude Sonnet 5 and Claude Opus 5, 5x for all other Anthropic models version 4.7 and below, and 1:1 for all other models. Quota consumed equals input tokens plus cache write tokens plus output tokens times the burndown rate; cache read tokens are not counted. Billing is always on actual tokens. Models served only through bedrock-mantle have separate input and output quotas and no burndown.</w:t>
      </w:r>
    </w:p>
    <w:p>
      <w:pPr>
        <w:keepNext w:val="false"/>
        <w:spacing w:after="120" w:line="276"/>
        <w:jc w:val="left"/>
      </w:pPr>
      <w:r>
        <w:rPr>
          <w:rFonts w:ascii="Calibri" w:cs="Calibri" w:eastAsia="Calibri" w:hAnsi="Calibri"/>
          <w:sz w:val="21"/>
          <w:szCs w:val="21"/>
        </w:rPr>
        <w:t xml:space="preserve">AWS added two CloudWatch metrics in March 2026 to make this visible: TimeToFirstToken and EstimatedTPMQuotaUsage (which already includes cache writes and the burndown multiplier). Model invocation logging can be sent to CloudWatch Logs and S3. Quota increases are requested through Service Quotas and are not expected to be approved for models in the public extended access phase of Legacy.</w:t>
      </w:r>
    </w:p>
    <w:p>
      <w:pPr>
        <w:pStyle w:val="Heading1"/>
      </w:pPr>
      <w:r>
        <w:rPr>
          <w:rFonts w:ascii="Calibri" w:cs="Calibri" w:eastAsia="Calibri" w:hAnsi="Calibri"/>
        </w:rPr>
        <w:t xml:space="preserve">6. Model IDs, versioning and lifecycle</w:t>
      </w:r>
    </w:p>
    <w:p>
      <w:pPr>
        <w:pStyle w:val="Heading2"/>
      </w:pPr>
      <w:r>
        <w:rPr>
          <w:rFonts w:ascii="Calibri" w:cs="Calibri" w:eastAsia="Calibri" w:hAnsi="Calibri"/>
        </w:rPr>
        <w:t xml:space="preserve">6.1 Model ID conventions</w:t>
      </w:r>
    </w:p>
    <w:p>
      <w:pPr>
        <w:keepNext w:val="false"/>
        <w:spacing w:after="120" w:line="276"/>
        <w:jc w:val="left"/>
      </w:pPr>
      <w:r>
        <w:rPr>
          <w:rFonts w:ascii="Calibri" w:cs="Calibri" w:eastAsia="Calibri" w:hAnsi="Calibri"/>
          <w:sz w:val="21"/>
          <w:szCs w:val="21"/>
        </w:rPr>
        <w:t xml:space="preserve">Three ID styles coexist in the catalog. Dated, versioned IDs such as </w:t>
      </w:r>
      <w:r>
        <w:rPr>
          <w:rFonts w:ascii="Consolas" w:cs="Consolas" w:eastAsia="Consolas" w:hAnsi="Consolas"/>
          <w:sz w:val="20"/>
          <w:szCs w:val="20"/>
        </w:rPr>
        <w:t xml:space="preserve">anthropic.claude-haiku-4-5-20251001-v1:0</w:t>
      </w:r>
      <w:r>
        <w:rPr>
          <w:rFonts w:ascii="Calibri" w:cs="Calibri" w:eastAsia="Calibri" w:hAnsi="Calibri"/>
          <w:sz w:val="21"/>
          <w:szCs w:val="21"/>
        </w:rPr>
        <w:t xml:space="preserve"> pin an exact snapshot. Newer Anthropic models use short IDs without a date, for example </w:t>
      </w:r>
      <w:r>
        <w:rPr>
          <w:rFonts w:ascii="Consolas" w:cs="Consolas" w:eastAsia="Consolas" w:hAnsi="Consolas"/>
          <w:sz w:val="20"/>
          <w:szCs w:val="20"/>
        </w:rPr>
        <w:t xml:space="preserve">anthropic.claude-sonnet-4-6</w:t>
      </w:r>
      <w:r>
        <w:rPr>
          <w:rFonts w:ascii="Calibri" w:cs="Calibri" w:eastAsia="Calibri" w:hAnsi="Calibri"/>
          <w:sz w:val="21"/>
          <w:szCs w:val="21"/>
        </w:rPr>
        <w:t xml:space="preserve">, </w:t>
      </w:r>
      <w:r>
        <w:rPr>
          <w:rFonts w:ascii="Consolas" w:cs="Consolas" w:eastAsia="Consolas" w:hAnsi="Consolas"/>
          <w:sz w:val="20"/>
          <w:szCs w:val="20"/>
        </w:rPr>
        <w:t xml:space="preserve">anthropic.claude-opus-4-6-v1</w:t>
      </w:r>
      <w:r>
        <w:rPr>
          <w:rFonts w:ascii="Calibri" w:cs="Calibri" w:eastAsia="Calibri" w:hAnsi="Calibri"/>
          <w:sz w:val="21"/>
          <w:szCs w:val="21"/>
        </w:rPr>
        <w:t xml:space="preserve">, </w:t>
      </w:r>
      <w:r>
        <w:rPr>
          <w:rFonts w:ascii="Consolas" w:cs="Consolas" w:eastAsia="Consolas" w:hAnsi="Consolas"/>
          <w:sz w:val="20"/>
          <w:szCs w:val="20"/>
        </w:rPr>
        <w:t xml:space="preserve">anthropic.claude-sonnet-5</w:t>
      </w:r>
      <w:r>
        <w:rPr>
          <w:rFonts w:ascii="Calibri" w:cs="Calibri" w:eastAsia="Calibri" w:hAnsi="Calibri"/>
          <w:sz w:val="21"/>
          <w:szCs w:val="21"/>
        </w:rPr>
        <w:t xml:space="preserve">, </w:t>
      </w:r>
      <w:r>
        <w:rPr>
          <w:rFonts w:ascii="Consolas" w:cs="Consolas" w:eastAsia="Consolas" w:hAnsi="Consolas"/>
          <w:sz w:val="20"/>
          <w:szCs w:val="20"/>
        </w:rPr>
        <w:t xml:space="preserve">anthropic.claude-opus-5</w:t>
      </w:r>
      <w:r>
        <w:rPr>
          <w:rFonts w:ascii="Calibri" w:cs="Calibri" w:eastAsia="Calibri" w:hAnsi="Calibri"/>
          <w:sz w:val="21"/>
          <w:szCs w:val="21"/>
        </w:rPr>
        <w:t xml:space="preserve"> and </w:t>
      </w:r>
      <w:r>
        <w:rPr>
          <w:rFonts w:ascii="Consolas" w:cs="Consolas" w:eastAsia="Consolas" w:hAnsi="Consolas"/>
          <w:sz w:val="20"/>
          <w:szCs w:val="20"/>
        </w:rPr>
        <w:t xml:space="preserve">anthropic.claude-fable-5</w:t>
      </w:r>
      <w:r>
        <w:rPr>
          <w:rFonts w:ascii="Calibri" w:cs="Calibri" w:eastAsia="Calibri" w:hAnsi="Calibri"/>
          <w:sz w:val="21"/>
          <w:szCs w:val="21"/>
        </w:rPr>
        <w:t xml:space="preserve">. Amazon models use </w:t>
      </w:r>
      <w:r>
        <w:rPr>
          <w:rFonts w:ascii="Consolas" w:cs="Consolas" w:eastAsia="Consolas" w:hAnsi="Consolas"/>
          <w:sz w:val="20"/>
          <w:szCs w:val="20"/>
        </w:rPr>
        <w:t xml:space="preserve">amazon.nova-2-lite-v1:0</w:t>
      </w:r>
      <w:r>
        <w:rPr>
          <w:rFonts w:ascii="Calibri" w:cs="Calibri" w:eastAsia="Calibri" w:hAnsi="Calibri"/>
          <w:sz w:val="21"/>
          <w:szCs w:val="21"/>
        </w:rPr>
        <w:t xml:space="preserve"> style IDs. On bedrock-mantle the Anthropic-style short names are used for all Claude models (for example </w:t>
      </w:r>
      <w:r>
        <w:rPr>
          <w:rFonts w:ascii="Consolas" w:cs="Consolas" w:eastAsia="Consolas" w:hAnsi="Consolas"/>
          <w:sz w:val="20"/>
          <w:szCs w:val="20"/>
        </w:rPr>
        <w:t xml:space="preserve">anthropic.claude-haiku-4-5</w:t>
      </w:r>
      <w:r>
        <w:rPr>
          <w:rFonts w:ascii="Calibri" w:cs="Calibri" w:eastAsia="Calibri" w:hAnsi="Calibri"/>
          <w:sz w:val="21"/>
          <w:szCs w:val="21"/>
        </w:rPr>
        <w:t xml:space="preserve"> rather than the dated runtime ID). Cross-Region profile IDs are the model ID with a geography prefix; Provisioned Throughput uses contextual variants such as </w:t>
      </w:r>
      <w:r>
        <w:rPr>
          <w:rFonts w:ascii="Consolas" w:cs="Consolas" w:eastAsia="Consolas" w:hAnsi="Consolas"/>
          <w:sz w:val="20"/>
          <w:szCs w:val="20"/>
        </w:rPr>
        <w:t xml:space="preserve">anthropic.claude-3-5-sonnet-20241022-v2:0:200k</w:t>
      </w:r>
      <w:r>
        <w:rPr>
          <w:rFonts w:ascii="Calibri" w:cs="Calibri" w:eastAsia="Calibri" w:hAnsi="Calibri"/>
          <w:sz w:val="21"/>
          <w:szCs w:val="21"/>
        </w:rPr>
        <w:t xml:space="preserve">. Configuration should therefore store the exact ID string per environment rather than assuming a single format.</w:t>
      </w:r>
    </w:p>
    <w:p>
      <w:pPr>
        <w:pStyle w:val="Heading2"/>
      </w:pPr>
      <w:r>
        <w:rPr>
          <w:rFonts w:ascii="Calibri" w:cs="Calibri" w:eastAsia="Calibri" w:hAnsi="Calibri"/>
        </w:rPr>
        <w:t xml:space="preserve">6.2 Lifecycle states</w:t>
      </w:r>
    </w:p>
    <w:p>
      <w:pPr>
        <w:keepNext w:val="false"/>
        <w:spacing w:after="120" w:line="276"/>
        <w:jc w:val="left"/>
      </w:pPr>
      <w:r>
        <w:rPr>
          <w:rFonts w:ascii="Calibri" w:cs="Calibri" w:eastAsia="Calibri" w:hAnsi="Calibri"/>
          <w:sz w:val="21"/>
          <w:szCs w:val="21"/>
        </w:rPr>
        <w:t xml:space="preserve">A model on Bedrock is Active, Legacy or End-of-Life, visible in the console and in the </w:t>
      </w:r>
      <w:r>
        <w:rPr>
          <w:rFonts w:ascii="Consolas" w:cs="Consolas" w:eastAsia="Consolas" w:hAnsi="Consolas"/>
          <w:sz w:val="20"/>
          <w:szCs w:val="20"/>
        </w:rPr>
        <w:t xml:space="preserve">modelLifecycle</w:t>
      </w:r>
      <w:r>
        <w:rPr>
          <w:rFonts w:ascii="Calibri" w:cs="Calibri" w:eastAsia="Calibri" w:hAnsi="Calibri"/>
          <w:sz w:val="21"/>
          <w:szCs w:val="21"/>
        </w:rPr>
        <w:t xml:space="preserve"> field of GetFoundationModel and ListFoundationModels. AWS commits that a model stays on Bedrock at least 12 months after launch before its EOL date, that a model stays in Legacy at least 6 months before EOL, and that customers are notified when a model enters Legacy. For EOL dates after February 1, 2026 the Legacy period includes a public extended access phase after at least 3 months, during which the provider may raise the price and quota increases are not expected to be approved. In Legacy, new customers cannot start using the model, existing customers may lose access after 15 days of inactivity, and no new Provisioned Throughput or fine-tuning jobs can be created. After EOL, requests fail; migration is never automatic. Bedrock lifecycle dates can differ from the provider's own retirement dates and only the Bedrock dates apply on Bedrock.</w:t>
      </w:r>
    </w:p>
    <w:p>
      <w:pPr>
        <w:keepNext w:val="false"/>
        <w:spacing w:after="120" w:line="276"/>
        <w:jc w:val="left"/>
      </w:pPr>
      <w:r>
        <w:rPr>
          <w:rFonts w:ascii="Calibri" w:cs="Calibri" w:eastAsia="Calibri" w:hAnsi="Calibri"/>
          <w:sz w:val="21"/>
          <w:szCs w:val="21"/>
        </w:rPr>
        <w:t xml:space="preserve">The Legacy table on the snapshot date included: Cohere Command R and Command R+ (EOL August 19, 2026), Claude 3 Haiku (EOL September 10, 2026), Nova Premier and Nova Sonic v1 (EOL September 14, 2026), Nova Canvas and Nova Reel (EOL September 30, 2026), Claude Sonnet 4 (EOL October 14, 2026, public extended access since July 14, 2026), AI21 Jamba 1.5 (EOL November 26, 2026), TwelveLabs Marengo Embed v2.7 (EOL November 30, 2026) and Claude Opus 4.1 (EOL January 8, 2027). Several Claude 3.x entries reached EOL on July 30, 2026. Claude Haiku 4.5's model card states an EOL date "no sooner than" October 1, 2026, which is a floor rather than an announced date; it was still Active on the snapshot date.</w:t>
      </w:r>
    </w:p>
    <w:p>
      <w:pPr>
        <w:pStyle w:val="Heading1"/>
      </w:pPr>
      <w:r>
        <w:rPr>
          <w:rFonts w:ascii="Calibri" w:cs="Calibri" w:eastAsia="Calibri" w:hAnsi="Calibri"/>
        </w:rPr>
        <w:t xml:space="preserve">7. Decision guide: which option when</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3024"/>
        <w:gridCol w:w="3830"/>
        <w:gridCol w:w="3226"/>
      </w:tblGrid>
      <w:tr>
        <w:trPr>
          <w:tblHeader/>
        </w:trPr>
        <w:tc>
          <w:tcPr>
            <w:tcW w:type="dxa" w:w="3024"/>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Situation</w:t>
            </w:r>
          </w:p>
        </w:tc>
        <w:tc>
          <w:tcPr>
            <w:tcW w:type="dxa" w:w="3830"/>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Use</w:t>
            </w:r>
          </w:p>
        </w:tc>
        <w:tc>
          <w:tcPr>
            <w:tcW w:type="dxa" w:w="3226"/>
            <w:shd w:fill="D9E2F3" w:color="auto" w:val="clear"/>
            <w:tcMar>
              <w:top w:type="dxa" w:w="60"/>
              <w:left w:type="dxa" w:w="80"/>
              <w:bottom w:type="dxa" w:w="60"/>
              <w:right w:type="dxa" w:w="80"/>
            </w:tcMar>
          </w:tcPr>
          <w:p>
            <w:pPr>
              <w:spacing w:after="40" w:line="252"/>
            </w:pPr>
            <w:r>
              <w:rPr>
                <w:rFonts w:ascii="Calibri" w:cs="Calibri" w:eastAsia="Calibri" w:hAnsi="Calibri"/>
                <w:b/>
                <w:bCs/>
                <w:sz w:val="18"/>
                <w:szCs w:val="18"/>
              </w:rPr>
              <w:t xml:space="preserve">Avoid or note</w:t>
            </w:r>
          </w:p>
        </w:tc>
      </w:tr>
      <w:tr>
        <w:trPr>
          <w:cantSplit w:val="false"/>
        </w:trPr>
        <w:tc>
          <w:tcPr>
            <w:tcW w:type="dxa" w:w="302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Steady production traffic, model has no in-Region entry in your Region</w:t>
            </w:r>
          </w:p>
        </w:tc>
        <w:tc>
          <w:tcPr>
            <w:tcW w:type="dxa" w:w="383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Geographic cross-Region profile (us. for US and Canada) on Standard tier; add an application inference profile for cost tags.</w:t>
            </w:r>
          </w:p>
        </w:tc>
        <w:tc>
          <w:tcPr>
            <w:tcW w:type="dxa" w:w="32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Global profile if residency rules forbid processing outside North America.</w:t>
            </w:r>
          </w:p>
        </w:tc>
      </w:tr>
      <w:tr>
        <w:trPr>
          <w:cantSplit w:val="false"/>
        </w:trPr>
        <w:tc>
          <w:tcPr>
            <w:tcW w:type="dxa" w:w="302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Same, but strict single-Region processing is mandated</w:t>
            </w:r>
          </w:p>
        </w:tc>
        <w:tc>
          <w:tcPr>
            <w:tcW w:type="dxa" w:w="383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In-Region base model ID, only where the Regional availability page shows an in-Region entry.</w:t>
            </w:r>
          </w:p>
        </w:tc>
        <w:tc>
          <w:tcPr>
            <w:tcW w:type="dxa" w:w="32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Most Claude 4.5 and later models cannot be run in-Region in ca-central-1, ca-west-1 or us-west-2.</w:t>
            </w:r>
          </w:p>
        </w:tc>
      </w:tr>
      <w:tr>
        <w:trPr>
          <w:cantSplit w:val="false"/>
        </w:trPr>
        <w:tc>
          <w:tcPr>
            <w:tcW w:type="dxa" w:w="302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Backlog or nightly re-processing</w:t>
            </w:r>
          </w:p>
        </w:tc>
        <w:tc>
          <w:tcPr>
            <w:tcW w:type="dxa" w:w="383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Batch inference through a cross-Region profile where the model is listed as batch-supported.</w:t>
            </w:r>
          </w:p>
        </w:tc>
        <w:tc>
          <w:tcPr>
            <w:tcW w:type="dxa" w:w="32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Confirm the model and Region are on the batch support page; Claude 5 and Opus 4.7 and 4.8 were not listed on the snapshot date.</w:t>
            </w:r>
          </w:p>
        </w:tc>
      </w:tr>
      <w:tr>
        <w:trPr>
          <w:cantSplit w:val="false"/>
        </w:trPr>
        <w:tc>
          <w:tcPr>
            <w:tcW w:type="dxa" w:w="302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Latency-sensitive user-facing calls</w:t>
            </w:r>
          </w:p>
        </w:tc>
        <w:tc>
          <w:tcPr>
            <w:tcW w:type="dxa" w:w="383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Priority tier where the model card lists it (Nova 2 Lite yes; current Claude no); otherwise choose a smaller model or reduce output length.</w:t>
            </w:r>
          </w:p>
        </w:tc>
        <w:tc>
          <w:tcPr>
            <w:tcW w:type="dxa" w:w="32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Latency-optimized inference is preview and limited to Nova Pro, Claude 3.5 Haiku and Llama 3.1.</w:t>
            </w:r>
          </w:p>
        </w:tc>
      </w:tr>
      <w:tr>
        <w:trPr>
          <w:cantSplit w:val="false"/>
        </w:trPr>
        <w:tc>
          <w:tcPr>
            <w:tcW w:type="dxa" w:w="302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Cost-tolerant background calls that must stay synchronous</w:t>
            </w:r>
          </w:p>
        </w:tc>
        <w:tc>
          <w:tcPr>
            <w:tcW w:type="dxa" w:w="383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Flex tier where supported (Nova 2 Lite yes; current Claude no).</w:t>
            </w:r>
          </w:p>
        </w:tc>
        <w:tc>
          <w:tcPr>
            <w:tcW w:type="dxa" w:w="32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Same discount as batch but with degraded priority at peak.</w:t>
            </w:r>
          </w:p>
        </w:tc>
      </w:tr>
      <w:tr>
        <w:trPr>
          <w:cantSplit w:val="false"/>
        </w:trPr>
        <w:tc>
          <w:tcPr>
            <w:tcW w:type="dxa" w:w="302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Guaranteed capacity for a critical path</w:t>
            </w:r>
          </w:p>
        </w:tc>
        <w:tc>
          <w:tcPr>
            <w:tcW w:type="dxa" w:w="383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Reserved tier through the account team (Claude Haiku 4.5 lists it; Claude 5 models do not).</w:t>
            </w:r>
          </w:p>
        </w:tc>
        <w:tc>
          <w:tcPr>
            <w:tcW w:type="dxa" w:w="32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Provisioned Throughput only for the older models on its support list; not for any Claude 4.x or 5.x.</w:t>
            </w:r>
          </w:p>
        </w:tc>
      </w:tr>
      <w:tr>
        <w:trPr>
          <w:cantSplit w:val="false"/>
        </w:trPr>
        <w:tc>
          <w:tcPr>
            <w:tcW w:type="dxa" w:w="302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Repeated large prompt prefix</w:t>
            </w:r>
          </w:p>
        </w:tc>
        <w:tc>
          <w:tcPr>
            <w:tcW w:type="dxa" w:w="383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Prompt caching with the model-specific minimum checkpoint size (512 to 4,096 tokens for Claude 5 and Haiku 4.5; 1,000 for Nova 2 Lite).</w:t>
            </w:r>
          </w:p>
        </w:tc>
        <w:tc>
          <w:tcPr>
            <w:tcW w:type="dxa" w:w="32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Nova caching is capped at 20,000 tokens and 5 minutes; Cohere and Marketplace models are outside Bedrock caching.</w:t>
            </w:r>
          </w:p>
        </w:tc>
      </w:tr>
      <w:tr>
        <w:trPr>
          <w:cantSplit w:val="false"/>
        </w:trPr>
        <w:tc>
          <w:tcPr>
            <w:tcW w:type="dxa" w:w="3024"/>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Existing OpenAI-SDK or Anthropic-SDK application</w:t>
            </w:r>
          </w:p>
        </w:tc>
        <w:tc>
          <w:tcPr>
            <w:tcW w:type="dxa" w:w="3830"/>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bedrock-mantle endpoint with the Responses, Chat Completions or Messages API.</w:t>
            </w:r>
          </w:p>
        </w:tc>
        <w:tc>
          <w:tcPr>
            <w:tcW w:type="dxa" w:w="3226"/>
            <w:shd w:fill="F2F2F2" w:color="auto" w:val="clear"/>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 structured outputs on bedrock-mantle; separate quotas; not every model is on it.</w:t>
            </w:r>
          </w:p>
        </w:tc>
      </w:tr>
      <w:tr>
        <w:trPr>
          <w:cantSplit w:val="false"/>
        </w:trPr>
        <w:tc>
          <w:tcPr>
            <w:tcW w:type="dxa" w:w="3024"/>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Model only available in Bedrock Marketplace or SageMaker JumpStart</w:t>
            </w:r>
          </w:p>
        </w:tc>
        <w:tc>
          <w:tcPr>
            <w:tcW w:type="dxa" w:w="3830"/>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Dedicated endpoint deployment; plan instance capacity and cost yourself.</w:t>
            </w:r>
          </w:p>
        </w:tc>
        <w:tc>
          <w:tcPr>
            <w:tcW w:type="dxa" w:w="3226"/>
            <w:tcMar>
              <w:top w:type="dxa" w:w="50"/>
              <w:left w:type="dxa" w:w="80"/>
              <w:bottom w:type="dxa" w:w="50"/>
              <w:right w:type="dxa" w:w="80"/>
            </w:tcMar>
          </w:tcPr>
          <w:p>
            <w:pPr>
              <w:spacing w:after="40" w:line="252"/>
            </w:pPr>
            <w:r>
              <w:rPr>
                <w:rFonts w:ascii="Calibri" w:cs="Calibri" w:eastAsia="Calibri" w:hAnsi="Calibri"/>
                <w:b w:val="false"/>
                <w:bCs w:val="false"/>
                <w:sz w:val="18"/>
                <w:szCs w:val="18"/>
              </w:rPr>
              <w:t xml:space="preserve">None of the serverless levers above apply.</w:t>
            </w:r>
          </w:p>
        </w:tc>
      </w:tr>
    </w:tbl>
    <w:p>
      <w:pPr>
        <w:pStyle w:val="Heading1"/>
      </w:pPr>
      <w:r>
        <w:rPr>
          <w:rFonts w:ascii="Calibri" w:cs="Calibri" w:eastAsia="Calibri" w:hAnsi="Calibri"/>
        </w:rPr>
        <w:t xml:space="preserve">8. Sources checked</w:t>
      </w:r>
    </w:p>
    <w:p>
      <w:pPr>
        <w:keepNext w:val="false"/>
        <w:spacing w:after="120" w:line="276"/>
        <w:jc w:val="left"/>
      </w:pPr>
      <w:r>
        <w:rPr>
          <w:rFonts w:ascii="Calibri" w:cs="Calibri" w:eastAsia="Calibri" w:hAnsi="Calibri"/>
          <w:sz w:val="21"/>
          <w:szCs w:val="21"/>
        </w:rPr>
        <w:t xml:space="preserve">All URLs were opened on August 17, 2026. Primary sources are AWS documentation, AWS announcements and provider documentation. Secondary sources were used only for the specific figures noted in the text.</w:t>
      </w:r>
    </w:p>
    <w:tbl>
      <w:tblPr>
        <w:tblW w:type="dxa" w:w="10080"/>
        <w:tblBorders>
          <w:top w:val="single" w:color="A6A6A6" w:sz="4"/>
          <w:left w:val="single" w:color="A6A6A6" w:sz="4"/>
          <w:bottom w:val="single" w:color="A6A6A6" w:sz="4"/>
          <w:right w:val="single" w:color="A6A6A6" w:sz="4"/>
          <w:insideH w:val="single" w:color="A6A6A6" w:sz="4"/>
          <w:insideV w:val="single" w:color="A6A6A6" w:sz="4"/>
        </w:tblBorders>
      </w:tblPr>
      <w:tblGrid>
        <w:gridCol w:w="3024"/>
        <w:gridCol w:w="5040"/>
        <w:gridCol w:w="2016"/>
      </w:tblGrid>
      <w:tr>
        <w:trPr>
          <w:tblHeader/>
        </w:trPr>
        <w:tc>
          <w:tcPr>
            <w:tcW w:type="dxa" w:w="3024"/>
            <w:shd w:fill="D9E2F3" w:color="auto" w:val="clear"/>
            <w:tcMar>
              <w:top w:type="dxa" w:w="40"/>
              <w:left w:type="dxa" w:w="80"/>
              <w:bottom w:type="dxa" w:w="40"/>
              <w:right w:type="dxa" w:w="80"/>
            </w:tcMar>
          </w:tcPr>
          <w:p>
            <w:r>
              <w:rPr>
                <w:rFonts w:ascii="Calibri" w:cs="Calibri" w:eastAsia="Calibri" w:hAnsi="Calibri"/>
                <w:b/>
                <w:bCs/>
                <w:sz w:val="16"/>
                <w:szCs w:val="16"/>
              </w:rPr>
              <w:t xml:space="preserve">Source</w:t>
            </w:r>
          </w:p>
        </w:tc>
        <w:tc>
          <w:tcPr>
            <w:tcW w:type="dxa" w:w="5040"/>
            <w:shd w:fill="D9E2F3" w:color="auto" w:val="clear"/>
            <w:tcMar>
              <w:top w:type="dxa" w:w="40"/>
              <w:left w:type="dxa" w:w="80"/>
              <w:bottom w:type="dxa" w:w="40"/>
              <w:right w:type="dxa" w:w="80"/>
            </w:tcMar>
          </w:tcPr>
          <w:p>
            <w:r>
              <w:rPr>
                <w:rFonts w:ascii="Calibri" w:cs="Calibri" w:eastAsia="Calibri" w:hAnsi="Calibri"/>
                <w:b/>
                <w:bCs/>
                <w:sz w:val="16"/>
                <w:szCs w:val="16"/>
              </w:rPr>
              <w:t xml:space="preserve">URL</w:t>
            </w:r>
          </w:p>
        </w:tc>
        <w:tc>
          <w:tcPr>
            <w:tcW w:type="dxa" w:w="2016"/>
            <w:shd w:fill="D9E2F3" w:color="auto" w:val="clear"/>
            <w:tcMar>
              <w:top w:type="dxa" w:w="40"/>
              <w:left w:type="dxa" w:w="80"/>
              <w:bottom w:type="dxa" w:w="40"/>
              <w:right w:type="dxa" w:w="80"/>
            </w:tcMar>
          </w:tcPr>
          <w:p>
            <w:r>
              <w:rPr>
                <w:rFonts w:ascii="Calibri" w:cs="Calibri" w:eastAsia="Calibri" w:hAnsi="Calibri"/>
                <w:b/>
                <w:bCs/>
                <w:sz w:val="16"/>
                <w:szCs w:val="16"/>
              </w:rPr>
              <w:t xml:space="preserve">Type / note</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cross-Region inference</w:t>
            </w:r>
          </w:p>
        </w:tc>
        <w:tc>
          <w:tcPr>
            <w:tcW w:type="dxa" w:w="5040"/>
            <w:tcMar>
              <w:top w:type="dxa" w:w="40"/>
              <w:left w:type="dxa" w:w="80"/>
              <w:bottom w:type="dxa" w:w="40"/>
              <w:right w:type="dxa" w:w="80"/>
            </w:tcMar>
          </w:tcPr>
          <w:p>
            <w:hyperlink w:history="1" r:id="rIdtbulcz8qd7wt6njdg3wor">
              <w:r>
                <w:rPr>
                  <w:rFonts w:ascii="Calibri" w:cs="Calibri" w:eastAsia="Calibri" w:hAnsi="Calibri"/>
                  <w:color w:val="0563C1"/>
                  <w:sz w:val="15"/>
                  <w:szCs w:val="15"/>
                  <w:u w:val="single"/>
                </w:rPr>
                <w:t xml:space="preserve">https://docs.aws.amazon.com/bedrock/latest/userguide/cross-region-inference.html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geographic cross-Region inference</w:t>
            </w:r>
          </w:p>
        </w:tc>
        <w:tc>
          <w:tcPr>
            <w:tcW w:type="dxa" w:w="5040"/>
            <w:tcMar>
              <w:top w:type="dxa" w:w="40"/>
              <w:left w:type="dxa" w:w="80"/>
              <w:bottom w:type="dxa" w:w="40"/>
              <w:right w:type="dxa" w:w="80"/>
            </w:tcMar>
          </w:tcPr>
          <w:p>
            <w:hyperlink w:history="1" r:id="rId06jiimggqsjp7cnebdijs">
              <w:r>
                <w:rPr>
                  <w:rFonts w:ascii="Calibri" w:cs="Calibri" w:eastAsia="Calibri" w:hAnsi="Calibri"/>
                  <w:color w:val="0563C1"/>
                  <w:sz w:val="15"/>
                  <w:szCs w:val="15"/>
                  <w:u w:val="single"/>
                </w:rPr>
                <w:t xml:space="preserve">https://docs.aws.amazon.com/bedrock/latest/userguide/geographic-cross-region-inference.html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Regional availability by models</w:t>
            </w:r>
          </w:p>
        </w:tc>
        <w:tc>
          <w:tcPr>
            <w:tcW w:type="dxa" w:w="5040"/>
            <w:tcMar>
              <w:top w:type="dxa" w:w="40"/>
              <w:left w:type="dxa" w:w="80"/>
              <w:bottom w:type="dxa" w:w="40"/>
              <w:right w:type="dxa" w:w="80"/>
            </w:tcMar>
          </w:tcPr>
          <w:p>
            <w:hyperlink w:history="1" r:id="rIdtvnx1m40uwfceu_gljoao">
              <w:r>
                <w:rPr>
                  <w:rFonts w:ascii="Calibri" w:cs="Calibri" w:eastAsia="Calibri" w:hAnsi="Calibri"/>
                  <w:color w:val="0563C1"/>
                  <w:sz w:val="15"/>
                  <w:szCs w:val="15"/>
                  <w:u w:val="single"/>
                </w:rPr>
                <w:t xml:space="preserve">https://docs.aws.amazon.com/bedrock/latest/userguide/models-region-compatibility.html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inference profiles</w:t>
            </w:r>
          </w:p>
        </w:tc>
        <w:tc>
          <w:tcPr>
            <w:tcW w:type="dxa" w:w="5040"/>
            <w:tcMar>
              <w:top w:type="dxa" w:w="40"/>
              <w:left w:type="dxa" w:w="80"/>
              <w:bottom w:type="dxa" w:w="40"/>
              <w:right w:type="dxa" w:w="80"/>
            </w:tcMar>
          </w:tcPr>
          <w:p>
            <w:hyperlink w:history="1" r:id="rIdglp0npqipypaa_f8dqvts">
              <w:r>
                <w:rPr>
                  <w:rFonts w:ascii="Calibri" w:cs="Calibri" w:eastAsia="Calibri" w:hAnsi="Calibri"/>
                  <w:color w:val="0563C1"/>
                  <w:sz w:val="15"/>
                  <w:szCs w:val="15"/>
                  <w:u w:val="single"/>
                </w:rPr>
                <w:t xml:space="preserve">https://docs.aws.amazon.com/bedrock/latest/userguide/inference-profiles.html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supported Regions and models for inference profiles</w:t>
            </w:r>
          </w:p>
        </w:tc>
        <w:tc>
          <w:tcPr>
            <w:tcW w:type="dxa" w:w="5040"/>
            <w:tcMar>
              <w:top w:type="dxa" w:w="40"/>
              <w:left w:type="dxa" w:w="80"/>
              <w:bottom w:type="dxa" w:w="40"/>
              <w:right w:type="dxa" w:w="80"/>
            </w:tcMar>
          </w:tcPr>
          <w:p>
            <w:hyperlink w:history="1" r:id="rIdp_hpbsxmpmxehpumquqyz">
              <w:r>
                <w:rPr>
                  <w:rFonts w:ascii="Calibri" w:cs="Calibri" w:eastAsia="Calibri" w:hAnsi="Calibri"/>
                  <w:color w:val="0563C1"/>
                  <w:sz w:val="15"/>
                  <w:szCs w:val="15"/>
                  <w:u w:val="single"/>
                </w:rPr>
                <w:t xml:space="preserve">https://docs.aws.amazon.com/bedrock/latest/userguide/inference-profiles-support.html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service tiers</w:t>
            </w:r>
          </w:p>
        </w:tc>
        <w:tc>
          <w:tcPr>
            <w:tcW w:type="dxa" w:w="5040"/>
            <w:tcMar>
              <w:top w:type="dxa" w:w="40"/>
              <w:left w:type="dxa" w:w="80"/>
              <w:bottom w:type="dxa" w:w="40"/>
              <w:right w:type="dxa" w:w="80"/>
            </w:tcMar>
          </w:tcPr>
          <w:p>
            <w:hyperlink w:history="1" r:id="rIdsr0zs3mvvzkjihczidxys">
              <w:r>
                <w:rPr>
                  <w:rFonts w:ascii="Calibri" w:cs="Calibri" w:eastAsia="Calibri" w:hAnsi="Calibri"/>
                  <w:color w:val="0563C1"/>
                  <w:sz w:val="15"/>
                  <w:szCs w:val="15"/>
                  <w:u w:val="single"/>
                </w:rPr>
                <w:t xml:space="preserve">https://docs.aws.amazon.com/bedrock/latest/userguide/service-tiers-inference.html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Amazon Bedrock service tiers page</w:t>
            </w:r>
          </w:p>
        </w:tc>
        <w:tc>
          <w:tcPr>
            <w:tcW w:type="dxa" w:w="5040"/>
            <w:tcMar>
              <w:top w:type="dxa" w:w="40"/>
              <w:left w:type="dxa" w:w="80"/>
              <w:bottom w:type="dxa" w:w="40"/>
              <w:right w:type="dxa" w:w="80"/>
            </w:tcMar>
          </w:tcPr>
          <w:p>
            <w:hyperlink w:history="1" r:id="rIdvhse8dpmvbd0f4fiqtkkk">
              <w:r>
                <w:rPr>
                  <w:rFonts w:ascii="Calibri" w:cs="Calibri" w:eastAsia="Calibri" w:hAnsi="Calibri"/>
                  <w:color w:val="0563C1"/>
                  <w:sz w:val="15"/>
                  <w:szCs w:val="15"/>
                  <w:u w:val="single"/>
                </w:rPr>
                <w:t xml:space="preserve">https://aws.amazon.com/bedrock/service-tiers/</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Priority and Flex tiers (Nov 18, 2025)</w:t>
            </w:r>
          </w:p>
        </w:tc>
        <w:tc>
          <w:tcPr>
            <w:tcW w:type="dxa" w:w="5040"/>
            <w:tcMar>
              <w:top w:type="dxa" w:w="40"/>
              <w:left w:type="dxa" w:w="80"/>
              <w:bottom w:type="dxa" w:w="40"/>
              <w:right w:type="dxa" w:w="80"/>
            </w:tcMar>
          </w:tcPr>
          <w:p>
            <w:hyperlink w:history="1" r:id="rIdlfduzgzzua1cq2mh48jr7">
              <w:r>
                <w:rPr>
                  <w:rFonts w:ascii="Calibri" w:cs="Calibri" w:eastAsia="Calibri" w:hAnsi="Calibri"/>
                  <w:color w:val="0563C1"/>
                  <w:sz w:val="15"/>
                  <w:szCs w:val="15"/>
                  <w:u w:val="single"/>
                </w:rPr>
                <w:t xml:space="preserve">https://aws.amazon.com/about-aws/whats-new/2025/11/amazon-bedrock-priority-flex-inference-service-tiers</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Amazon Bedrock pricing (tier footnotes, batch discount)</w:t>
            </w:r>
          </w:p>
        </w:tc>
        <w:tc>
          <w:tcPr>
            <w:tcW w:type="dxa" w:w="5040"/>
            <w:tcMar>
              <w:top w:type="dxa" w:w="40"/>
              <w:left w:type="dxa" w:w="80"/>
              <w:bottom w:type="dxa" w:w="40"/>
              <w:right w:type="dxa" w:w="80"/>
            </w:tcMar>
          </w:tcPr>
          <w:p>
            <w:hyperlink w:history="1" r:id="rIdymc9cy4zap9t8j6z38wbh">
              <w:r>
                <w:rPr>
                  <w:rFonts w:ascii="Calibri" w:cs="Calibri" w:eastAsia="Calibri" w:hAnsi="Calibri"/>
                  <w:color w:val="0563C1"/>
                  <w:sz w:val="15"/>
                  <w:szCs w:val="15"/>
                  <w:u w:val="single"/>
                </w:rPr>
                <w:t xml:space="preserve">https://aws.amazon.com/bedrock/pricing/</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Provisioned Throughput</w:t>
            </w:r>
          </w:p>
        </w:tc>
        <w:tc>
          <w:tcPr>
            <w:tcW w:type="dxa" w:w="5040"/>
            <w:tcMar>
              <w:top w:type="dxa" w:w="40"/>
              <w:left w:type="dxa" w:w="80"/>
              <w:bottom w:type="dxa" w:w="40"/>
              <w:right w:type="dxa" w:w="80"/>
            </w:tcMar>
          </w:tcPr>
          <w:p>
            <w:hyperlink w:history="1" r:id="rIdk9tmy00okiyseriacl_kp">
              <w:r>
                <w:rPr>
                  <w:rFonts w:ascii="Calibri" w:cs="Calibri" w:eastAsia="Calibri" w:hAnsi="Calibri"/>
                  <w:color w:val="0563C1"/>
                  <w:sz w:val="15"/>
                  <w:szCs w:val="15"/>
                  <w:u w:val="single"/>
                </w:rPr>
                <w:t xml:space="preserve">https://docs.aws.amazon.com/bedrock/latest/userguide/prov-throughput.html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supported Regions and models for Provisioned Throughput</w:t>
            </w:r>
          </w:p>
        </w:tc>
        <w:tc>
          <w:tcPr>
            <w:tcW w:type="dxa" w:w="5040"/>
            <w:tcMar>
              <w:top w:type="dxa" w:w="40"/>
              <w:left w:type="dxa" w:w="80"/>
              <w:bottom w:type="dxa" w:w="40"/>
              <w:right w:type="dxa" w:w="80"/>
            </w:tcMar>
          </w:tcPr>
          <w:p>
            <w:hyperlink w:history="1" r:id="rIda2bmkjzith47iew4yym-q">
              <w:r>
                <w:rPr>
                  <w:rFonts w:ascii="Calibri" w:cs="Calibri" w:eastAsia="Calibri" w:hAnsi="Calibri"/>
                  <w:color w:val="0563C1"/>
                  <w:sz w:val="15"/>
                  <w:szCs w:val="15"/>
                  <w:u w:val="single"/>
                </w:rPr>
                <w:t xml:space="preserve">https://docs.aws.amazon.com/bedrock/latest/userguide/prov-thru-supported.html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batch inference</w:t>
            </w:r>
          </w:p>
        </w:tc>
        <w:tc>
          <w:tcPr>
            <w:tcW w:type="dxa" w:w="5040"/>
            <w:tcMar>
              <w:top w:type="dxa" w:w="40"/>
              <w:left w:type="dxa" w:w="80"/>
              <w:bottom w:type="dxa" w:w="40"/>
              <w:right w:type="dxa" w:w="80"/>
            </w:tcMar>
          </w:tcPr>
          <w:p>
            <w:hyperlink w:history="1" r:id="rIdygjuvvpgl0odrxeh6qbpe">
              <w:r>
                <w:rPr>
                  <w:rFonts w:ascii="Calibri" w:cs="Calibri" w:eastAsia="Calibri" w:hAnsi="Calibri"/>
                  <w:color w:val="0563C1"/>
                  <w:sz w:val="15"/>
                  <w:szCs w:val="15"/>
                  <w:u w:val="single"/>
                </w:rPr>
                <w:t xml:space="preserve">https://docs.aws.amazon.com/bedrock/latest/userguide/batch-inference.html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supported Regions and models for batch inference</w:t>
            </w:r>
          </w:p>
        </w:tc>
        <w:tc>
          <w:tcPr>
            <w:tcW w:type="dxa" w:w="5040"/>
            <w:tcMar>
              <w:top w:type="dxa" w:w="40"/>
              <w:left w:type="dxa" w:w="80"/>
              <w:bottom w:type="dxa" w:w="40"/>
              <w:right w:type="dxa" w:w="80"/>
            </w:tcMar>
          </w:tcPr>
          <w:p>
            <w:hyperlink w:history="1" r:id="rIdua-ig58tjqt5lxku__97e">
              <w:r>
                <w:rPr>
                  <w:rFonts w:ascii="Calibri" w:cs="Calibri" w:eastAsia="Calibri" w:hAnsi="Calibri"/>
                  <w:color w:val="0563C1"/>
                  <w:sz w:val="15"/>
                  <w:szCs w:val="15"/>
                  <w:u w:val="single"/>
                </w:rPr>
                <w:t xml:space="preserve">https://docs.aws.amazon.com/bedrock/latest/userguide/batch-inference-supported.html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batch inference at 50 percent (Aug 21, 2024)</w:t>
            </w:r>
          </w:p>
        </w:tc>
        <w:tc>
          <w:tcPr>
            <w:tcW w:type="dxa" w:w="5040"/>
            <w:tcMar>
              <w:top w:type="dxa" w:w="40"/>
              <w:left w:type="dxa" w:w="80"/>
              <w:bottom w:type="dxa" w:w="40"/>
              <w:right w:type="dxa" w:w="80"/>
            </w:tcMar>
          </w:tcPr>
          <w:p>
            <w:hyperlink w:history="1" r:id="rId5b7pmiwaza0lbw_ipxhj6">
              <w:r>
                <w:rPr>
                  <w:rFonts w:ascii="Calibri" w:cs="Calibri" w:eastAsia="Calibri" w:hAnsi="Calibri"/>
                  <w:color w:val="0563C1"/>
                  <w:sz w:val="15"/>
                  <w:szCs w:val="15"/>
                  <w:u w:val="single"/>
                </w:rPr>
                <w:t xml:space="preserve">https://aws.amazon.com/about-aws/whats-new/2024/08/amazon-bedrock-fms-batch-inference-50-price/</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cross-Region inference launch (Aug 27, 2024)</w:t>
            </w:r>
          </w:p>
        </w:tc>
        <w:tc>
          <w:tcPr>
            <w:tcW w:type="dxa" w:w="5040"/>
            <w:tcMar>
              <w:top w:type="dxa" w:w="40"/>
              <w:left w:type="dxa" w:w="80"/>
              <w:bottom w:type="dxa" w:w="40"/>
              <w:right w:type="dxa" w:w="80"/>
            </w:tcMar>
          </w:tcPr>
          <w:p>
            <w:hyperlink w:history="1" r:id="rIdfesceu4-mnuq0ysvlj9qz">
              <w:r>
                <w:rPr>
                  <w:rFonts w:ascii="Calibri" w:cs="Calibri" w:eastAsia="Calibri" w:hAnsi="Calibri"/>
                  <w:color w:val="0563C1"/>
                  <w:sz w:val="15"/>
                  <w:szCs w:val="15"/>
                  <w:u w:val="single"/>
                </w:rPr>
                <w:t xml:space="preserve">https://aws.amazon.com/about-aws/whats-new/2024/08/amazon-bedrock-cross-region-inference</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global cross-Region inference for Sonnet 4 (Sep 3, 2025)</w:t>
            </w:r>
          </w:p>
        </w:tc>
        <w:tc>
          <w:tcPr>
            <w:tcW w:type="dxa" w:w="5040"/>
            <w:tcMar>
              <w:top w:type="dxa" w:w="40"/>
              <w:left w:type="dxa" w:w="80"/>
              <w:bottom w:type="dxa" w:w="40"/>
              <w:right w:type="dxa" w:w="80"/>
            </w:tcMar>
          </w:tcPr>
          <w:p>
            <w:hyperlink w:history="1" r:id="rId_ongteuirbmqtevzn6ua8">
              <w:r>
                <w:rPr>
                  <w:rFonts w:ascii="Calibri" w:cs="Calibri" w:eastAsia="Calibri" w:hAnsi="Calibri"/>
                  <w:color w:val="0563C1"/>
                  <w:sz w:val="15"/>
                  <w:szCs w:val="15"/>
                  <w:u w:val="single"/>
                </w:rPr>
                <w:t xml:space="preserve">https://aws.amazon.com/about-aws/whats-new/2025/09/amazon-bedrock-global-cross-region-inference-anthropic-claude-sonnet-4</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endpoints supported by Amazon Bedrock</w:t>
            </w:r>
          </w:p>
        </w:tc>
        <w:tc>
          <w:tcPr>
            <w:tcW w:type="dxa" w:w="5040"/>
            <w:tcMar>
              <w:top w:type="dxa" w:w="40"/>
              <w:left w:type="dxa" w:w="80"/>
              <w:bottom w:type="dxa" w:w="40"/>
              <w:right w:type="dxa" w:w="80"/>
            </w:tcMar>
          </w:tcPr>
          <w:p>
            <w:hyperlink w:history="1" r:id="rIdh9dozzzje5nwj8zvxd1zl">
              <w:r>
                <w:rPr>
                  <w:rFonts w:ascii="Calibri" w:cs="Calibri" w:eastAsia="Calibri" w:hAnsi="Calibri"/>
                  <w:color w:val="0563C1"/>
                  <w:sz w:val="15"/>
                  <w:szCs w:val="15"/>
                  <w:u w:val="single"/>
                </w:rPr>
                <w:t xml:space="preserve">https://docs.aws.amazon.com/bedrock/latest/userguide/endpoints.html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submit prompts and generate responses using the API</w:t>
            </w:r>
          </w:p>
        </w:tc>
        <w:tc>
          <w:tcPr>
            <w:tcW w:type="dxa" w:w="5040"/>
            <w:tcMar>
              <w:top w:type="dxa" w:w="40"/>
              <w:left w:type="dxa" w:w="80"/>
              <w:bottom w:type="dxa" w:w="40"/>
              <w:right w:type="dxa" w:w="80"/>
            </w:tcMar>
          </w:tcPr>
          <w:p>
            <w:hyperlink w:history="1" r:id="rIdlpxnf8ngpuiee-8pq8aow">
              <w:r>
                <w:rPr>
                  <w:rFonts w:ascii="Calibri" w:cs="Calibri" w:eastAsia="Calibri" w:hAnsi="Calibri"/>
                  <w:color w:val="0563C1"/>
                  <w:sz w:val="15"/>
                  <w:szCs w:val="15"/>
                  <w:u w:val="single"/>
                </w:rPr>
                <w:t xml:space="preserve">https://docs.aws.amazon.com/bedrock/latest/userguide/inference-api.html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use cases for different model inference methods</w:t>
            </w:r>
          </w:p>
        </w:tc>
        <w:tc>
          <w:tcPr>
            <w:tcW w:type="dxa" w:w="5040"/>
            <w:tcMar>
              <w:top w:type="dxa" w:w="40"/>
              <w:left w:type="dxa" w:w="80"/>
              <w:bottom w:type="dxa" w:w="40"/>
              <w:right w:type="dxa" w:w="80"/>
            </w:tcMar>
          </w:tcPr>
          <w:p>
            <w:hyperlink w:history="1" r:id="rIdoiqencu58hao7ya3p55su">
              <w:r>
                <w:rPr>
                  <w:rFonts w:ascii="Calibri" w:cs="Calibri" w:eastAsia="Calibri" w:hAnsi="Calibri"/>
                  <w:color w:val="0563C1"/>
                  <w:sz w:val="15"/>
                  <w:szCs w:val="15"/>
                  <w:u w:val="single"/>
                </w:rPr>
                <w:t xml:space="preserve">https://docs.aws.amazon.com/bedrock/latest/userguide/inference-methods.html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CloudWatch metrics for bedrock-mantle (Jun 1, 2026)</w:t>
            </w:r>
          </w:p>
        </w:tc>
        <w:tc>
          <w:tcPr>
            <w:tcW w:type="dxa" w:w="5040"/>
            <w:tcMar>
              <w:top w:type="dxa" w:w="40"/>
              <w:left w:type="dxa" w:w="80"/>
              <w:bottom w:type="dxa" w:w="40"/>
              <w:right w:type="dxa" w:w="80"/>
            </w:tcMar>
          </w:tcPr>
          <w:p>
            <w:hyperlink w:history="1" r:id="rIdoyh-j9zfiatbiym83vaam">
              <w:r>
                <w:rPr>
                  <w:rFonts w:ascii="Calibri" w:cs="Calibri" w:eastAsia="Calibri" w:hAnsi="Calibri"/>
                  <w:color w:val="0563C1"/>
                  <w:sz w:val="15"/>
                  <w:szCs w:val="15"/>
                  <w:u w:val="single"/>
                </w:rPr>
                <w:t xml:space="preserve">https://aws.amazon.com/about-aws/whats-new/2026/06/amazon-bedrock-supports-cloudwatch-metrics-bedrock-mantle-endpoint/</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redesigned console for bedrock-mantle (Jun 4, 2026)</w:t>
            </w:r>
          </w:p>
        </w:tc>
        <w:tc>
          <w:tcPr>
            <w:tcW w:type="dxa" w:w="5040"/>
            <w:tcMar>
              <w:top w:type="dxa" w:w="40"/>
              <w:left w:type="dxa" w:w="80"/>
              <w:bottom w:type="dxa" w:w="40"/>
              <w:right w:type="dxa" w:w="80"/>
            </w:tcMar>
          </w:tcPr>
          <w:p>
            <w:hyperlink w:history="1" r:id="rIdll6aqtwah36mcoocppv1b">
              <w:r>
                <w:rPr>
                  <w:rFonts w:ascii="Calibri" w:cs="Calibri" w:eastAsia="Calibri" w:hAnsi="Calibri"/>
                  <w:color w:val="0563C1"/>
                  <w:sz w:val="15"/>
                  <w:szCs w:val="15"/>
                  <w:u w:val="single"/>
                </w:rPr>
                <w:t xml:space="preserve">https://aws.amazon.com/about-aws/whats-new/2026/06/amazon-bedrock-redesigned-console-optimized-openai-anthropic-compatible-apis/</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how tokens are counted (burndown)</w:t>
            </w:r>
          </w:p>
        </w:tc>
        <w:tc>
          <w:tcPr>
            <w:tcW w:type="dxa" w:w="5040"/>
            <w:tcMar>
              <w:top w:type="dxa" w:w="40"/>
              <w:left w:type="dxa" w:w="80"/>
              <w:bottom w:type="dxa" w:w="40"/>
              <w:right w:type="dxa" w:w="80"/>
            </w:tcMar>
          </w:tcPr>
          <w:p>
            <w:hyperlink w:history="1" r:id="rId7f0yd7w4sbv1fkqiwjzit">
              <w:r>
                <w:rPr>
                  <w:rFonts w:ascii="Calibri" w:cs="Calibri" w:eastAsia="Calibri" w:hAnsi="Calibri"/>
                  <w:color w:val="0563C1"/>
                  <w:sz w:val="15"/>
                  <w:szCs w:val="15"/>
                  <w:u w:val="single"/>
                </w:rPr>
                <w:t xml:space="preserve">https://docs.aws.amazon.com/bedrock/latest/userguide/quotas-token-burndown.html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ML Blog: TTFT and EstimatedTPMQuotaUsage metrics (Mar 13, 2026)</w:t>
            </w:r>
          </w:p>
        </w:tc>
        <w:tc>
          <w:tcPr>
            <w:tcW w:type="dxa" w:w="5040"/>
            <w:tcMar>
              <w:top w:type="dxa" w:w="40"/>
              <w:left w:type="dxa" w:w="80"/>
              <w:bottom w:type="dxa" w:w="40"/>
              <w:right w:type="dxa" w:w="80"/>
            </w:tcMar>
          </w:tcPr>
          <w:p>
            <w:hyperlink w:history="1" r:id="rIde3pics8bqs4mbwlztg2vn">
              <w:r>
                <w:rPr>
                  <w:rFonts w:ascii="Calibri" w:cs="Calibri" w:eastAsia="Calibri" w:hAnsi="Calibri"/>
                  <w:color w:val="0563C1"/>
                  <w:sz w:val="15"/>
                  <w:szCs w:val="15"/>
                  <w:u w:val="single"/>
                </w:rPr>
                <w:t xml:space="preserve">https://aws.amazon.com/blogs/machine-learning/improve-operational-visibility-for-inference-workloads-on-amazon-bedrock-with-new-cloudwatch-metrics-for-ttft-and-estimated-quota-consumption/</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latency-optimized inference</w:t>
            </w:r>
          </w:p>
        </w:tc>
        <w:tc>
          <w:tcPr>
            <w:tcW w:type="dxa" w:w="5040"/>
            <w:tcMar>
              <w:top w:type="dxa" w:w="40"/>
              <w:left w:type="dxa" w:w="80"/>
              <w:bottom w:type="dxa" w:w="40"/>
              <w:right w:type="dxa" w:w="80"/>
            </w:tcMar>
          </w:tcPr>
          <w:p>
            <w:hyperlink w:history="1" r:id="rIdxtemsjqpmhgpejm7i0ouz">
              <w:r>
                <w:rPr>
                  <w:rFonts w:ascii="Calibri" w:cs="Calibri" w:eastAsia="Calibri" w:hAnsi="Calibri"/>
                  <w:color w:val="0563C1"/>
                  <w:sz w:val="15"/>
                  <w:szCs w:val="15"/>
                  <w:u w:val="single"/>
                </w:rPr>
                <w:t xml:space="preserve">https://docs.aws.amazon.com/bedrock/latest/userguide/latency-optimized-inference.html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deploy a custom model for on-demand inference</w:t>
            </w:r>
          </w:p>
        </w:tc>
        <w:tc>
          <w:tcPr>
            <w:tcW w:type="dxa" w:w="5040"/>
            <w:tcMar>
              <w:top w:type="dxa" w:w="40"/>
              <w:left w:type="dxa" w:w="80"/>
              <w:bottom w:type="dxa" w:w="40"/>
              <w:right w:type="dxa" w:w="80"/>
            </w:tcMar>
          </w:tcPr>
          <w:p>
            <w:hyperlink w:history="1" r:id="rId2abqdqk_meiyl4vjcwa_i">
              <w:r>
                <w:rPr>
                  <w:rFonts w:ascii="Calibri" w:cs="Calibri" w:eastAsia="Calibri" w:hAnsi="Calibri"/>
                  <w:color w:val="0563C1"/>
                  <w:sz w:val="15"/>
                  <w:szCs w:val="15"/>
                  <w:u w:val="single"/>
                </w:rPr>
                <w:t xml:space="preserve">https://docs.aws.amazon.com/bedrock/latest/userguide/deploy-custom-model-on-demand.html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lifecycle</w:t>
            </w:r>
          </w:p>
        </w:tc>
        <w:tc>
          <w:tcPr>
            <w:tcW w:type="dxa" w:w="5040"/>
            <w:tcMar>
              <w:top w:type="dxa" w:w="40"/>
              <w:left w:type="dxa" w:w="80"/>
              <w:bottom w:type="dxa" w:w="40"/>
              <w:right w:type="dxa" w:w="80"/>
            </w:tcMar>
          </w:tcPr>
          <w:p>
            <w:hyperlink w:history="1" r:id="rId1mu0wsekv9sqetoizyrcl">
              <w:r>
                <w:rPr>
                  <w:rFonts w:ascii="Calibri" w:cs="Calibri" w:eastAsia="Calibri" w:hAnsi="Calibri"/>
                  <w:color w:val="0563C1"/>
                  <w:sz w:val="15"/>
                  <w:szCs w:val="15"/>
                  <w:u w:val="single"/>
                </w:rPr>
                <w:t xml:space="preserve">https://docs.aws.amazon.com/bedrock/latest/userguide/model-lifecycle.html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What's New: automatic enablement of serverless models (Oct 15, 2025)</w:t>
            </w:r>
          </w:p>
        </w:tc>
        <w:tc>
          <w:tcPr>
            <w:tcW w:type="dxa" w:w="5040"/>
            <w:tcMar>
              <w:top w:type="dxa" w:w="40"/>
              <w:left w:type="dxa" w:w="80"/>
              <w:bottom w:type="dxa" w:w="40"/>
              <w:right w:type="dxa" w:w="80"/>
            </w:tcMar>
          </w:tcPr>
          <w:p>
            <w:hyperlink w:history="1" r:id="rId2teqinuhikllbigqyq22x">
              <w:r>
                <w:rPr>
                  <w:rFonts w:ascii="Calibri" w:cs="Calibri" w:eastAsia="Calibri" w:hAnsi="Calibri"/>
                  <w:color w:val="0563C1"/>
                  <w:sz w:val="15"/>
                  <w:szCs w:val="15"/>
                  <w:u w:val="single"/>
                </w:rPr>
                <w:t xml:space="preserve">https://aws.amazon.com/about-aws/whats-new/2025/10/amazon-bedrock-automatic-enablement-serverless-foundation-models</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Security Blog: simplified model access (updated Oct 22, 2025)</w:t>
            </w:r>
          </w:p>
        </w:tc>
        <w:tc>
          <w:tcPr>
            <w:tcW w:type="dxa" w:w="5040"/>
            <w:tcMar>
              <w:top w:type="dxa" w:w="40"/>
              <w:left w:type="dxa" w:w="80"/>
              <w:bottom w:type="dxa" w:w="40"/>
              <w:right w:type="dxa" w:w="80"/>
            </w:tcMar>
          </w:tcPr>
          <w:p>
            <w:hyperlink w:history="1" r:id="rIdmc_on3fn6rit6c8lbhzvw">
              <w:r>
                <w:rPr>
                  <w:rFonts w:ascii="Calibri" w:cs="Calibri" w:eastAsia="Calibri" w:hAnsi="Calibri"/>
                  <w:color w:val="0563C1"/>
                  <w:sz w:val="15"/>
                  <w:szCs w:val="15"/>
                  <w:u w:val="single"/>
                </w:rPr>
                <w:t xml:space="preserve">https://aws.amazon.com/blogs/security/simplified-amazon-bedrock-model-access/</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re:Post knowledge center: serverless model access denied (Mar 26, 2026)</w:t>
            </w:r>
          </w:p>
        </w:tc>
        <w:tc>
          <w:tcPr>
            <w:tcW w:type="dxa" w:w="5040"/>
            <w:tcMar>
              <w:top w:type="dxa" w:w="40"/>
              <w:left w:type="dxa" w:w="80"/>
              <w:bottom w:type="dxa" w:w="40"/>
              <w:right w:type="dxa" w:w="80"/>
            </w:tcMar>
          </w:tcPr>
          <w:p>
            <w:hyperlink w:history="1" r:id="rIdpurdjyvhb3m0yzkjx9bca">
              <w:r>
                <w:rPr>
                  <w:rFonts w:ascii="Calibri" w:cs="Calibri" w:eastAsia="Calibri" w:hAnsi="Calibri"/>
                  <w:color w:val="0563C1"/>
                  <w:sz w:val="15"/>
                  <w:szCs w:val="15"/>
                  <w:u w:val="single"/>
                </w:rPr>
                <w:t xml:space="preserve">https://repost.aws/knowledge-center/bedrock-serverless-models-access-denied</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 (AWS support content)</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docs model cards: Claude Sonnet 5, Claude Opus 5, Claude Fable 5, Claude Haiku 4.5, Nova 2 Lite</w:t>
            </w:r>
          </w:p>
        </w:tc>
        <w:tc>
          <w:tcPr>
            <w:tcW w:type="dxa" w:w="5040"/>
            <w:tcMar>
              <w:top w:type="dxa" w:w="40"/>
              <w:left w:type="dxa" w:w="80"/>
              <w:bottom w:type="dxa" w:w="40"/>
              <w:right w:type="dxa" w:w="80"/>
            </w:tcMar>
          </w:tcPr>
          <w:p>
            <w:hyperlink w:history="1" r:id="rIdiyljg0gxxr-loynzpma85">
              <w:r>
                <w:rPr>
                  <w:rFonts w:ascii="Calibri" w:cs="Calibri" w:eastAsia="Calibri" w:hAnsi="Calibri"/>
                  <w:color w:val="0563C1"/>
                  <w:sz w:val="15"/>
                  <w:szCs w:val="15"/>
                  <w:u w:val="single"/>
                </w:rPr>
                <w:t xml:space="preserve">https://docs.aws.amazon.com/bedrock/latest/userguide/model-cards.html</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 (individual cards linked from this page)</w:t>
            </w:r>
          </w:p>
        </w:tc>
      </w:tr>
      <w:tr>
        <w:tc>
          <w:tcPr>
            <w:tcW w:type="dxa" w:w="3024"/>
            <w:tcMar>
              <w:top w:type="dxa" w:w="40"/>
              <w:left w:type="dxa" w:w="80"/>
              <w:bottom w:type="dxa" w:w="40"/>
              <w:right w:type="dxa" w:w="80"/>
            </w:tcMar>
          </w:tcPr>
          <w:p>
            <w:r>
              <w:rPr>
                <w:rFonts w:ascii="Calibri" w:cs="Calibri" w:eastAsia="Calibri" w:hAnsi="Calibri"/>
                <w:sz w:val="16"/>
                <w:szCs w:val="16"/>
              </w:rPr>
              <w:t xml:space="preserve">AWS: Amazon Bedrock model choice (Marketplace, 100+ models)</w:t>
            </w:r>
          </w:p>
        </w:tc>
        <w:tc>
          <w:tcPr>
            <w:tcW w:type="dxa" w:w="5040"/>
            <w:tcMar>
              <w:top w:type="dxa" w:w="40"/>
              <w:left w:type="dxa" w:w="80"/>
              <w:bottom w:type="dxa" w:w="40"/>
              <w:right w:type="dxa" w:w="80"/>
            </w:tcMar>
          </w:tcPr>
          <w:p>
            <w:hyperlink w:history="1" r:id="rIda1ihhpe15obb81maubs46">
              <w:r>
                <w:rPr>
                  <w:rFonts w:ascii="Calibri" w:cs="Calibri" w:eastAsia="Calibri" w:hAnsi="Calibri"/>
                  <w:color w:val="0563C1"/>
                  <w:sz w:val="15"/>
                  <w:szCs w:val="15"/>
                  <w:u w:val="single"/>
                </w:rPr>
                <w:t xml:space="preserve">https://aws.amazon.com/bedrock/model-choice/</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w:t>
            </w:r>
          </w:p>
        </w:tc>
      </w:tr>
      <w:tr>
        <w:tc>
          <w:tcPr>
            <w:tcW w:type="dxa" w:w="3024"/>
            <w:tcMar>
              <w:top w:type="dxa" w:w="40"/>
              <w:left w:type="dxa" w:w="80"/>
              <w:bottom w:type="dxa" w:w="40"/>
              <w:right w:type="dxa" w:w="80"/>
            </w:tcMar>
          </w:tcPr>
          <w:p>
            <w:r>
              <w:rPr>
                <w:rFonts w:ascii="Calibri" w:cs="Calibri" w:eastAsia="Calibri" w:hAnsi="Calibri"/>
                <w:sz w:val="16"/>
                <w:szCs w:val="16"/>
              </w:rPr>
              <w:t xml:space="preserve">Anthropic: pricing (cache multipliers, regional premium)</w:t>
            </w:r>
          </w:p>
        </w:tc>
        <w:tc>
          <w:tcPr>
            <w:tcW w:type="dxa" w:w="5040"/>
            <w:tcMar>
              <w:top w:type="dxa" w:w="40"/>
              <w:left w:type="dxa" w:w="80"/>
              <w:bottom w:type="dxa" w:w="40"/>
              <w:right w:type="dxa" w:w="80"/>
            </w:tcMar>
          </w:tcPr>
          <w:p>
            <w:hyperlink w:history="1" r:id="rIdonvnoc2y5xv1fwu9v0h6d">
              <w:r>
                <w:rPr>
                  <w:rFonts w:ascii="Calibri" w:cs="Calibri" w:eastAsia="Calibri" w:hAnsi="Calibri"/>
                  <w:color w:val="0563C1"/>
                  <w:sz w:val="15"/>
                  <w:szCs w:val="15"/>
                  <w:u w:val="single"/>
                </w:rPr>
                <w:t xml:space="preserve">https://platform.claude.com/docs/en/about-claude/pricing</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Primary (provider)</w:t>
            </w:r>
          </w:p>
        </w:tc>
      </w:tr>
      <w:tr>
        <w:tc>
          <w:tcPr>
            <w:tcW w:type="dxa" w:w="3024"/>
            <w:tcMar>
              <w:top w:type="dxa" w:w="40"/>
              <w:left w:type="dxa" w:w="80"/>
              <w:bottom w:type="dxa" w:w="40"/>
              <w:right w:type="dxa" w:w="80"/>
            </w:tcMar>
          </w:tcPr>
          <w:p>
            <w:r>
              <w:rPr>
                <w:rFonts w:ascii="Calibri" w:cs="Calibri" w:eastAsia="Calibri" w:hAnsi="Calibri"/>
                <w:sz w:val="16"/>
                <w:szCs w:val="16"/>
              </w:rPr>
              <w:t xml:space="preserve">Caylent: Amazon Bedrock pricing explained (Sonnet 5 geographic price example)</w:t>
            </w:r>
          </w:p>
        </w:tc>
        <w:tc>
          <w:tcPr>
            <w:tcW w:type="dxa" w:w="5040"/>
            <w:tcMar>
              <w:top w:type="dxa" w:w="40"/>
              <w:left w:type="dxa" w:w="80"/>
              <w:bottom w:type="dxa" w:w="40"/>
              <w:right w:type="dxa" w:w="80"/>
            </w:tcMar>
          </w:tcPr>
          <w:p>
            <w:hyperlink w:history="1" r:id="rId6pgunt7m7_jd3n4fweqx8">
              <w:r>
                <w:rPr>
                  <w:rFonts w:ascii="Calibri" w:cs="Calibri" w:eastAsia="Calibri" w:hAnsi="Calibri"/>
                  <w:color w:val="0563C1"/>
                  <w:sz w:val="15"/>
                  <w:szCs w:val="15"/>
                  <w:u w:val="single"/>
                </w:rPr>
                <w:t xml:space="preserve">https://caylent.com/blog/amazon-bedrock-pricing-explained</w:t>
              </w:r>
            </w:hyperlink>
          </w:p>
        </w:tc>
        <w:tc>
          <w:tcPr>
            <w:tcW w:type="dxa" w:w="2016"/>
            <w:tcMar>
              <w:top w:type="dxa" w:w="40"/>
              <w:left w:type="dxa" w:w="80"/>
              <w:bottom w:type="dxa" w:w="40"/>
              <w:right w:type="dxa" w:w="80"/>
            </w:tcMar>
          </w:tcPr>
          <w:p>
            <w:r>
              <w:rPr>
                <w:rFonts w:ascii="Calibri" w:cs="Calibri" w:eastAsia="Calibri" w:hAnsi="Calibri"/>
                <w:sz w:val="16"/>
                <w:szCs w:val="16"/>
              </w:rPr>
              <w:t xml:space="preserve">Secondary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Amazon Bedrock deployment and inference options (snapshot August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bulcz8qd7wt6njdg3wor" Type="http://schemas.openxmlformats.org/officeDocument/2006/relationships/hyperlink" Target="https://docs.aws.amazon.com/bedrock/latest/userguide/cross-region-inference.html" TargetMode="External"/><Relationship Id="rId06jiimggqsjp7cnebdijs" Type="http://schemas.openxmlformats.org/officeDocument/2006/relationships/hyperlink" Target="https://docs.aws.amazon.com/bedrock/latest/userguide/geographic-cross-region-inference.html" TargetMode="External"/><Relationship Id="rIdtvnx1m40uwfceu_gljoao" Type="http://schemas.openxmlformats.org/officeDocument/2006/relationships/hyperlink" Target="https://docs.aws.amazon.com/bedrock/latest/userguide/models-region-compatibility.html" TargetMode="External"/><Relationship Id="rIdglp0npqipypaa_f8dqvts" Type="http://schemas.openxmlformats.org/officeDocument/2006/relationships/hyperlink" Target="https://docs.aws.amazon.com/bedrock/latest/userguide/inference-profiles.html" TargetMode="External"/><Relationship Id="rIdp_hpbsxmpmxehpumquqyz" Type="http://schemas.openxmlformats.org/officeDocument/2006/relationships/hyperlink" Target="https://docs.aws.amazon.com/bedrock/latest/userguide/inference-profiles-support.html" TargetMode="External"/><Relationship Id="rIdsr0zs3mvvzkjihczidxys" Type="http://schemas.openxmlformats.org/officeDocument/2006/relationships/hyperlink" Target="https://docs.aws.amazon.com/bedrock/latest/userguide/service-tiers-inference.html" TargetMode="External"/><Relationship Id="rIdvhse8dpmvbd0f4fiqtkkk" Type="http://schemas.openxmlformats.org/officeDocument/2006/relationships/hyperlink" Target="https://aws.amazon.com/bedrock/service-tiers/" TargetMode="External"/><Relationship Id="rIdlfduzgzzua1cq2mh48jr7" Type="http://schemas.openxmlformats.org/officeDocument/2006/relationships/hyperlink" Target="https://aws.amazon.com/about-aws/whats-new/2025/11/amazon-bedrock-priority-flex-inference-service-tiers" TargetMode="External"/><Relationship Id="rIdymc9cy4zap9t8j6z38wbh" Type="http://schemas.openxmlformats.org/officeDocument/2006/relationships/hyperlink" Target="https://aws.amazon.com/bedrock/pricing/" TargetMode="External"/><Relationship Id="rIdk9tmy00okiyseriacl_kp" Type="http://schemas.openxmlformats.org/officeDocument/2006/relationships/hyperlink" Target="https://docs.aws.amazon.com/bedrock/latest/userguide/prov-throughput.html" TargetMode="External"/><Relationship Id="rIda2bmkjzith47iew4yym-q" Type="http://schemas.openxmlformats.org/officeDocument/2006/relationships/hyperlink" Target="https://docs.aws.amazon.com/bedrock/latest/userguide/prov-thru-supported.html" TargetMode="External"/><Relationship Id="rIdygjuvvpgl0odrxeh6qbpe" Type="http://schemas.openxmlformats.org/officeDocument/2006/relationships/hyperlink" Target="https://docs.aws.amazon.com/bedrock/latest/userguide/batch-inference.html" TargetMode="External"/><Relationship Id="rIdua-ig58tjqt5lxku__97e" Type="http://schemas.openxmlformats.org/officeDocument/2006/relationships/hyperlink" Target="https://docs.aws.amazon.com/bedrock/latest/userguide/batch-inference-supported.html" TargetMode="External"/><Relationship Id="rId5b7pmiwaza0lbw_ipxhj6" Type="http://schemas.openxmlformats.org/officeDocument/2006/relationships/hyperlink" Target="https://aws.amazon.com/about-aws/whats-new/2024/08/amazon-bedrock-fms-batch-inference-50-price/" TargetMode="External"/><Relationship Id="rIdfesceu4-mnuq0ysvlj9qz" Type="http://schemas.openxmlformats.org/officeDocument/2006/relationships/hyperlink" Target="https://aws.amazon.com/about-aws/whats-new/2024/08/amazon-bedrock-cross-region-inference" TargetMode="External"/><Relationship Id="rId_ongteuirbmqtevzn6ua8" Type="http://schemas.openxmlformats.org/officeDocument/2006/relationships/hyperlink" Target="https://aws.amazon.com/about-aws/whats-new/2025/09/amazon-bedrock-global-cross-region-inference-anthropic-claude-sonnet-4" TargetMode="External"/><Relationship Id="rIdh9dozzzje5nwj8zvxd1zl" Type="http://schemas.openxmlformats.org/officeDocument/2006/relationships/hyperlink" Target="https://docs.aws.amazon.com/bedrock/latest/userguide/endpoints.html" TargetMode="External"/><Relationship Id="rIdlpxnf8ngpuiee-8pq8aow" Type="http://schemas.openxmlformats.org/officeDocument/2006/relationships/hyperlink" Target="https://docs.aws.amazon.com/bedrock/latest/userguide/inference-api.html" TargetMode="External"/><Relationship Id="rIdoiqencu58hao7ya3p55su" Type="http://schemas.openxmlformats.org/officeDocument/2006/relationships/hyperlink" Target="https://docs.aws.amazon.com/bedrock/latest/userguide/inference-methods.html" TargetMode="External"/><Relationship Id="rIdoyh-j9zfiatbiym83vaam" Type="http://schemas.openxmlformats.org/officeDocument/2006/relationships/hyperlink" Target="https://aws.amazon.com/about-aws/whats-new/2026/06/amazon-bedrock-supports-cloudwatch-metrics-bedrock-mantle-endpoint/" TargetMode="External"/><Relationship Id="rIdll6aqtwah36mcoocppv1b" Type="http://schemas.openxmlformats.org/officeDocument/2006/relationships/hyperlink" Target="https://aws.amazon.com/about-aws/whats-new/2026/06/amazon-bedrock-redesigned-console-optimized-openai-anthropic-compatible-apis/" TargetMode="External"/><Relationship Id="rId7f0yd7w4sbv1fkqiwjzit" Type="http://schemas.openxmlformats.org/officeDocument/2006/relationships/hyperlink" Target="https://docs.aws.amazon.com/bedrock/latest/userguide/quotas-token-burndown.html" TargetMode="External"/><Relationship Id="rIde3pics8bqs4mbwlztg2vn" Type="http://schemas.openxmlformats.org/officeDocument/2006/relationships/hyperlink" Target="https://aws.amazon.com/blogs/machine-learning/improve-operational-visibility-for-inference-workloads-on-amazon-bedrock-with-new-cloudwatch-metrics-for-ttft-and-estimated-quota-consumption/" TargetMode="External"/><Relationship Id="rIdxtemsjqpmhgpejm7i0ouz" Type="http://schemas.openxmlformats.org/officeDocument/2006/relationships/hyperlink" Target="https://docs.aws.amazon.com/bedrock/latest/userguide/latency-optimized-inference.html" TargetMode="External"/><Relationship Id="rId2abqdqk_meiyl4vjcwa_i" Type="http://schemas.openxmlformats.org/officeDocument/2006/relationships/hyperlink" Target="https://docs.aws.amazon.com/bedrock/latest/userguide/deploy-custom-model-on-demand.html" TargetMode="External"/><Relationship Id="rId1mu0wsekv9sqetoizyrcl" Type="http://schemas.openxmlformats.org/officeDocument/2006/relationships/hyperlink" Target="https://docs.aws.amazon.com/bedrock/latest/userguide/model-lifecycle.html" TargetMode="External"/><Relationship Id="rId2teqinuhikllbigqyq22x" Type="http://schemas.openxmlformats.org/officeDocument/2006/relationships/hyperlink" Target="https://aws.amazon.com/about-aws/whats-new/2025/10/amazon-bedrock-automatic-enablement-serverless-foundation-models" TargetMode="External"/><Relationship Id="rIdmc_on3fn6rit6c8lbhzvw" Type="http://schemas.openxmlformats.org/officeDocument/2006/relationships/hyperlink" Target="https://aws.amazon.com/blogs/security/simplified-amazon-bedrock-model-access/" TargetMode="External"/><Relationship Id="rIdpurdjyvhb3m0yzkjx9bca" Type="http://schemas.openxmlformats.org/officeDocument/2006/relationships/hyperlink" Target="https://repost.aws/knowledge-center/bedrock-serverless-models-access-denied" TargetMode="External"/><Relationship Id="rIdiyljg0gxxr-loynzpma85" Type="http://schemas.openxmlformats.org/officeDocument/2006/relationships/hyperlink" Target="https://docs.aws.amazon.com/bedrock/latest/userguide/model-cards.html" TargetMode="External"/><Relationship Id="rIda1ihhpe15obb81maubs46" Type="http://schemas.openxmlformats.org/officeDocument/2006/relationships/hyperlink" Target="https://aws.amazon.com/bedrock/model-choice/" TargetMode="External"/><Relationship Id="rIdonvnoc2y5xv1fwu9v0h6d" Type="http://schemas.openxmlformats.org/officeDocument/2006/relationships/hyperlink" Target="https://platform.claude.com/docs/en/about-claude/pricing" TargetMode="External"/><Relationship Id="rId6pgunt7m7_jd3n4fweqx8" Type="http://schemas.openxmlformats.org/officeDocument/2006/relationships/hyperlink" Target="https://caylent.com/blog/amazon-bedrock-pricing-explained"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Bedrock deployment and inference options (snapshot August 17, 2026)</dc:title>
  <dc:creator>AI Architecture</dc:creator>
  <cp:lastModifiedBy>Un-named</cp:lastModifiedBy>
  <cp:revision>1</cp:revision>
  <dcterms:created xsi:type="dcterms:W3CDTF">2026-08-17T17:04:40.578Z</dcterms:created>
  <dcterms:modified xsi:type="dcterms:W3CDTF">2026-08-17T17:04:40.596Z</dcterms:modified>
</cp:coreProperties>
</file>

<file path=docProps/custom.xml><?xml version="1.0" encoding="utf-8"?>
<Properties xmlns="http://schemas.openxmlformats.org/officeDocument/2006/custom-properties" xmlns:vt="http://schemas.openxmlformats.org/officeDocument/2006/docPropsVTypes"/>
</file>