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Amazon Bedrock Findings: Summary for Requirements and Planning</w:t>
      </w:r>
    </w:p>
    <w:p>
      <w:pPr>
        <w:spacing w:after="200"/>
      </w:pPr>
      <w:r>
        <w:rPr>
          <w:rFonts w:ascii="Calibri" w:cs="Calibri" w:eastAsia="Calibri" w:hAnsi="Calibri"/>
          <w:color w:val="404040"/>
          <w:sz w:val="26"/>
          <w:szCs w:val="26"/>
        </w:rPr>
        <w:t xml:space="preserve">Document 3 of 3: the reference the team can cite when writing requirements and plans</w:t>
      </w:r>
    </w:p>
    <w:p>
      <w:pPr>
        <w:spacing w:after="40"/>
      </w:pPr>
      <w:r>
        <w:rPr>
          <w:rFonts w:ascii="Calibri" w:cs="Calibri" w:eastAsia="Calibri" w:hAnsi="Calibri"/>
          <w:color w:val="595959"/>
          <w:sz w:val="20"/>
          <w:szCs w:val="20"/>
        </w:rPr>
        <w:t xml:space="preserve">Prepared for: JSD research ticket "Research current AWS Bedrock model deployment workflows"</w:t>
      </w:r>
    </w:p>
    <w:p>
      <w:pPr>
        <w:spacing w:after="40"/>
      </w:pPr>
      <w:r>
        <w:rPr>
          <w:rFonts w:ascii="Calibri" w:cs="Calibri" w:eastAsia="Calibri" w:hAnsi="Calibri"/>
          <w:color w:val="595959"/>
          <w:sz w:val="20"/>
          <w:szCs w:val="20"/>
        </w:rPr>
        <w:t xml:space="preserve">Acceptance criterion covered: Summarize findings in a form the team can reference for requirements and planning</w:t>
      </w:r>
    </w:p>
    <w:p>
      <w:pPr>
        <w:spacing w:after="40"/>
      </w:pPr>
      <w:r>
        <w:rPr>
          <w:rFonts w:ascii="Calibri" w:cs="Calibri" w:eastAsia="Calibri" w:hAnsi="Calibri"/>
          <w:color w:val="595959"/>
          <w:sz w:val="20"/>
          <w:szCs w:val="20"/>
        </w:rPr>
        <w:t xml:space="preserve">Snapshot date: August 17, 2026. Details and sources are in Document 1 (deployment and inference options) and Document 2 (model versions and Region support).</w:t>
      </w:r>
    </w:p>
    <w:p>
      <w:pPr>
        <w:spacing w:after="40"/>
      </w:pPr>
      <w:r>
        <w:rPr>
          <w:rFonts w:ascii="Calibri" w:cs="Calibri" w:eastAsia="Calibri" w:hAnsi="Calibri"/>
          <w:color w:val="595959"/>
          <w:sz w:val="20"/>
          <w:szCs w:val="20"/>
        </w:rPr>
        <w:t xml:space="preserve">Status: Draft for team review</w:t>
      </w:r>
    </w:p>
    <w:p>
      <w:pPr>
        <w:pBdr>
          <w:bottom w:val="single" w:color="1F3864" w:sz="8" w:space="4"/>
        </w:pBdr>
        <w:spacing w:after="240"/>
      </w:pPr>
      <w:r>
        <w:rPr>
          <w:rFonts w:ascii="Calibri" w:cs="Calibri" w:eastAsia="Calibri" w:hAnsi="Calibri"/>
        </w:rPr>
        <w:t xml:space="preserve"/>
      </w:r>
    </w:p>
    <w:p>
      <w:pPr>
        <w:pStyle w:val="Heading1"/>
      </w:pPr>
      <w:r>
        <w:rPr>
          <w:rFonts w:ascii="Calibri" w:cs="Calibri" w:eastAsia="Calibri" w:hAnsi="Calibri"/>
        </w:rPr>
        <w:t xml:space="preserve">1. What this document is for</w:t>
      </w:r>
    </w:p>
    <w:p>
      <w:pPr>
        <w:keepNext w:val="false"/>
        <w:spacing w:after="120" w:line="276"/>
        <w:jc w:val="left"/>
      </w:pPr>
      <w:r>
        <w:rPr>
          <w:rFonts w:ascii="Calibri" w:cs="Calibri" w:eastAsia="Calibri" w:hAnsi="Calibri"/>
          <w:sz w:val="21"/>
          <w:szCs w:val="21"/>
        </w:rPr>
        <w:t xml:space="preserve">Documents 1 and 2 are the evidence. This document is the part meant to be quoted: the findings that change how we plan, the assumptions we should stop making, a default configuration for the extraction pipeline, the requirements that should now be written explicitly, and the decisions that still need an owner. Every item carries a pointer to the section of Document 1 or 2 where the source is cited. When a fact here disagrees with an older internal document, the fact here wins as of the snapshot date, and the AWS page cited in Documents 1 and 2 wins after that.</w:t>
      </w:r>
    </w:p>
    <w:p>
      <w:pPr>
        <w:pStyle w:val="Heading1"/>
      </w:pPr>
      <w:r>
        <w:rPr>
          <w:rFonts w:ascii="Calibri" w:cs="Calibri" w:eastAsia="Calibri" w:hAnsi="Calibri"/>
        </w:rPr>
        <w:t xml:space="preserve">2. Findings that change planning</w:t>
      </w:r>
    </w:p>
    <w:p>
      <w:pPr>
        <w:pStyle w:val="ListParagraph"/>
        <w:numPr>
          <w:ilvl w:val="0"/>
          <w:numId w:val="2"/>
        </w:numPr>
        <w:spacing w:after="60" w:line="276"/>
      </w:pPr>
      <w:r>
        <w:rPr>
          <w:rFonts w:ascii="Calibri" w:cs="Calibri" w:eastAsia="Calibri" w:hAnsi="Calibri"/>
          <w:sz w:val="21"/>
          <w:szCs w:val="21"/>
        </w:rPr>
        <w:t xml:space="preserve">Model access is automatic. Since October 2025 every serverless model is enabled by default; access is controlled with IAM and SCPs. Anthropic models still need a one-time use case form, and third-party models need Marketplace subscription permissions on first call. Requirements should describe IAM allow lists per model ARN, not an access request step. (Doc 1, Section 3)</w:t>
      </w:r>
    </w:p>
    <w:p>
      <w:pPr>
        <w:pStyle w:val="ListParagraph"/>
        <w:numPr>
          <w:ilvl w:val="0"/>
          <w:numId w:val="2"/>
        </w:numPr>
        <w:spacing w:after="60" w:line="276"/>
      </w:pPr>
      <w:r>
        <w:rPr>
          <w:rFonts w:ascii="Calibri" w:cs="Calibri" w:eastAsia="Calibri" w:hAnsi="Calibri"/>
          <w:sz w:val="21"/>
          <w:szCs w:val="21"/>
        </w:rPr>
        <w:t xml:space="preserve">Most current models are cross-Region only. Claude Sonnet 4.6, Opus 4.6, Opus 4.5 and Nova 2 Lite have no in-Region entry anywhere; Sonnet 5, Opus 5, Fable 5 and Haiku 4.5 are in-Region only in us-east-1 within North America. Nothing in the Claude 4.5 and later lineup runs in-Region in ca-central-1, ca-west-1 or us-west-2. Plans that assume "we will just call the model in our Region" are stale. (Doc 1, 4.1; Doc 2, 3.1 and 6)</w:t>
      </w:r>
    </w:p>
    <w:p>
      <w:pPr>
        <w:pStyle w:val="ListParagraph"/>
        <w:numPr>
          <w:ilvl w:val="0"/>
          <w:numId w:val="2"/>
        </w:numPr>
        <w:spacing w:after="60" w:line="276"/>
      </w:pPr>
      <w:r>
        <w:rPr>
          <w:rFonts w:ascii="Calibri" w:cs="Calibri" w:eastAsia="Calibri" w:hAnsi="Calibri"/>
          <w:sz w:val="21"/>
          <w:szCs w:val="21"/>
        </w:rPr>
        <w:t xml:space="preserve">The us. geographic profile is the residency tool for North America. AWS documents it as keeping data within US and Canada Regions; a call from ca-central-1 may be processed in Canada or the US, a call from a US Region stays in the US. A Canada-only boundary is not available for current Claude or Nova 2 models on Bedrock. Requirements must state which of the three boundaries (US only, US and Canada, unrestricted) is acceptable per data class. (Doc 1, 4.2; Doc 2, 3.1)</w:t>
      </w:r>
    </w:p>
    <w:p>
      <w:pPr>
        <w:pStyle w:val="ListParagraph"/>
        <w:numPr>
          <w:ilvl w:val="0"/>
          <w:numId w:val="2"/>
        </w:numPr>
        <w:spacing w:after="60" w:line="276"/>
      </w:pPr>
      <w:r>
        <w:rPr>
          <w:rFonts w:ascii="Calibri" w:cs="Calibri" w:eastAsia="Calibri" w:hAnsi="Calibri"/>
          <w:sz w:val="21"/>
          <w:szCs w:val="21"/>
        </w:rPr>
        <w:t xml:space="preserve">Provisioned Throughput is not an option for current models. Its support list is Claude 2 and 3.x, Nova 1, Titan, Cohere Embed and Llama 3.x. For guaranteed capacity on a current model the Reserved service tier is the mechanism, and only where the model card lists it (Haiku 4.5 yes; Claude 5 family and Nova 2 Lite no). Capacity plans that budget Model Units for Claude 4.x or 5.x cannot be executed. (Doc 1, 4.4 and 4.6)</w:t>
      </w:r>
    </w:p>
    <w:p>
      <w:pPr>
        <w:pStyle w:val="ListParagraph"/>
        <w:numPr>
          <w:ilvl w:val="0"/>
          <w:numId w:val="2"/>
        </w:numPr>
        <w:spacing w:after="60" w:line="276"/>
      </w:pPr>
      <w:r>
        <w:rPr>
          <w:rFonts w:ascii="Calibri" w:cs="Calibri" w:eastAsia="Calibri" w:hAnsi="Calibri"/>
          <w:sz w:val="21"/>
          <w:szCs w:val="21"/>
        </w:rPr>
        <w:t xml:space="preserve">Service tiers exist and are per request. Priority is a 75 percent premium, Flex is a 50 percent discount, Reserved is a monthly fixed price per 1,000 tokens per minute with 100,000 input and 10,000 output TPM minimums. Support is per model: Nova 2 Lite has Priority and Flex; the current Claude models have Standard only (Haiku 4.5 adds Reserved). (Doc 1, 4.4)</w:t>
      </w:r>
    </w:p>
    <w:p>
      <w:pPr>
        <w:pStyle w:val="ListParagraph"/>
        <w:numPr>
          <w:ilvl w:val="0"/>
          <w:numId w:val="2"/>
        </w:numPr>
        <w:spacing w:after="60" w:line="276"/>
      </w:pPr>
      <w:r>
        <w:rPr>
          <w:rFonts w:ascii="Calibri" w:cs="Calibri" w:eastAsia="Calibri" w:hAnsi="Calibri"/>
          <w:sz w:val="21"/>
          <w:szCs w:val="21"/>
        </w:rPr>
        <w:t xml:space="preserve">Batch inference is the largest documented discount and it is per model and per Region. Fifty percent off, JSONL in and out of S3, typical completion within 24 hours. Haiku 4.5, Sonnet 4.5, Sonnet 4.6, Opus 4.5, Opus 4.6, Nova 2 Lite and Qwen3 VL are on the support page; the Claude 5 family and Opus 4.7 and 4.8 were not on it on the snapshot date. No Cohere generation model is on it. (Doc 1, 4.5)</w:t>
      </w:r>
    </w:p>
    <w:p>
      <w:pPr>
        <w:pStyle w:val="ListParagraph"/>
        <w:numPr>
          <w:ilvl w:val="0"/>
          <w:numId w:val="2"/>
        </w:numPr>
        <w:spacing w:after="60" w:line="276"/>
      </w:pPr>
      <w:r>
        <w:rPr>
          <w:rFonts w:ascii="Calibri" w:cs="Calibri" w:eastAsia="Calibri" w:hAnsi="Calibri"/>
          <w:sz w:val="21"/>
          <w:szCs w:val="21"/>
        </w:rPr>
        <w:t xml:space="preserve">Prompt caching is model specific and stacks with batch. Claude 5 and Haiku 4.5 support 5 minute and 1 hour caches with minimum checkpoints from 512 to 4,096 tokens; cache reads cost 0.1 times input and do not count against tokens-per-minute quotas. Nova 2 Lite caching is text-first, 5 minutes only, and capped at 20,000 tokens. (Doc 1, 4.8)</w:t>
      </w:r>
    </w:p>
    <w:p>
      <w:pPr>
        <w:pStyle w:val="ListParagraph"/>
        <w:numPr>
          <w:ilvl w:val="0"/>
          <w:numId w:val="2"/>
        </w:numPr>
        <w:spacing w:after="60" w:line="276"/>
      </w:pPr>
      <w:r>
        <w:rPr>
          <w:rFonts w:ascii="Calibri" w:cs="Calibri" w:eastAsia="Calibri" w:hAnsi="Calibri"/>
          <w:sz w:val="21"/>
          <w:szCs w:val="21"/>
        </w:rPr>
        <w:t xml:space="preserve">Quota math changed. max_tokens is reserved up front, and output tokens burn quota at 5x for Claude 4.7 and below, 10x for Sonnet 5 and Opus 5, and 15x for Opus 4.8. Sonnet 5 and Claude 4.7 and later also tokenize about 30 percent more tokens per text than earlier models. Throughput and cost models built on Claude 3.x or 4.x figures need to be rebuilt. (Doc 1, 5; Doc 2, 3)</w:t>
      </w:r>
    </w:p>
    <w:p>
      <w:pPr>
        <w:pStyle w:val="ListParagraph"/>
        <w:numPr>
          <w:ilvl w:val="0"/>
          <w:numId w:val="2"/>
        </w:numPr>
        <w:spacing w:after="60" w:line="276"/>
      </w:pPr>
      <w:r>
        <w:rPr>
          <w:rFonts w:ascii="Calibri" w:cs="Calibri" w:eastAsia="Calibri" w:hAnsi="Calibri"/>
          <w:sz w:val="21"/>
          <w:szCs w:val="21"/>
        </w:rPr>
        <w:t xml:space="preserve">Model IDs and lifecycle dates have to be tracked as configuration. New Anthropic IDs have no date suffix (anthropic.claude-sonnet-5), bedrock-mantle uses different names than bedrock-runtime, and the Legacy table now retires Cohere Command R and R+ on August 19, 2026, Claude 3 Haiku on September 10, 2026, Claude Sonnet 4 on October 14, 2026 and Claude Opus 4.1 on January 8, 2027. Haiku 4.5 carries an EOL floor of October 1, 2026 on its card. (Doc 1, 6; Doc 2, 7)</w:t>
      </w:r>
    </w:p>
    <w:p>
      <w:pPr>
        <w:pStyle w:val="ListParagraph"/>
        <w:numPr>
          <w:ilvl w:val="0"/>
          <w:numId w:val="2"/>
        </w:numPr>
        <w:spacing w:after="60" w:line="276"/>
      </w:pPr>
      <w:r>
        <w:rPr>
          <w:rFonts w:ascii="Calibri" w:cs="Calibri" w:eastAsia="Calibri" w:hAnsi="Calibri"/>
          <w:sz w:val="21"/>
          <w:szCs w:val="21"/>
        </w:rPr>
        <w:t xml:space="preserve">The model we run today is not a Bedrock serverless model. Cohere Command A Vision has no Bedrock model ID; Cohere serves the Command A family on AWS through SageMaker Marketplace endpoints, and the only Cohere generation models in the Bedrock catalog (Command R and R+) retire on August 19, 2026. None of the Bedrock levers above (cross-Region routing, tiers, batch, caching, lifecycle notices) apply to the current model, and any cost or capacity plan for it is an endpoint plan, not a token plan. (Doc 2, Section 2)</w:t>
      </w:r>
    </w:p>
    <w:p>
      <w:pPr>
        <w:pStyle w:val="ListParagraph"/>
        <w:numPr>
          <w:ilvl w:val="0"/>
          <w:numId w:val="2"/>
        </w:numPr>
        <w:spacing w:after="60" w:line="276"/>
      </w:pPr>
      <w:r>
        <w:rPr>
          <w:rFonts w:ascii="Calibri" w:cs="Calibri" w:eastAsia="Calibri" w:hAnsi="Calibri"/>
          <w:sz w:val="21"/>
          <w:szCs w:val="21"/>
        </w:rPr>
        <w:t xml:space="preserve">There is a second inference endpoint. bedrock-mantle serves the OpenAI Responses and Chat Completions APIs and the Anthropic Messages API, has separate quotas without burndown, and rejects the structured outputs feature. The gateway design should decide explicitly which endpoint it fronts for which model. (Doc 1, Section 2)</w:t>
      </w:r>
    </w:p>
    <w:p>
      <w:pPr>
        <w:pStyle w:val="ListParagraph"/>
        <w:numPr>
          <w:ilvl w:val="0"/>
          <w:numId w:val="2"/>
        </w:numPr>
        <w:spacing w:after="60" w:line="276"/>
      </w:pPr>
      <w:r>
        <w:rPr>
          <w:rFonts w:ascii="Calibri" w:cs="Calibri" w:eastAsia="Calibri" w:hAnsi="Calibri"/>
          <w:sz w:val="21"/>
          <w:szCs w:val="21"/>
        </w:rPr>
        <w:t xml:space="preserve">Claude Fable 5 requires opting in to provider data sharing and has materially higher refusal rates by design. It should be excluded from the pipeline candidate list until a governance decision exists. (Doc 2, Section 3)</w:t>
      </w:r>
    </w:p>
    <w:p>
      <w:pPr>
        <w:pStyle w:val="Heading1"/>
      </w:pPr>
      <w:r>
        <w:rPr>
          <w:rFonts w:ascii="Calibri" w:cs="Calibri" w:eastAsia="Calibri" w:hAnsi="Calibri"/>
        </w:rPr>
        <w:t xml:space="preserve">3. Assumptions to retire</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3427"/>
        <w:gridCol w:w="4637"/>
        <w:gridCol w:w="2016"/>
      </w:tblGrid>
      <w:tr>
        <w:trPr>
          <w:tblHeader/>
        </w:trPr>
        <w:tc>
          <w:tcPr>
            <w:tcW w:type="dxa" w:w="3427"/>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Assumption still found in older plans</w:t>
            </w:r>
          </w:p>
        </w:tc>
        <w:tc>
          <w:tcPr>
            <w:tcW w:type="dxa" w:w="4637"/>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Current state on August 17, 2026</w:t>
            </w:r>
          </w:p>
        </w:tc>
        <w:tc>
          <w:tcPr>
            <w:tcW w:type="dxa" w:w="2016"/>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Where documented</w:t>
            </w:r>
          </w:p>
        </w:tc>
      </w:tr>
      <w:tr>
        <w:trPr>
          <w:cantSplit w:val="false"/>
        </w:trPr>
        <w:tc>
          <w:tcPr>
            <w:tcW w:type="dxa" w:w="342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Model access has to be requested per model in the console before use</w:t>
            </w:r>
          </w:p>
        </w:tc>
        <w:tc>
          <w:tcPr>
            <w:tcW w:type="dxa" w:w="463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Retired October 2025; access is automatic and governed by IAM and SCP; Anthropic first-use form and Marketplace permissions remain</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Doc 1, Section 3</w:t>
            </w:r>
          </w:p>
        </w:tc>
      </w:tr>
      <w:tr>
        <w:trPr>
          <w:cantSplit w:val="false"/>
        </w:trPr>
        <w:tc>
          <w:tcPr>
            <w:tcW w:type="dxa" w:w="342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We can pin a model to our home Region</w:t>
            </w:r>
          </w:p>
        </w:tc>
        <w:tc>
          <w:tcPr>
            <w:tcW w:type="dxa" w:w="463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Only for a shrinking set of models; most current models are geographic or global profile only</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Doc 1, 4.1; Doc 2, 6</w:t>
            </w:r>
          </w:p>
        </w:tc>
      </w:tr>
      <w:tr>
        <w:trPr>
          <w:cantSplit w:val="false"/>
        </w:trPr>
        <w:tc>
          <w:tcPr>
            <w:tcW w:type="dxa" w:w="342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Cross-Region inference is an optional burst feature</w:t>
            </w:r>
          </w:p>
        </w:tc>
        <w:tc>
          <w:tcPr>
            <w:tcW w:type="dxa" w:w="463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It is the primary way to reach current models and carries its own larger quotas; geographic profiles bound residency to US and Canada</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Doc 1, 4.2</w:t>
            </w:r>
          </w:p>
        </w:tc>
      </w:tr>
      <w:tr>
        <w:trPr>
          <w:cantSplit w:val="false"/>
        </w:trPr>
        <w:tc>
          <w:tcPr>
            <w:tcW w:type="dxa" w:w="342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Provisioned Throughput is how we guarantee capacity</w:t>
            </w:r>
          </w:p>
        </w:tc>
        <w:tc>
          <w:tcPr>
            <w:tcW w:type="dxa" w:w="463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Not available for any Claude 4.x or 5.x model or Nova Premier; Reserved tier replaces it where supported</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Doc 1, 4.4 and 4.6</w:t>
            </w:r>
          </w:p>
        </w:tc>
      </w:tr>
      <w:tr>
        <w:trPr>
          <w:cantSplit w:val="false"/>
        </w:trPr>
        <w:tc>
          <w:tcPr>
            <w:tcW w:type="dxa" w:w="342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Cohere Command A Vision is a Bedrock model with Bedrock features</w:t>
            </w:r>
          </w:p>
        </w:tc>
        <w:tc>
          <w:tcPr>
            <w:tcW w:type="dxa" w:w="463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Not in the Bedrock serverless catalog; served through SageMaker Marketplace endpoints</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Doc 2, Section 2</w:t>
            </w:r>
          </w:p>
        </w:tc>
      </w:tr>
      <w:tr>
        <w:trPr>
          <w:cantSplit w:val="false"/>
        </w:trPr>
        <w:tc>
          <w:tcPr>
            <w:tcW w:type="dxa" w:w="342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Output tokens count 1:1 against TPM quotas</w:t>
            </w:r>
          </w:p>
        </w:tc>
        <w:tc>
          <w:tcPr>
            <w:tcW w:type="dxa" w:w="463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5x, 10x or 15x depending on the Claude generation; max_tokens is reserved up front</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Doc 1, Section 5</w:t>
            </w:r>
          </w:p>
        </w:tc>
      </w:tr>
      <w:tr>
        <w:trPr>
          <w:cantSplit w:val="false"/>
        </w:trPr>
        <w:tc>
          <w:tcPr>
            <w:tcW w:type="dxa" w:w="342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Model IDs are dated strings we can pattern-match</w:t>
            </w:r>
          </w:p>
        </w:tc>
        <w:tc>
          <w:tcPr>
            <w:tcW w:type="dxa" w:w="463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Three ID styles coexist; store exact IDs per environment</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Doc 1, 6.1</w:t>
            </w:r>
          </w:p>
        </w:tc>
      </w:tr>
      <w:tr>
        <w:trPr>
          <w:cantSplit w:val="false"/>
        </w:trPr>
        <w:tc>
          <w:tcPr>
            <w:tcW w:type="dxa" w:w="342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Latency-optimized inference is available for our models</w:t>
            </w:r>
          </w:p>
        </w:tc>
        <w:tc>
          <w:tcPr>
            <w:tcW w:type="dxa" w:w="463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Preview, limited to Nova Pro, Claude 3.5 Haiku and Llama 3.1; Priority tier is the current lever where supported</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Doc 1, 4.7</w:t>
            </w:r>
          </w:p>
        </w:tc>
      </w:tr>
      <w:tr>
        <w:trPr>
          <w:cantSplit w:val="false"/>
        </w:trPr>
        <w:tc>
          <w:tcPr>
            <w:tcW w:type="dxa" w:w="342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Sonnet 4 and Opus 4.1 are current</w:t>
            </w:r>
          </w:p>
        </w:tc>
        <w:tc>
          <w:tcPr>
            <w:tcW w:type="dxa" w:w="463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Both Legacy; EOL October 14, 2026 and January 8, 2027</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Doc 2, Section 7</w:t>
            </w:r>
          </w:p>
        </w:tc>
      </w:tr>
    </w:tbl>
    <w:p>
      <w:pPr>
        <w:pStyle w:val="Heading1"/>
      </w:pPr>
      <w:r>
        <w:rPr>
          <w:rFonts w:ascii="Calibri" w:cs="Calibri" w:eastAsia="Calibri" w:hAnsi="Calibri"/>
        </w:rPr>
        <w:t xml:space="preserve">4. Recommended default configuration for the extraction pipeline</w:t>
      </w:r>
    </w:p>
    <w:p>
      <w:pPr>
        <w:keepNext w:val="false"/>
        <w:spacing w:after="120" w:line="276"/>
        <w:jc w:val="left"/>
      </w:pPr>
      <w:r>
        <w:rPr>
          <w:rFonts w:ascii="Calibri" w:cs="Calibri" w:eastAsia="Calibri" w:hAnsi="Calibri"/>
          <w:sz w:val="21"/>
          <w:szCs w:val="21"/>
        </w:rPr>
        <w:t xml:space="preserve">This is a starting position derived from availability, features and price. It does not replace the quality evaluation, and it assumes the team confirms its target Regions and residency boundary first (Section 6).</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1814"/>
        <w:gridCol w:w="4435"/>
        <w:gridCol w:w="3831"/>
      </w:tblGrid>
      <w:tr>
        <w:trPr>
          <w:tblHeader/>
        </w:trPr>
        <w:tc>
          <w:tcPr>
            <w:tcW w:type="dxa" w:w="1814"/>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Decision</w:t>
            </w:r>
          </w:p>
        </w:tc>
        <w:tc>
          <w:tcPr>
            <w:tcW w:type="dxa" w:w="4435"/>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Default</w:t>
            </w:r>
          </w:p>
        </w:tc>
        <w:tc>
          <w:tcPr>
            <w:tcW w:type="dxa" w:w="3831"/>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Reason</w:t>
            </w:r>
          </w:p>
        </w:tc>
      </w:tr>
      <w:tr>
        <w:trPr>
          <w:cantSplit w:val="false"/>
        </w:trPr>
        <w:tc>
          <w:tcPr>
            <w:tcW w:type="dxa" w:w="181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Routing</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Geographic us. profile called from the team's North American source Region; global. profile only for traffic with no residency constraint.</w:t>
            </w:r>
          </w:p>
        </w:tc>
        <w:tc>
          <w:tcPr>
            <w:tcW w:type="dxa" w:w="383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Current models are cross-Region only; us. keeps processing in the US and Canada; no routing surcharge; separate, larger quotas.</w:t>
            </w:r>
          </w:p>
        </w:tc>
      </w:tr>
      <w:tr>
        <w:trPr>
          <w:cantSplit w:val="false"/>
        </w:trPr>
        <w:tc>
          <w:tcPr>
            <w:tcW w:type="dxa" w:w="18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Endpoint</w:t>
            </w:r>
          </w:p>
        </w:tc>
        <w:tc>
          <w:tcPr>
            <w:tcW w:type="dxa" w:w="443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bedrock-runtime through the internal gateway.</w:t>
            </w:r>
          </w:p>
        </w:tc>
        <w:tc>
          <w:tcPr>
            <w:tcW w:type="dxa" w:w="383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Needed for batch, Guardrails and the structured outputs feature; bedrock-mantle is worth a separate decision if the gateway wants the Anthropic Messages or OpenAI API shapes.</w:t>
            </w:r>
          </w:p>
        </w:tc>
      </w:tr>
      <w:tr>
        <w:trPr>
          <w:cantSplit w:val="false"/>
        </w:trPr>
        <w:tc>
          <w:tcPr>
            <w:tcW w:type="dxa" w:w="181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Synchronous tier</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Standard. Add Flex only for models that support it (Nova 2 Lite) and only for traffic that tolerates delay.</w:t>
            </w:r>
          </w:p>
        </w:tc>
        <w:tc>
          <w:tcPr>
            <w:tcW w:type="dxa" w:w="383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Current Claude models expose Standard only.</w:t>
            </w:r>
          </w:p>
        </w:tc>
      </w:tr>
      <w:tr>
        <w:trPr>
          <w:cantSplit w:val="false"/>
        </w:trPr>
        <w:tc>
          <w:tcPr>
            <w:tcW w:type="dxa" w:w="18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Backlog processing</w:t>
            </w:r>
          </w:p>
        </w:tc>
        <w:tc>
          <w:tcPr>
            <w:tcW w:type="dxa" w:w="443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Batch inference through the us. profile for every model on the batch support page.</w:t>
            </w:r>
          </w:p>
        </w:tc>
        <w:tc>
          <w:tcPr>
            <w:tcW w:type="dxa" w:w="383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Fifty percent discount; results within roughly a day; already compatible with a queued pipeline.</w:t>
            </w:r>
          </w:p>
        </w:tc>
      </w:tr>
      <w:tr>
        <w:trPr>
          <w:cantSplit w:val="false"/>
        </w:trPr>
        <w:tc>
          <w:tcPr>
            <w:tcW w:type="dxa" w:w="181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Prompt layout</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Stable extraction instructions, schema and examples first, sized above the model's minimum cache checkpoint; document image last.</w:t>
            </w:r>
          </w:p>
        </w:tc>
        <w:tc>
          <w:tcPr>
            <w:tcW w:type="dxa" w:w="383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Enables prompt caching at 0.1 times input for the prefix and removes those tokens from quota accounting.</w:t>
            </w:r>
          </w:p>
        </w:tc>
      </w:tr>
      <w:tr>
        <w:trPr>
          <w:cantSplit w:val="false"/>
        </w:trPr>
        <w:tc>
          <w:tcPr>
            <w:tcW w:type="dxa" w:w="18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Cost attribution</w:t>
            </w:r>
          </w:p>
        </w:tc>
        <w:tc>
          <w:tcPr>
            <w:tcW w:type="dxa" w:w="443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One application inference profile per environment and business line, tagged for cost allocation.</w:t>
            </w:r>
          </w:p>
        </w:tc>
        <w:tc>
          <w:tcPr>
            <w:tcW w:type="dxa" w:w="383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Only supported mechanism for per-application cost and usage in Cost Explorer and CloudWatch.</w:t>
            </w:r>
          </w:p>
        </w:tc>
      </w:tr>
      <w:tr>
        <w:trPr>
          <w:cantSplit w:val="false"/>
        </w:trPr>
        <w:tc>
          <w:tcPr>
            <w:tcW w:type="dxa" w:w="181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Model pinning</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Store the exact bedrock-runtime model or profile ID per environment; read modelLifecycle from ListFoundationModels in a scheduled check; alarm on Legacy.</w:t>
            </w:r>
          </w:p>
        </w:tc>
        <w:tc>
          <w:tcPr>
            <w:tcW w:type="dxa" w:w="383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IDs differ by generation and endpoint; Legacy notices arrive by email, Health Dashboard and console and are easy to miss.</w:t>
            </w:r>
          </w:p>
        </w:tc>
      </w:tr>
      <w:tr>
        <w:trPr>
          <w:cantSplit w:val="false"/>
        </w:trPr>
        <w:tc>
          <w:tcPr>
            <w:tcW w:type="dxa" w:w="18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Quota sizing</w:t>
            </w:r>
          </w:p>
        </w:tc>
        <w:tc>
          <w:tcPr>
            <w:tcW w:type="dxa" w:w="443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Set max_tokens to the observed p99 output length; size TPM requests using input plus cache writes plus output times burndown; use EstimatedTPMQuotaUsage and TimeToFirstToken alarms.</w:t>
            </w:r>
          </w:p>
        </w:tc>
        <w:tc>
          <w:tcPr>
            <w:tcW w:type="dxa" w:w="383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Prevents the two documented causes of unexpected throttling.</w:t>
            </w:r>
          </w:p>
        </w:tc>
      </w:tr>
      <w:tr>
        <w:trPr>
          <w:cantSplit w:val="false"/>
        </w:trPr>
        <w:tc>
          <w:tcPr>
            <w:tcW w:type="dxa" w:w="181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Candidates for the quality bake-off</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Haiku 4.5, Claude Sonnet 5, Amazon Nova 2 Lite, Qwen3 VL 235B; Claude Opus 5 as a quality ceiling reference.</w:t>
            </w:r>
          </w:p>
        </w:tc>
        <w:tc>
          <w:tcPr>
            <w:tcW w:type="dxa" w:w="383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Doc 2, Section 8.</w:t>
            </w:r>
          </w:p>
        </w:tc>
      </w:tr>
    </w:tbl>
    <w:p>
      <w:pPr>
        <w:pStyle w:val="Heading1"/>
      </w:pPr>
      <w:r>
        <w:rPr>
          <w:rFonts w:ascii="Calibri" w:cs="Calibri" w:eastAsia="Calibri" w:hAnsi="Calibri"/>
        </w:rPr>
        <w:t xml:space="preserve">5. Requirements the specification should now state explicitly</w:t>
      </w:r>
    </w:p>
    <w:p>
      <w:pPr>
        <w:keepNext w:val="false"/>
        <w:spacing w:after="120" w:line="276"/>
        <w:jc w:val="left"/>
      </w:pPr>
      <w:r>
        <w:rPr>
          <w:rFonts w:ascii="Calibri" w:cs="Calibri" w:eastAsia="Calibri" w:hAnsi="Calibri"/>
          <w:sz w:val="21"/>
          <w:szCs w:val="21"/>
        </w:rPr>
        <w:t xml:space="preserve">Each of these was implicit or absent in older material and is now a concrete decision with a documented set of options.</w:t>
      </w:r>
    </w:p>
    <w:p>
      <w:pPr>
        <w:pStyle w:val="ListParagraph"/>
        <w:numPr>
          <w:ilvl w:val="0"/>
          <w:numId w:val="3"/>
        </w:numPr>
        <w:spacing w:after="60" w:line="276"/>
      </w:pPr>
      <w:r>
        <w:rPr>
          <w:rFonts w:ascii="Calibri" w:cs="Calibri" w:eastAsia="Calibri" w:hAnsi="Calibri"/>
          <w:sz w:val="21"/>
          <w:szCs w:val="21"/>
        </w:rPr>
        <w:t xml:space="preserve">Data processing boundary per data class: US only, US and Canada, or unrestricted; and whether abuse detection storage in the destination Region is acceptable.</w:t>
      </w:r>
    </w:p>
    <w:p>
      <w:pPr>
        <w:pStyle w:val="ListParagraph"/>
        <w:numPr>
          <w:ilvl w:val="0"/>
          <w:numId w:val="3"/>
        </w:numPr>
        <w:spacing w:after="60" w:line="276"/>
      </w:pPr>
      <w:r>
        <w:rPr>
          <w:rFonts w:ascii="Calibri" w:cs="Calibri" w:eastAsia="Calibri" w:hAnsi="Calibri"/>
          <w:sz w:val="21"/>
          <w:szCs w:val="21"/>
        </w:rPr>
        <w:t xml:space="preserve">Approved model and profile IDs per environment, including the exact bedrock-runtime and bedrock-mantle names, and the migration deadline attached to each Legacy date.</w:t>
      </w:r>
    </w:p>
    <w:p>
      <w:pPr>
        <w:pStyle w:val="ListParagraph"/>
        <w:numPr>
          <w:ilvl w:val="0"/>
          <w:numId w:val="3"/>
        </w:numPr>
        <w:spacing w:after="60" w:line="276"/>
      </w:pPr>
      <w:r>
        <w:rPr>
          <w:rFonts w:ascii="Calibri" w:cs="Calibri" w:eastAsia="Calibri" w:hAnsi="Calibri"/>
          <w:sz w:val="21"/>
          <w:szCs w:val="21"/>
        </w:rPr>
        <w:t xml:space="preserve">Which service tier each traffic class may use, and the price ceiling that implies (Priority plus 75 percent, Flex minus 50 percent, Reserved fixed monthly).</w:t>
      </w:r>
    </w:p>
    <w:p>
      <w:pPr>
        <w:pStyle w:val="ListParagraph"/>
        <w:numPr>
          <w:ilvl w:val="0"/>
          <w:numId w:val="3"/>
        </w:numPr>
        <w:spacing w:after="60" w:line="276"/>
      </w:pPr>
      <w:r>
        <w:rPr>
          <w:rFonts w:ascii="Calibri" w:cs="Calibri" w:eastAsia="Calibri" w:hAnsi="Calibri"/>
          <w:sz w:val="21"/>
          <w:szCs w:val="21"/>
        </w:rPr>
        <w:t xml:space="preserve">Which traffic goes to batch inference, the acceptable completion window (AWS quotes a typical day), and the S3 layout and encryption for job input and output.</w:t>
      </w:r>
    </w:p>
    <w:p>
      <w:pPr>
        <w:pStyle w:val="ListParagraph"/>
        <w:numPr>
          <w:ilvl w:val="0"/>
          <w:numId w:val="3"/>
        </w:numPr>
        <w:spacing w:after="60" w:line="276"/>
      </w:pPr>
      <w:r>
        <w:rPr>
          <w:rFonts w:ascii="Calibri" w:cs="Calibri" w:eastAsia="Calibri" w:hAnsi="Calibri"/>
          <w:sz w:val="21"/>
          <w:szCs w:val="21"/>
        </w:rPr>
        <w:t xml:space="preserve">Prompt caching policy: which prompt sections are cacheable, the time to live to request, and the minimum checkpoint size for each approved model.</w:t>
      </w:r>
    </w:p>
    <w:p>
      <w:pPr>
        <w:pStyle w:val="ListParagraph"/>
        <w:numPr>
          <w:ilvl w:val="0"/>
          <w:numId w:val="3"/>
        </w:numPr>
        <w:spacing w:after="60" w:line="276"/>
      </w:pPr>
      <w:r>
        <w:rPr>
          <w:rFonts w:ascii="Calibri" w:cs="Calibri" w:eastAsia="Calibri" w:hAnsi="Calibri"/>
          <w:sz w:val="21"/>
          <w:szCs w:val="21"/>
        </w:rPr>
        <w:t xml:space="preserve">Quota targets in tokens per minute after burndown, and the alarms on EstimatedTPMQuotaUsage and TimeToFirstToken.</w:t>
      </w:r>
    </w:p>
    <w:p>
      <w:pPr>
        <w:pStyle w:val="ListParagraph"/>
        <w:numPr>
          <w:ilvl w:val="0"/>
          <w:numId w:val="3"/>
        </w:numPr>
        <w:spacing w:after="60" w:line="276"/>
      </w:pPr>
      <w:r>
        <w:rPr>
          <w:rFonts w:ascii="Calibri" w:cs="Calibri" w:eastAsia="Calibri" w:hAnsi="Calibri"/>
          <w:sz w:val="21"/>
          <w:szCs w:val="21"/>
        </w:rPr>
        <w:t xml:space="preserve">Cost attribution: the application inference profile naming and tagging scheme.</w:t>
      </w:r>
    </w:p>
    <w:p>
      <w:pPr>
        <w:pStyle w:val="ListParagraph"/>
        <w:numPr>
          <w:ilvl w:val="0"/>
          <w:numId w:val="3"/>
        </w:numPr>
        <w:spacing w:after="60" w:line="276"/>
      </w:pPr>
      <w:r>
        <w:rPr>
          <w:rFonts w:ascii="Calibri" w:cs="Calibri" w:eastAsia="Calibri" w:hAnsi="Calibri"/>
          <w:sz w:val="21"/>
          <w:szCs w:val="21"/>
        </w:rPr>
        <w:t xml:space="preserve">Endpoint choice for the gateway (bedrock-runtime, bedrock-mantle or both) and the resulting API contract for downstream callers.</w:t>
      </w:r>
    </w:p>
    <w:p>
      <w:pPr>
        <w:pStyle w:val="ListParagraph"/>
        <w:numPr>
          <w:ilvl w:val="0"/>
          <w:numId w:val="3"/>
        </w:numPr>
        <w:spacing w:after="60" w:line="276"/>
      </w:pPr>
      <w:r>
        <w:rPr>
          <w:rFonts w:ascii="Calibri" w:cs="Calibri" w:eastAsia="Calibri" w:hAnsi="Calibri"/>
          <w:sz w:val="21"/>
          <w:szCs w:val="21"/>
        </w:rPr>
        <w:t xml:space="preserve">Governance rule for models that require provider data sharing (Claude Fable 5) or that are limited availability or preview (Claude Mythos 5, Mythos Preview).</w:t>
      </w:r>
    </w:p>
    <w:p>
      <w:pPr>
        <w:pStyle w:val="ListParagraph"/>
        <w:numPr>
          <w:ilvl w:val="0"/>
          <w:numId w:val="3"/>
        </w:numPr>
        <w:spacing w:after="60" w:line="276"/>
      </w:pPr>
      <w:r>
        <w:rPr>
          <w:rFonts w:ascii="Calibri" w:cs="Calibri" w:eastAsia="Calibri" w:hAnsi="Calibri"/>
          <w:sz w:val="21"/>
          <w:szCs w:val="21"/>
        </w:rPr>
        <w:t xml:space="preserve">For the current Command A Vision deployment: the hosting path, subscription, instance type, scaling and cost model, since none of the Bedrock serverless controls apply.</w:t>
      </w:r>
    </w:p>
    <w:p>
      <w:pPr>
        <w:pStyle w:val="Heading1"/>
      </w:pPr>
      <w:r>
        <w:rPr>
          <w:rFonts w:ascii="Calibri" w:cs="Calibri" w:eastAsia="Calibri" w:hAnsi="Calibri"/>
        </w:rPr>
        <w:t xml:space="preserve">6. Open items that need an owner</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3629"/>
        <w:gridCol w:w="4234"/>
        <w:gridCol w:w="2217"/>
      </w:tblGrid>
      <w:tr>
        <w:trPr>
          <w:tblHeader/>
        </w:trPr>
        <w:tc>
          <w:tcPr>
            <w:tcW w:type="dxa" w:w="3629"/>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Item</w:t>
            </w:r>
          </w:p>
        </w:tc>
        <w:tc>
          <w:tcPr>
            <w:tcW w:type="dxa" w:w="4234"/>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Why it matters</w:t>
            </w:r>
          </w:p>
        </w:tc>
        <w:tc>
          <w:tcPr>
            <w:tcW w:type="dxa" w:w="2217"/>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Suggested owner</w:t>
            </w:r>
          </w:p>
        </w:tc>
      </w:tr>
      <w:tr>
        <w:trPr>
          <w:cantSplit w:val="false"/>
        </w:trPr>
        <w:tc>
          <w:tcPr>
            <w:tcW w:type="dxa" w:w="3629"/>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Confirm how Command A Vision is hosted behind the gateway (Bedrock Marketplace endpoint, SageMaker JumpStart endpoint, or Cohere platform) and its cost basis</w:t>
            </w:r>
          </w:p>
        </w:tc>
        <w:tc>
          <w:tcPr>
            <w:tcW w:type="dxa" w:w="423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Determines whether any Bedrock feature applies and how capacity is planned; Cohere's only serverless Bedrock generation models retire on Aug 19, 2026</w:t>
            </w:r>
          </w:p>
        </w:tc>
        <w:tc>
          <w:tcPr>
            <w:tcW w:type="dxa" w:w="221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Gateway and platform team</w:t>
            </w:r>
          </w:p>
        </w:tc>
      </w:tr>
      <w:tr>
        <w:trPr>
          <w:cantSplit w:val="false"/>
        </w:trPr>
        <w:tc>
          <w:tcPr>
            <w:tcW w:type="dxa" w:w="362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Confirm the target Regions and the residency boundary per data class</w:t>
            </w:r>
          </w:p>
        </w:tc>
        <w:tc>
          <w:tcPr>
            <w:tcW w:type="dxa" w:w="423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Selects between in-Region, us. and global. routing; rules some models in or out (no Canada-only option for current Claude or Nova 2)</w:t>
            </w:r>
          </w:p>
        </w:tc>
        <w:tc>
          <w:tcPr>
            <w:tcW w:type="dxa" w:w="221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Architecture with risk and compliance</w:t>
            </w:r>
          </w:p>
        </w:tc>
      </w:tr>
      <w:tr>
        <w:trPr>
          <w:cantSplit w:val="false"/>
        </w:trPr>
        <w:tc>
          <w:tcPr>
            <w:tcW w:type="dxa" w:w="3629"/>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Decide whether Priority, Flex or Reserved tiers are in scope, and for which model</w:t>
            </w:r>
          </w:p>
        </w:tc>
        <w:tc>
          <w:tcPr>
            <w:tcW w:type="dxa" w:w="423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Tier support differs by model; Reserved requires the AWS account team and monthly commitment</w:t>
            </w:r>
          </w:p>
        </w:tc>
        <w:tc>
          <w:tcPr>
            <w:tcW w:type="dxa" w:w="221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Architecture and finance</w:t>
            </w:r>
          </w:p>
        </w:tc>
      </w:tr>
      <w:tr>
        <w:trPr>
          <w:cantSplit w:val="false"/>
        </w:trPr>
        <w:tc>
          <w:tcPr>
            <w:tcW w:type="dxa" w:w="362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Confirm batch support in the target Region for each shortlisted model, including Claude Sonnet 5 and Opus 5, before designing around the discount</w:t>
            </w:r>
          </w:p>
        </w:tc>
        <w:tc>
          <w:tcPr>
            <w:tcW w:type="dxa" w:w="423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Support page and model cards disagreed for the Claude 5 family on the snapshot date</w:t>
            </w:r>
          </w:p>
        </w:tc>
        <w:tc>
          <w:tcPr>
            <w:tcW w:type="dxa" w:w="221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Pipeline engineering</w:t>
            </w:r>
          </w:p>
        </w:tc>
      </w:tr>
      <w:tr>
        <w:trPr>
          <w:cantSplit w:val="false"/>
        </w:trPr>
        <w:tc>
          <w:tcPr>
            <w:tcW w:type="dxa" w:w="3629"/>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Run the quality evaluation on the shortlist with the team's scanned documents, including calibrated per-field confidence</w:t>
            </w:r>
          </w:p>
        </w:tc>
        <w:tc>
          <w:tcPr>
            <w:tcW w:type="dxa" w:w="423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Availability and price do not settle quality; verbalized confidence calibration is a known open issue</w:t>
            </w:r>
          </w:p>
        </w:tc>
        <w:tc>
          <w:tcPr>
            <w:tcW w:type="dxa" w:w="221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ML engineering</w:t>
            </w:r>
          </w:p>
        </w:tc>
      </w:tr>
      <w:tr>
        <w:trPr>
          <w:cantSplit w:val="false"/>
        </w:trPr>
        <w:tc>
          <w:tcPr>
            <w:tcW w:type="dxa" w:w="362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Decide the endpoint strategy for the gateway (bedrock-runtime, bedrock-mantle or both)</w:t>
            </w:r>
          </w:p>
        </w:tc>
        <w:tc>
          <w:tcPr>
            <w:tcW w:type="dxa" w:w="423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Different APIs, quotas and feature sets; structured outputs not on bedrock-mantle</w:t>
            </w:r>
          </w:p>
        </w:tc>
        <w:tc>
          <w:tcPr>
            <w:tcW w:type="dxa" w:w="221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Gateway team</w:t>
            </w:r>
          </w:p>
        </w:tc>
      </w:tr>
      <w:tr>
        <w:trPr>
          <w:cantSplit w:val="false"/>
        </w:trPr>
        <w:tc>
          <w:tcPr>
            <w:tcW w:type="dxa" w:w="3629"/>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Set up a scheduled lifecycle check and an owner for each model in use</w:t>
            </w:r>
          </w:p>
        </w:tc>
        <w:tc>
          <w:tcPr>
            <w:tcW w:type="dxa" w:w="423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Legacy to EOL is at least six months but access can lapse after 15 days of inactivity and prices can rise in extended access</w:t>
            </w:r>
          </w:p>
        </w:tc>
        <w:tc>
          <w:tcPr>
            <w:tcW w:type="dxa" w:w="221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Platform operations</w:t>
            </w:r>
          </w:p>
        </w:tc>
      </w:tr>
      <w:tr>
        <w:trPr>
          <w:cantSplit w:val="false"/>
        </w:trPr>
        <w:tc>
          <w:tcPr>
            <w:tcW w:type="dxa" w:w="362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Governance decision on Claude Fable 5 and any model requiring provider data sharing</w:t>
            </w:r>
          </w:p>
        </w:tc>
        <w:tc>
          <w:tcPr>
            <w:tcW w:type="dxa" w:w="423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Opt-in via the Data Retention API changes the data handling posture</w:t>
            </w:r>
          </w:p>
        </w:tc>
        <w:tc>
          <w:tcPr>
            <w:tcW w:type="dxa" w:w="221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Risk and compliance</w:t>
            </w:r>
          </w:p>
        </w:tc>
      </w:tr>
      <w:tr>
        <w:trPr>
          <w:cantSplit w:val="false"/>
        </w:trPr>
        <w:tc>
          <w:tcPr>
            <w:tcW w:type="dxa" w:w="3629"/>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Whether customization is in scope at all</w:t>
            </w:r>
          </w:p>
        </w:tc>
        <w:tc>
          <w:tcPr>
            <w:tcW w:type="dxa" w:w="423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Only a documented set of base models can be customized; customized models need Provisioned Throughput or on-demand custom deployment in us-east-1 or us-west-2</w:t>
            </w:r>
          </w:p>
        </w:tc>
        <w:tc>
          <w:tcPr>
            <w:tcW w:type="dxa" w:w="221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Architecture</w:t>
            </w:r>
          </w:p>
        </w:tc>
      </w:tr>
    </w:tbl>
    <w:p>
      <w:pPr>
        <w:pStyle w:val="Heading1"/>
      </w:pPr>
      <w:r>
        <w:rPr>
          <w:rFonts w:ascii="Calibri" w:cs="Calibri" w:eastAsia="Calibri" w:hAnsi="Calibri"/>
        </w:rPr>
        <w:t xml:space="preserve">7. Quick reference card</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1512"/>
        <w:gridCol w:w="1714"/>
        <w:gridCol w:w="2218"/>
        <w:gridCol w:w="2016"/>
        <w:gridCol w:w="2620"/>
      </w:tblGrid>
      <w:tr>
        <w:trPr>
          <w:tblHeader/>
        </w:trPr>
        <w:tc>
          <w:tcPr>
            <w:tcW w:type="dxa" w:w="1512"/>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Option</w:t>
            </w:r>
          </w:p>
        </w:tc>
        <w:tc>
          <w:tcPr>
            <w:tcW w:type="dxa" w:w="1714"/>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Selects with</w:t>
            </w:r>
          </w:p>
        </w:tc>
        <w:tc>
          <w:tcPr>
            <w:tcW w:type="dxa" w:w="2218"/>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Use when</w:t>
            </w:r>
          </w:p>
        </w:tc>
        <w:tc>
          <w:tcPr>
            <w:tcW w:type="dxa" w:w="2016"/>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Price effect</w:t>
            </w:r>
          </w:p>
        </w:tc>
        <w:tc>
          <w:tcPr>
            <w:tcW w:type="dxa" w:w="2620"/>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Main limitation</w:t>
            </w:r>
          </w:p>
        </w:tc>
      </w:tr>
      <w:tr>
        <w:trPr>
          <w:cantSplit w:val="false"/>
        </w:trPr>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In-Region on-demand</w:t>
            </w:r>
          </w:p>
        </w:tc>
        <w:tc>
          <w:tcPr>
            <w:tcW w:type="dxa" w:w="17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Base model ID</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Strict single-Region processing; Provisioned Throughput</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List</w:t>
            </w:r>
          </w:p>
        </w:tc>
        <w:tc>
          <w:tcPr>
            <w:tcW w:type="dxa" w:w="262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Few current models offer it; none in ca-central-1 for Claude 4.5 and later</w:t>
            </w:r>
          </w:p>
        </w:tc>
      </w:tr>
      <w:tr>
        <w:trPr>
          <w:cantSplit w:val="false"/>
        </w:trPr>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Geographic profile</w:t>
            </w:r>
          </w:p>
        </w:tc>
        <w:tc>
          <w:tcPr>
            <w:tcW w:type="dxa" w:w="17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 / eu. / apac. / jp. / au. prefix</w:t>
            </w:r>
          </w:p>
        </w:tc>
        <w:tc>
          <w:tcPr>
            <w:tcW w:type="dxa" w:w="2218"/>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Default for North American production traffic</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List at source Region; 10 percent above global for Claude 4.5 and later</w:t>
            </w:r>
          </w:p>
        </w:tc>
        <w:tc>
          <w:tcPr>
            <w:tcW w:type="dxa" w:w="262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SCP must allow destination Regions; PT not supported</w:t>
            </w:r>
          </w:p>
        </w:tc>
      </w:tr>
      <w:tr>
        <w:trPr>
          <w:cantSplit w:val="false"/>
        </w:trPr>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Global profile</w:t>
            </w:r>
          </w:p>
        </w:tc>
        <w:tc>
          <w:tcPr>
            <w:tcW w:type="dxa" w:w="17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global. prefix</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 residency constraint, need maximum capacity</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About 10 percent below geographic for some models</w:t>
            </w:r>
          </w:p>
        </w:tc>
        <w:tc>
          <w:tcPr>
            <w:tcW w:type="dxa" w:w="262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Processing anywhere; SCP must allow "unspecified" Region</w:t>
            </w:r>
          </w:p>
        </w:tc>
      </w:tr>
      <w:tr>
        <w:trPr>
          <w:cantSplit w:val="false"/>
        </w:trPr>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Application inference profile</w:t>
            </w:r>
          </w:p>
        </w:tc>
        <w:tc>
          <w:tcPr>
            <w:tcW w:type="dxa" w:w="17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Profile ARN</w:t>
            </w:r>
          </w:p>
        </w:tc>
        <w:tc>
          <w:tcPr>
            <w:tcW w:type="dxa" w:w="2218"/>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Cost and usage attribution</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None</w:t>
            </w:r>
          </w:p>
        </w:tc>
        <w:tc>
          <w:tcPr>
            <w:tcW w:type="dxa" w:w="262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Bookkeeping only</w:t>
            </w:r>
          </w:p>
        </w:tc>
      </w:tr>
      <w:tr>
        <w:trPr>
          <w:cantSplit w:val="false"/>
        </w:trPr>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Priority tier</w:t>
            </w:r>
          </w:p>
        </w:tc>
        <w:tc>
          <w:tcPr>
            <w:tcW w:type="dxa" w:w="17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service_tier = priority</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Latency-critical calls on supporting models</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Plus 75 percent</w:t>
            </w:r>
          </w:p>
        </w:tc>
        <w:tc>
          <w:tcPr>
            <w:tcW w:type="dxa" w:w="262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Not on current Claude</w:t>
            </w:r>
          </w:p>
        </w:tc>
      </w:tr>
      <w:tr>
        <w:trPr>
          <w:cantSplit w:val="false"/>
        </w:trPr>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Flex tier</w:t>
            </w:r>
          </w:p>
        </w:tc>
        <w:tc>
          <w:tcPr>
            <w:tcW w:type="dxa" w:w="17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service_tier = flex</w:t>
            </w:r>
          </w:p>
        </w:tc>
        <w:tc>
          <w:tcPr>
            <w:tcW w:type="dxa" w:w="2218"/>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Delay-tolerant synchronous calls</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Minus 50 percent</w:t>
            </w:r>
          </w:p>
        </w:tc>
        <w:tc>
          <w:tcPr>
            <w:tcW w:type="dxa" w:w="262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Not on current Claude; lower priority at peak</w:t>
            </w:r>
          </w:p>
        </w:tc>
      </w:tr>
      <w:tr>
        <w:trPr>
          <w:cantSplit w:val="false"/>
        </w:trPr>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Reserved tier</w:t>
            </w:r>
          </w:p>
        </w:tc>
        <w:tc>
          <w:tcPr>
            <w:tcW w:type="dxa" w:w="17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Account-level via AWS team</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Guaranteed TPM on a critical path</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Fixed monthly per 1K TPM; 1 or 3 months</w:t>
            </w:r>
          </w:p>
        </w:tc>
        <w:tc>
          <w:tcPr>
            <w:tcW w:type="dxa" w:w="262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Minimums 100K in / 10K out TPM; Haiku 4.5 yes, Claude 5 no</w:t>
            </w:r>
          </w:p>
        </w:tc>
      </w:tr>
      <w:tr>
        <w:trPr>
          <w:cantSplit w:val="false"/>
        </w:trPr>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inference</w:t>
            </w:r>
          </w:p>
        </w:tc>
        <w:tc>
          <w:tcPr>
            <w:tcW w:type="dxa" w:w="17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CreateModelInvocationJob</w:t>
            </w:r>
          </w:p>
        </w:tc>
        <w:tc>
          <w:tcPr>
            <w:tcW w:type="dxa" w:w="2218"/>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Backlogs and nightly runs</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Minus 50 percent</w:t>
            </w:r>
          </w:p>
        </w:tc>
        <w:tc>
          <w:tcPr>
            <w:tcW w:type="dxa" w:w="262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Per model and Region; about a day; single-turn only</w:t>
            </w:r>
          </w:p>
        </w:tc>
      </w:tr>
      <w:tr>
        <w:trPr>
          <w:cantSplit w:val="false"/>
        </w:trPr>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Prompt caching</w:t>
            </w:r>
          </w:p>
        </w:tc>
        <w:tc>
          <w:tcPr>
            <w:tcW w:type="dxa" w:w="17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Cache checkpoints in the request</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Large stable prefix</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Reads at 0.1 times input; writes 1.25 or 2 times</w:t>
            </w:r>
          </w:p>
        </w:tc>
        <w:tc>
          <w:tcPr>
            <w:tcW w:type="dxa" w:w="262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Model-specific minimums; Nova capped at 20K tokens</w:t>
            </w:r>
          </w:p>
        </w:tc>
      </w:tr>
      <w:tr>
        <w:trPr>
          <w:cantSplit w:val="false"/>
        </w:trPr>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Provisioned Throughput</w:t>
            </w:r>
          </w:p>
        </w:tc>
        <w:tc>
          <w:tcPr>
            <w:tcW w:type="dxa" w:w="17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PT ARN</w:t>
            </w:r>
          </w:p>
        </w:tc>
        <w:tc>
          <w:tcPr>
            <w:tcW w:type="dxa" w:w="2218"/>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Legacy or Nova 1 steady volume; custom models</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Hourly per Model Unit</w:t>
            </w:r>
          </w:p>
        </w:tc>
        <w:tc>
          <w:tcPr>
            <w:tcW w:type="dxa" w:w="262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 Claude 4.x or 5.x; no Legacy models</w:t>
            </w:r>
          </w:p>
        </w:tc>
      </w:tr>
      <w:tr>
        <w:trPr>
          <w:cantSplit w:val="false"/>
        </w:trPr>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Latency-optimized inference</w:t>
            </w:r>
          </w:p>
        </w:tc>
        <w:tc>
          <w:tcPr>
            <w:tcW w:type="dxa" w:w="17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performanceConfig latency = optimized</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Nova Pro, Claude 3.5 Haiku, Llama 3.1 only</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pricing page</w:t>
            </w:r>
          </w:p>
        </w:tc>
        <w:tc>
          <w:tcPr>
            <w:tcW w:type="dxa" w:w="262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Preview</w:t>
            </w:r>
          </w:p>
        </w:tc>
      </w:tr>
      <w:tr>
        <w:trPr>
          <w:cantSplit w:val="false"/>
        </w:trPr>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bedrock-mantle endpoint</w:t>
            </w:r>
          </w:p>
        </w:tc>
        <w:tc>
          <w:tcPr>
            <w:tcW w:type="dxa" w:w="17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Different base URL and API key</w:t>
            </w:r>
          </w:p>
        </w:tc>
        <w:tc>
          <w:tcPr>
            <w:tcW w:type="dxa" w:w="2218"/>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OpenAI or Anthropic SDK compatibility, Projects and Workspaces</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Same per-token price</w:t>
            </w:r>
          </w:p>
        </w:tc>
        <w:tc>
          <w:tcPr>
            <w:tcW w:type="dxa" w:w="262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 structured outputs; separate quotas; model coverage varies</w:t>
            </w:r>
          </w:p>
        </w:tc>
      </w:tr>
      <w:tr>
        <w:trPr>
          <w:cantSplit w:val="false"/>
        </w:trPr>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Marketplace or SageMaker endpoint</w:t>
            </w:r>
          </w:p>
        </w:tc>
        <w:tc>
          <w:tcPr>
            <w:tcW w:type="dxa" w:w="17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Endpoint ARN</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Models outside the serverless catalog (Cohere Command A family, DeepSeek OCR)</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Instance and software fees</w:t>
            </w:r>
          </w:p>
        </w:tc>
        <w:tc>
          <w:tcPr>
            <w:tcW w:type="dxa" w:w="262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 serverless Bedrock features</w:t>
            </w:r>
          </w:p>
        </w:tc>
      </w:tr>
    </w:tbl>
    <w:p>
      <w:pPr>
        <w:pStyle w:val="Heading1"/>
      </w:pPr>
      <w:r>
        <w:rPr>
          <w:rFonts w:ascii="Calibri" w:cs="Calibri" w:eastAsia="Calibri" w:hAnsi="Calibri"/>
        </w:rPr>
        <w:t xml:space="preserve">8. Glossary of identifiers</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2419"/>
        <w:gridCol w:w="4435"/>
        <w:gridCol w:w="3226"/>
      </w:tblGrid>
      <w:tr>
        <w:trPr>
          <w:tblHeader/>
        </w:trPr>
        <w:tc>
          <w:tcPr>
            <w:tcW w:type="dxa" w:w="2419"/>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Term</w:t>
            </w:r>
          </w:p>
        </w:tc>
        <w:tc>
          <w:tcPr>
            <w:tcW w:type="dxa" w:w="4435"/>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Meaning</w:t>
            </w:r>
          </w:p>
        </w:tc>
        <w:tc>
          <w:tcPr>
            <w:tcW w:type="dxa" w:w="3226"/>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Example</w:t>
            </w:r>
          </w:p>
        </w:tc>
      </w:tr>
      <w:tr>
        <w:trPr>
          <w:cantSplit w:val="false"/>
        </w:trPr>
        <w:tc>
          <w:tcPr>
            <w:tcW w:type="dxa" w:w="2419"/>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Base model ID</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Identifier of a serverless model in one Region</w:t>
            </w:r>
          </w:p>
        </w:tc>
        <w:tc>
          <w:tcPr>
            <w:tcW w:type="dxa" w:w="3226"/>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7"/>
                <w:szCs w:val="17"/>
              </w:rPr>
              <w:t xml:space="preserve">anthropic.claude-haiku-4-5-20251001-v1:0</w:t>
            </w:r>
          </w:p>
        </w:tc>
      </w:tr>
      <w:tr>
        <w:trPr>
          <w:cantSplit w:val="false"/>
        </w:trPr>
        <w:tc>
          <w:tcPr>
            <w:tcW w:type="dxa" w:w="241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System-defined cross-Region profile ID</w:t>
            </w:r>
          </w:p>
        </w:tc>
        <w:tc>
          <w:tcPr>
            <w:tcW w:type="dxa" w:w="443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Base model ID with a geography prefix; routes across Regions in that geography or worldwide</w:t>
            </w:r>
          </w:p>
        </w:tc>
        <w:tc>
          <w:tcPr>
            <w:tcW w:type="dxa" w:w="3226"/>
            <w:shd w:fill="F2F2F2" w:color="auto" w:val="clear"/>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7"/>
                <w:szCs w:val="17"/>
              </w:rPr>
              <w:t xml:space="preserve">us.anthropic.claude-sonnet-5</w:t>
            </w:r>
            <w:r>
              <w:rPr>
                <w:rFonts w:ascii="Calibri" w:cs="Calibri" w:eastAsia="Calibri" w:hAnsi="Calibri"/>
                <w:b w:val="false"/>
                <w:bCs w:val="false"/>
                <w:sz w:val="18"/>
                <w:szCs w:val="18"/>
              </w:rPr>
              <w:t xml:space="preserve"> or </w:t>
            </w:r>
            <w:r>
              <w:rPr>
                <w:rFonts w:ascii="Consolas" w:cs="Consolas" w:eastAsia="Consolas" w:hAnsi="Consolas"/>
                <w:b w:val="false"/>
                <w:bCs w:val="false"/>
                <w:i w:val="false"/>
                <w:iCs w:val="false"/>
                <w:sz w:val="17"/>
                <w:szCs w:val="17"/>
              </w:rPr>
              <w:t xml:space="preserve">global.amazon.nova-2-lite-v1:0</w:t>
            </w:r>
          </w:p>
        </w:tc>
      </w:tr>
      <w:tr>
        <w:trPr>
          <w:cantSplit w:val="false"/>
        </w:trPr>
        <w:tc>
          <w:tcPr>
            <w:tcW w:type="dxa" w:w="2419"/>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Application inference profile ARN</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User-created wrapper for cost tags and metrics</w:t>
            </w:r>
          </w:p>
        </w:tc>
        <w:tc>
          <w:tcPr>
            <w:tcW w:type="dxa" w:w="322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arn:aws:bedrock:&lt;region&gt;:&lt;account&gt;:application-inference-profile/&lt;id&gt;</w:t>
            </w:r>
          </w:p>
        </w:tc>
      </w:tr>
      <w:tr>
        <w:trPr>
          <w:cantSplit w:val="false"/>
        </w:trPr>
        <w:tc>
          <w:tcPr>
            <w:tcW w:type="dxa" w:w="241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bedrock-mantle model name</w:t>
            </w:r>
          </w:p>
        </w:tc>
        <w:tc>
          <w:tcPr>
            <w:tcW w:type="dxa" w:w="443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Provider-style short name used on the OpenAI and Anthropic compatible endpoint</w:t>
            </w:r>
          </w:p>
        </w:tc>
        <w:tc>
          <w:tcPr>
            <w:tcW w:type="dxa" w:w="3226"/>
            <w:shd w:fill="F2F2F2" w:color="auto" w:val="clear"/>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7"/>
                <w:szCs w:val="17"/>
              </w:rPr>
              <w:t xml:space="preserve">anthropic.claude-haiku-4-5</w:t>
            </w:r>
          </w:p>
        </w:tc>
      </w:tr>
      <w:tr>
        <w:trPr>
          <w:cantSplit w:val="false"/>
        </w:trPr>
        <w:tc>
          <w:tcPr>
            <w:tcW w:type="dxa" w:w="2419"/>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Provisioned Throughput model ID</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Contextual variant with a context-length suffix</w:t>
            </w:r>
          </w:p>
        </w:tc>
        <w:tc>
          <w:tcPr>
            <w:tcW w:type="dxa" w:w="3226"/>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7"/>
                <w:szCs w:val="17"/>
              </w:rPr>
              <w:t xml:space="preserve">anthropic.claude-3-5-sonnet-20241022-v2:0:200k</w:t>
            </w:r>
          </w:p>
        </w:tc>
      </w:tr>
      <w:tr>
        <w:trPr>
          <w:cantSplit w:val="false"/>
        </w:trPr>
        <w:tc>
          <w:tcPr>
            <w:tcW w:type="dxa" w:w="241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modelLifecycle</w:t>
            </w:r>
          </w:p>
        </w:tc>
        <w:tc>
          <w:tcPr>
            <w:tcW w:type="dxa" w:w="443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Field in GetFoundationModel and ListFoundationModels showing Active, Legacy or EOL</w:t>
            </w:r>
          </w:p>
        </w:tc>
        <w:tc>
          <w:tcPr>
            <w:tcW w:type="dxa" w:w="322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ACTIVE</w:t>
            </w:r>
          </w:p>
        </w:tc>
      </w:tr>
      <w:tr>
        <w:trPr>
          <w:cantSplit w:val="false"/>
        </w:trPr>
        <w:tc>
          <w:tcPr>
            <w:tcW w:type="dxa" w:w="2419"/>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Burndown rate</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Multiplier applied to output tokens for quota accounting only</w:t>
            </w:r>
          </w:p>
        </w:tc>
        <w:tc>
          <w:tcPr>
            <w:tcW w:type="dxa" w:w="322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10x for Claude Sonnet 5</w:t>
            </w:r>
          </w:p>
        </w:tc>
      </w:tr>
      <w:tr>
        <w:trPr>
          <w:cantSplit w:val="false"/>
        </w:trPr>
        <w:tc>
          <w:tcPr>
            <w:tcW w:type="dxa" w:w="241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Public extended access</w:t>
            </w:r>
          </w:p>
        </w:tc>
        <w:tc>
          <w:tcPr>
            <w:tcW w:type="dxa" w:w="443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Second phase of Legacy (EOL after Feb 1, 2026) in which the provider may raise the price</w:t>
            </w:r>
          </w:p>
        </w:tc>
        <w:tc>
          <w:tcPr>
            <w:tcW w:type="dxa" w:w="322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Sonnet 4 since Jul 14, 2026</w:t>
            </w:r>
          </w:p>
        </w:tc>
      </w:tr>
    </w:tbl>
    <w:p>
      <w:pPr>
        <w:pStyle w:val="Heading1"/>
      </w:pPr>
      <w:r>
        <w:rPr>
          <w:rFonts w:ascii="Calibri" w:cs="Calibri" w:eastAsia="Calibri" w:hAnsi="Calibri"/>
        </w:rPr>
        <w:t xml:space="preserve">9. Keeping this current</w:t>
      </w:r>
    </w:p>
    <w:p>
      <w:pPr>
        <w:keepNext w:val="false"/>
        <w:spacing w:after="120" w:line="276"/>
        <w:jc w:val="left"/>
      </w:pPr>
      <w:r>
        <w:rPr>
          <w:rFonts w:ascii="Calibri" w:cs="Calibri" w:eastAsia="Calibri" w:hAnsi="Calibri"/>
          <w:sz w:val="21"/>
          <w:szCs w:val="21"/>
        </w:rPr>
        <w:t xml:space="preserve">The facts in these three documents will drift. The cheapest way to keep them honest is to re-check four AWS pages on a fixed cadence and after every model announcement: the model lifecycle page (Legacy and EOL table), the Regional availability page, the batch inference support page, and the model card of every model in use (tiers, caching limits, IDs). A scheduled call to ListFoundationModels that alarms on any modelLifecycle other than ACTIVE covers the most damaging change automatically. Prices should be taken from the AWS pricing page at the time of any estimate; the figures in Document 2 are list prices on the snapshot date and include a launch price for Sonnet 5 that Anthropic has since declared permanent.</w:t>
      </w:r>
    </w:p>
    <w:p>
      <w:pPr>
        <w:pStyle w:val="Heading1"/>
      </w:pPr>
      <w:r>
        <w:rPr>
          <w:rFonts w:ascii="Calibri" w:cs="Calibri" w:eastAsia="Calibri" w:hAnsi="Calibri"/>
        </w:rPr>
        <w:t xml:space="preserve">10. Sources</w:t>
      </w:r>
    </w:p>
    <w:p>
      <w:pPr>
        <w:keepNext w:val="false"/>
        <w:spacing w:after="120" w:line="276"/>
        <w:jc w:val="left"/>
      </w:pPr>
      <w:r>
        <w:rPr>
          <w:rFonts w:ascii="Calibri" w:cs="Calibri" w:eastAsia="Calibri" w:hAnsi="Calibri"/>
          <w:sz w:val="21"/>
          <w:szCs w:val="21"/>
        </w:rPr>
        <w:t xml:space="preserve">The full source lists with URLs and check dates are in Section 8 of Document 1 and Section 9 of Document 2. The pages most likely to be needed again are listed here.</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3024"/>
        <w:gridCol w:w="5040"/>
        <w:gridCol w:w="2016"/>
      </w:tblGrid>
      <w:tr>
        <w:trPr>
          <w:tblHeader/>
        </w:trPr>
        <w:tc>
          <w:tcPr>
            <w:tcW w:type="dxa" w:w="3024"/>
            <w:shd w:fill="D9E2F3" w:color="auto" w:val="clear"/>
            <w:tcMar>
              <w:top w:type="dxa" w:w="40"/>
              <w:left w:type="dxa" w:w="80"/>
              <w:bottom w:type="dxa" w:w="40"/>
              <w:right w:type="dxa" w:w="80"/>
            </w:tcMar>
          </w:tcPr>
          <w:p>
            <w:r>
              <w:rPr>
                <w:rFonts w:ascii="Calibri" w:cs="Calibri" w:eastAsia="Calibri" w:hAnsi="Calibri"/>
                <w:b/>
                <w:bCs/>
                <w:sz w:val="16"/>
                <w:szCs w:val="16"/>
              </w:rPr>
              <w:t xml:space="preserve">Source</w:t>
            </w:r>
          </w:p>
        </w:tc>
        <w:tc>
          <w:tcPr>
            <w:tcW w:type="dxa" w:w="5040"/>
            <w:shd w:fill="D9E2F3" w:color="auto" w:val="clear"/>
            <w:tcMar>
              <w:top w:type="dxa" w:w="40"/>
              <w:left w:type="dxa" w:w="80"/>
              <w:bottom w:type="dxa" w:w="40"/>
              <w:right w:type="dxa" w:w="80"/>
            </w:tcMar>
          </w:tcPr>
          <w:p>
            <w:r>
              <w:rPr>
                <w:rFonts w:ascii="Calibri" w:cs="Calibri" w:eastAsia="Calibri" w:hAnsi="Calibri"/>
                <w:b/>
                <w:bCs/>
                <w:sz w:val="16"/>
                <w:szCs w:val="16"/>
              </w:rPr>
              <w:t xml:space="preserve">URL</w:t>
            </w:r>
          </w:p>
        </w:tc>
        <w:tc>
          <w:tcPr>
            <w:tcW w:type="dxa" w:w="2016"/>
            <w:shd w:fill="D9E2F3" w:color="auto" w:val="clear"/>
            <w:tcMar>
              <w:top w:type="dxa" w:w="40"/>
              <w:left w:type="dxa" w:w="80"/>
              <w:bottom w:type="dxa" w:w="40"/>
              <w:right w:type="dxa" w:w="80"/>
            </w:tcMar>
          </w:tcPr>
          <w:p>
            <w:r>
              <w:rPr>
                <w:rFonts w:ascii="Calibri" w:cs="Calibri" w:eastAsia="Calibri" w:hAnsi="Calibri"/>
                <w:b/>
                <w:bCs/>
                <w:sz w:val="16"/>
                <w:szCs w:val="16"/>
              </w:rPr>
              <w:t xml:space="preserve">Type / note</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 lifecycle</w:t>
            </w:r>
          </w:p>
        </w:tc>
        <w:tc>
          <w:tcPr>
            <w:tcW w:type="dxa" w:w="5040"/>
            <w:tcMar>
              <w:top w:type="dxa" w:w="40"/>
              <w:left w:type="dxa" w:w="80"/>
              <w:bottom w:type="dxa" w:w="40"/>
              <w:right w:type="dxa" w:w="80"/>
            </w:tcMar>
          </w:tcPr>
          <w:p>
            <w:hyperlink w:history="1" r:id="rIdvjejvgtrr4e53bgjvtdmy">
              <w:r>
                <w:rPr>
                  <w:rFonts w:ascii="Calibri" w:cs="Calibri" w:eastAsia="Calibri" w:hAnsi="Calibri"/>
                  <w:color w:val="0563C1"/>
                  <w:sz w:val="15"/>
                  <w:szCs w:val="15"/>
                  <w:u w:val="single"/>
                </w:rPr>
                <w:t xml:space="preserve">https://docs.aws.amazon.com/bedrock/latest/userguide/model-lifecycle.html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Legacy and EOL table</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Regional availability by models</w:t>
            </w:r>
          </w:p>
        </w:tc>
        <w:tc>
          <w:tcPr>
            <w:tcW w:type="dxa" w:w="5040"/>
            <w:tcMar>
              <w:top w:type="dxa" w:w="40"/>
              <w:left w:type="dxa" w:w="80"/>
              <w:bottom w:type="dxa" w:w="40"/>
              <w:right w:type="dxa" w:w="80"/>
            </w:tcMar>
          </w:tcPr>
          <w:p>
            <w:hyperlink w:history="1" r:id="rIdiamnnleitccqsht44j2mn">
              <w:r>
                <w:rPr>
                  <w:rFonts w:ascii="Calibri" w:cs="Calibri" w:eastAsia="Calibri" w:hAnsi="Calibri"/>
                  <w:color w:val="0563C1"/>
                  <w:sz w:val="15"/>
                  <w:szCs w:val="15"/>
                  <w:u w:val="single"/>
                </w:rPr>
                <w:t xml:space="preserve">https://docs.aws.amazon.com/bedrock/latest/userguide/models-region-compatibility.html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In-Region, geo and global per model</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Models at a glance</w:t>
            </w:r>
          </w:p>
        </w:tc>
        <w:tc>
          <w:tcPr>
            <w:tcW w:type="dxa" w:w="5040"/>
            <w:tcMar>
              <w:top w:type="dxa" w:w="40"/>
              <w:left w:type="dxa" w:w="80"/>
              <w:bottom w:type="dxa" w:w="40"/>
              <w:right w:type="dxa" w:w="80"/>
            </w:tcMar>
          </w:tcPr>
          <w:p>
            <w:hyperlink w:history="1" r:id="rIdumubizfkbc24yfjhwdinn">
              <w:r>
                <w:rPr>
                  <w:rFonts w:ascii="Calibri" w:cs="Calibri" w:eastAsia="Calibri" w:hAnsi="Calibri"/>
                  <w:color w:val="0563C1"/>
                  <w:sz w:val="15"/>
                  <w:szCs w:val="15"/>
                  <w:u w:val="single"/>
                </w:rPr>
                <w:t xml:space="preserve">https://docs.aws.amazon.com/bedrock/latest/userguide/model-cards.html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Entry to every model card</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cross-Region inference</w:t>
            </w:r>
          </w:p>
        </w:tc>
        <w:tc>
          <w:tcPr>
            <w:tcW w:type="dxa" w:w="5040"/>
            <w:tcMar>
              <w:top w:type="dxa" w:w="40"/>
              <w:left w:type="dxa" w:w="80"/>
              <w:bottom w:type="dxa" w:w="40"/>
              <w:right w:type="dxa" w:w="80"/>
            </w:tcMar>
          </w:tcPr>
          <w:p>
            <w:hyperlink w:history="1" r:id="rIda3air56-ai6sglq8z9z_l">
              <w:r>
                <w:rPr>
                  <w:rFonts w:ascii="Calibri" w:cs="Calibri" w:eastAsia="Calibri" w:hAnsi="Calibri"/>
                  <w:color w:val="0563C1"/>
                  <w:sz w:val="15"/>
                  <w:szCs w:val="15"/>
                  <w:u w:val="single"/>
                </w:rPr>
                <w:t xml:space="preserve">https://docs.aws.amazon.com/bedrock/latest/userguide/cross-region-inference.html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Geographic vs global, SCP requirements</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service tiers</w:t>
            </w:r>
          </w:p>
        </w:tc>
        <w:tc>
          <w:tcPr>
            <w:tcW w:type="dxa" w:w="5040"/>
            <w:tcMar>
              <w:top w:type="dxa" w:w="40"/>
              <w:left w:type="dxa" w:w="80"/>
              <w:bottom w:type="dxa" w:w="40"/>
              <w:right w:type="dxa" w:w="80"/>
            </w:tcMar>
          </w:tcPr>
          <w:p>
            <w:hyperlink w:history="1" r:id="rIdockkermnmmyt1wvcspvq6">
              <w:r>
                <w:rPr>
                  <w:rFonts w:ascii="Calibri" w:cs="Calibri" w:eastAsia="Calibri" w:hAnsi="Calibri"/>
                  <w:color w:val="0563C1"/>
                  <w:sz w:val="15"/>
                  <w:szCs w:val="15"/>
                  <w:u w:val="single"/>
                </w:rPr>
                <w:t xml:space="preserve">https://docs.aws.amazon.com/bedrock/latest/userguide/service-tiers-inference.html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Reserved, Priority, Standard, Flex</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batch inference support</w:t>
            </w:r>
          </w:p>
        </w:tc>
        <w:tc>
          <w:tcPr>
            <w:tcW w:type="dxa" w:w="5040"/>
            <w:tcMar>
              <w:top w:type="dxa" w:w="40"/>
              <w:left w:type="dxa" w:w="80"/>
              <w:bottom w:type="dxa" w:w="40"/>
              <w:right w:type="dxa" w:w="80"/>
            </w:tcMar>
          </w:tcPr>
          <w:p>
            <w:hyperlink w:history="1" r:id="rIdkfws-nswyk1pe9bfusu0r">
              <w:r>
                <w:rPr>
                  <w:rFonts w:ascii="Calibri" w:cs="Calibri" w:eastAsia="Calibri" w:hAnsi="Calibri"/>
                  <w:color w:val="0563C1"/>
                  <w:sz w:val="15"/>
                  <w:szCs w:val="15"/>
                  <w:u w:val="single"/>
                </w:rPr>
                <w:t xml:space="preserve">https://docs.aws.amazon.com/bedrock/latest/userguide/batch-inference-supported.html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Per model and Region</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Provisioned Throughput support</w:t>
            </w:r>
          </w:p>
        </w:tc>
        <w:tc>
          <w:tcPr>
            <w:tcW w:type="dxa" w:w="5040"/>
            <w:tcMar>
              <w:top w:type="dxa" w:w="40"/>
              <w:left w:type="dxa" w:w="80"/>
              <w:bottom w:type="dxa" w:w="40"/>
              <w:right w:type="dxa" w:w="80"/>
            </w:tcMar>
          </w:tcPr>
          <w:p>
            <w:hyperlink w:history="1" r:id="rIdfdwe7hwhuypwb4d3ymxw9">
              <w:r>
                <w:rPr>
                  <w:rFonts w:ascii="Calibri" w:cs="Calibri" w:eastAsia="Calibri" w:hAnsi="Calibri"/>
                  <w:color w:val="0563C1"/>
                  <w:sz w:val="15"/>
                  <w:szCs w:val="15"/>
                  <w:u w:val="single"/>
                </w:rPr>
                <w:t xml:space="preserve">https://docs.aws.amazon.com/bedrock/latest/userguide/prov-thru-supported.html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Per model and Region</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how tokens are counted</w:t>
            </w:r>
          </w:p>
        </w:tc>
        <w:tc>
          <w:tcPr>
            <w:tcW w:type="dxa" w:w="5040"/>
            <w:tcMar>
              <w:top w:type="dxa" w:w="40"/>
              <w:left w:type="dxa" w:w="80"/>
              <w:bottom w:type="dxa" w:w="40"/>
              <w:right w:type="dxa" w:w="80"/>
            </w:tcMar>
          </w:tcPr>
          <w:p>
            <w:hyperlink w:history="1" r:id="rIdow0nlja9ri89j-50-ookf">
              <w:r>
                <w:rPr>
                  <w:rFonts w:ascii="Calibri" w:cs="Calibri" w:eastAsia="Calibri" w:hAnsi="Calibri"/>
                  <w:color w:val="0563C1"/>
                  <w:sz w:val="15"/>
                  <w:szCs w:val="15"/>
                  <w:u w:val="single"/>
                </w:rPr>
                <w:t xml:space="preserve">https://docs.aws.amazon.com/bedrock/latest/userguide/quotas-token-burndown.html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Burndown rates</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endpoints supported</w:t>
            </w:r>
          </w:p>
        </w:tc>
        <w:tc>
          <w:tcPr>
            <w:tcW w:type="dxa" w:w="5040"/>
            <w:tcMar>
              <w:top w:type="dxa" w:w="40"/>
              <w:left w:type="dxa" w:w="80"/>
              <w:bottom w:type="dxa" w:w="40"/>
              <w:right w:type="dxa" w:w="80"/>
            </w:tcMar>
          </w:tcPr>
          <w:p>
            <w:hyperlink w:history="1" r:id="rIdmxp6align-c7ls2_evsal">
              <w:r>
                <w:rPr>
                  <w:rFonts w:ascii="Calibri" w:cs="Calibri" w:eastAsia="Calibri" w:hAnsi="Calibri"/>
                  <w:color w:val="0563C1"/>
                  <w:sz w:val="15"/>
                  <w:szCs w:val="15"/>
                  <w:u w:val="single"/>
                </w:rPr>
                <w:t xml:space="preserve">https://docs.aws.amazon.com/bedrock/latest/userguide/endpoints.html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bedrock-runtime vs bedrock-mantle</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Amazon Bedrock pricing</w:t>
            </w:r>
          </w:p>
        </w:tc>
        <w:tc>
          <w:tcPr>
            <w:tcW w:type="dxa" w:w="5040"/>
            <w:tcMar>
              <w:top w:type="dxa" w:w="40"/>
              <w:left w:type="dxa" w:w="80"/>
              <w:bottom w:type="dxa" w:w="40"/>
              <w:right w:type="dxa" w:w="80"/>
            </w:tcMar>
          </w:tcPr>
          <w:p>
            <w:hyperlink w:history="1" r:id="rId1wgndcyjazlgwouaubur1">
              <w:r>
                <w:rPr>
                  <w:rFonts w:ascii="Calibri" w:cs="Calibri" w:eastAsia="Calibri" w:hAnsi="Calibri"/>
                  <w:color w:val="0563C1"/>
                  <w:sz w:val="15"/>
                  <w:szCs w:val="15"/>
                  <w:u w:val="single"/>
                </w:rPr>
                <w:t xml:space="preserve">https://aws.amazon.com/bedrock/pricing/</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Billing authority</w:t>
            </w:r>
          </w:p>
        </w:tc>
      </w:tr>
      <w:tr>
        <w:tc>
          <w:tcPr>
            <w:tcW w:type="dxa" w:w="3024"/>
            <w:tcMar>
              <w:top w:type="dxa" w:w="40"/>
              <w:left w:type="dxa" w:w="80"/>
              <w:bottom w:type="dxa" w:w="40"/>
              <w:right w:type="dxa" w:w="80"/>
            </w:tcMar>
          </w:tcPr>
          <w:p>
            <w:r>
              <w:rPr>
                <w:rFonts w:ascii="Calibri" w:cs="Calibri" w:eastAsia="Calibri" w:hAnsi="Calibri"/>
                <w:sz w:val="16"/>
                <w:szCs w:val="16"/>
              </w:rPr>
              <w:t xml:space="preserve">Anthropic: pricing</w:t>
            </w:r>
          </w:p>
        </w:tc>
        <w:tc>
          <w:tcPr>
            <w:tcW w:type="dxa" w:w="5040"/>
            <w:tcMar>
              <w:top w:type="dxa" w:w="40"/>
              <w:left w:type="dxa" w:w="80"/>
              <w:bottom w:type="dxa" w:w="40"/>
              <w:right w:type="dxa" w:w="80"/>
            </w:tcMar>
          </w:tcPr>
          <w:p>
            <w:hyperlink w:history="1" r:id="rId26_pxe2zryydv9egk256d">
              <w:r>
                <w:rPr>
                  <w:rFonts w:ascii="Calibri" w:cs="Calibri" w:eastAsia="Calibri" w:hAnsi="Calibri"/>
                  <w:color w:val="0563C1"/>
                  <w:sz w:val="15"/>
                  <w:szCs w:val="15"/>
                  <w:u w:val="single"/>
                </w:rPr>
                <w:t xml:space="preserve">https://platform.claude.com/docs/en/about-claude/pricing</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List prices, cache multipliers, regional premium</w:t>
            </w:r>
          </w:p>
        </w:tc>
      </w:tr>
      <w:tr>
        <w:tc>
          <w:tcPr>
            <w:tcW w:type="dxa" w:w="3024"/>
            <w:tcMar>
              <w:top w:type="dxa" w:w="40"/>
              <w:left w:type="dxa" w:w="80"/>
              <w:bottom w:type="dxa" w:w="40"/>
              <w:right w:type="dxa" w:w="80"/>
            </w:tcMar>
          </w:tcPr>
          <w:p>
            <w:r>
              <w:rPr>
                <w:rFonts w:ascii="Calibri" w:cs="Calibri" w:eastAsia="Calibri" w:hAnsi="Calibri"/>
                <w:sz w:val="16"/>
                <w:szCs w:val="16"/>
              </w:rPr>
              <w:t xml:space="preserve">Cohere docs: model overview</w:t>
            </w:r>
          </w:p>
        </w:tc>
        <w:tc>
          <w:tcPr>
            <w:tcW w:type="dxa" w:w="5040"/>
            <w:tcMar>
              <w:top w:type="dxa" w:w="40"/>
              <w:left w:type="dxa" w:w="80"/>
              <w:bottom w:type="dxa" w:w="40"/>
              <w:right w:type="dxa" w:w="80"/>
            </w:tcMar>
          </w:tcPr>
          <w:p>
            <w:hyperlink w:history="1" r:id="rIdvgv28hmyeuqazv2ap2ska">
              <w:r>
                <w:rPr>
                  <w:rFonts w:ascii="Calibri" w:cs="Calibri" w:eastAsia="Calibri" w:hAnsi="Calibri"/>
                  <w:color w:val="0563C1"/>
                  <w:sz w:val="15"/>
                  <w:szCs w:val="15"/>
                  <w:u w:val="single"/>
                </w:rPr>
                <w:t xml:space="preserve">https://docs.cohere.com/docs/models</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Command A Vision status and platform table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Amazon Bedrock findings summary for requirements and planning (snapshot August 17,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jejvgtrr4e53bgjvtdmy" Type="http://schemas.openxmlformats.org/officeDocument/2006/relationships/hyperlink" Target="https://docs.aws.amazon.com/bedrock/latest/userguide/model-lifecycle.html" TargetMode="External"/><Relationship Id="rIdiamnnleitccqsht44j2mn" Type="http://schemas.openxmlformats.org/officeDocument/2006/relationships/hyperlink" Target="https://docs.aws.amazon.com/bedrock/latest/userguide/models-region-compatibility.html" TargetMode="External"/><Relationship Id="rIdumubizfkbc24yfjhwdinn" Type="http://schemas.openxmlformats.org/officeDocument/2006/relationships/hyperlink" Target="https://docs.aws.amazon.com/bedrock/latest/userguide/model-cards.html" TargetMode="External"/><Relationship Id="rIda3air56-ai6sglq8z9z_l" Type="http://schemas.openxmlformats.org/officeDocument/2006/relationships/hyperlink" Target="https://docs.aws.amazon.com/bedrock/latest/userguide/cross-region-inference.html" TargetMode="External"/><Relationship Id="rIdockkermnmmyt1wvcspvq6" Type="http://schemas.openxmlformats.org/officeDocument/2006/relationships/hyperlink" Target="https://docs.aws.amazon.com/bedrock/latest/userguide/service-tiers-inference.html" TargetMode="External"/><Relationship Id="rIdkfws-nswyk1pe9bfusu0r" Type="http://schemas.openxmlformats.org/officeDocument/2006/relationships/hyperlink" Target="https://docs.aws.amazon.com/bedrock/latest/userguide/batch-inference-supported.html" TargetMode="External"/><Relationship Id="rIdfdwe7hwhuypwb4d3ymxw9" Type="http://schemas.openxmlformats.org/officeDocument/2006/relationships/hyperlink" Target="https://docs.aws.amazon.com/bedrock/latest/userguide/prov-thru-supported.html" TargetMode="External"/><Relationship Id="rIdow0nlja9ri89j-50-ookf" Type="http://schemas.openxmlformats.org/officeDocument/2006/relationships/hyperlink" Target="https://docs.aws.amazon.com/bedrock/latest/userguide/quotas-token-burndown.html" TargetMode="External"/><Relationship Id="rIdmxp6align-c7ls2_evsal" Type="http://schemas.openxmlformats.org/officeDocument/2006/relationships/hyperlink" Target="https://docs.aws.amazon.com/bedrock/latest/userguide/endpoints.html" TargetMode="External"/><Relationship Id="rId1wgndcyjazlgwouaubur1" Type="http://schemas.openxmlformats.org/officeDocument/2006/relationships/hyperlink" Target="https://aws.amazon.com/bedrock/pricing/" TargetMode="External"/><Relationship Id="rId26_pxe2zryydv9egk256d" Type="http://schemas.openxmlformats.org/officeDocument/2006/relationships/hyperlink" Target="https://platform.claude.com/docs/en/about-claude/pricing" TargetMode="External"/><Relationship Id="rIdvgv28hmyeuqazv2ap2ska" Type="http://schemas.openxmlformats.org/officeDocument/2006/relationships/hyperlink" Target="https://docs.cohere.com/docs/model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Bedrock findings summary for requirements and planning (snapshot August 17, 2026)</dc:title>
  <dc:creator>AI Architecture</dc:creator>
  <cp:lastModifiedBy>Un-named</cp:lastModifiedBy>
  <cp:revision>1</cp:revision>
  <dcterms:created xsi:type="dcterms:W3CDTF">2026-08-17T17:09:05.237Z</dcterms:created>
  <dcterms:modified xsi:type="dcterms:W3CDTF">2026-08-17T17:09:05.237Z</dcterms:modified>
</cp:coreProperties>
</file>

<file path=docProps/custom.xml><?xml version="1.0" encoding="utf-8"?>
<Properties xmlns="http://schemas.openxmlformats.org/officeDocument/2006/custom-properties" xmlns:vt="http://schemas.openxmlformats.org/officeDocument/2006/docPropsVTypes"/>
</file>