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Addendum A. Model Availability from Canadian Source Regions</w:t>
      </w:r>
    </w:p>
    <w:p>
      <w:pPr>
        <w:pBdr>
          <w:bottom w:val="single" w:color="1F3864" w:sz="8" w:space="4"/>
        </w:pBdr>
        <w:spacing w:after="240"/>
      </w:pPr>
      <w:r>
        <w:rPr>
          <w:rFonts w:ascii="Calibri" w:cs="Calibri" w:eastAsia="Calibri" w:hAnsi="Calibri"/>
          <w:color w:val="595959"/>
          <w:sz w:val="22"/>
          <w:szCs w:val="22"/>
        </w:rPr>
        <w:t xml:space="preserve">Complete catalog view for ca-central-1 and ca-west-1, supplementing the Requirements and Budget documents of 26 August 2026. Version 1.0, 15 September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Outline the requirements and resource budgets needed to deploy models on AWS Bedrock. This addendum extends the Resource and Cost Budget with Constraints document with a complete catalog view of Bedrock model availability from Canadian source regions.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Parent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Bedrock Model Deployment: Requirements, version 1.0, and Resource and Cost Budget with Constraints, version 1.0, both dated 26 August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Reason for the addendum</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Review question: do the parent documents cover all models available on Bedrock? They deliberately covered the vision candidates plus the Cohere catalog. This addendum lists every model on the AWS regional availability page and classifies it by availability from ca-central-1 and ca-west-1, so the catalog question is answerable from the document set. Section 8 records where the fresh verification changes statements in the parent documents.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 draft for team review</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 September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Fact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row was parsed from AWS documentation retrieved on 15 September 2026: the regional availability page (138 model entries), the individual model card pages (127 published cards), the batch inference support page, the model lifecycle pages and the abuse detection page. Section 9 lists the sources. Prices are out of scope here and remain in the parent budget document.</w:t>
            </w:r>
          </w:p>
        </w:tc>
      </w:tr>
    </w:tbl>
    <w:p>
      <w:pPr>
        <w:spacing w:after="120"/>
      </w:pPr>
    </w:p>
    <w:p>
      <w:pPr>
        <w:pStyle w:val="Heading1"/>
        <w:keepNext/>
        <w:spacing w:after="120" w:before="280"/>
      </w:pPr>
      <w:r>
        <w:rPr>
          <w:rFonts w:ascii="Calibri" w:cs="Calibri" w:eastAsia="Calibri" w:hAnsi="Calibri"/>
        </w:rPr>
        <w:t xml:space="preserve">1. Catalog position from Canadian source regions</w:t>
      </w:r>
    </w:p>
    <w:p>
      <w:pPr>
        <w:spacing w:after="120" w:before="0" w:line="264"/>
        <w:jc w:val="left"/>
      </w:pPr>
      <w:r>
        <w:rPr>
          <w:rFonts w:ascii="Calibri" w:cs="Calibri" w:eastAsia="Calibri" w:hAnsi="Calibri"/>
          <w:sz w:val="20"/>
          <w:szCs w:val="20"/>
        </w:rPr>
        <w:t xml:space="preserve">On 15 September 2026 the AWS regional availability page lists 138 model entries across 19 providers. Of these, 34 can be invoked with a Canada (Central) source region: 13 in-region (the request is processed inside ca-central-1) and 21 through a cross-region inference profile only (the request enters at ca-central-1 and is processed in the profile destination regions). A further 104 entries have no Canadian source option and require a United States or other source region. The newer Canadian region ca-west-1 (Calgary) appears as a Bedrock source region for 18 models, all cross-region.</w:t>
      </w:r>
    </w:p>
    <w:p>
      <w:pPr>
        <w:spacing w:after="120" w:before="0" w:line="264"/>
        <w:jc w:val="left"/>
      </w:pPr>
      <w:r>
        <w:rPr>
          <w:rFonts w:ascii="Calibri" w:cs="Calibri" w:eastAsia="Calibri" w:hAnsi="Calibri"/>
          <w:sz w:val="20"/>
          <w:szCs w:val="20"/>
        </w:rPr>
        <w:t xml:space="preserve">The shape of the Canadian catalog matters more than the counts. Every current generation text and vision model reaches Canada through cross-region profiles only. The in-region set consists of embedding and rerank models plus older generation text and vision models, and most of the in-region set has passed its EOL no sooner than date, which means AWS can begin a retirement notice period for them at any time. A team that needs strict in-country processing therefore chooses between older models with an uncertain horizon and a cross-region profile whose destination list includes United States regions.</w:t>
      </w:r>
    </w:p>
    <w:p>
      <w:pPr>
        <w:keepNext/>
        <w:spacing w:after="60" w:before="80"/>
      </w:pPr>
      <w:r>
        <w:rPr>
          <w:rFonts w:ascii="Calibri" w:cs="Calibri" w:eastAsia="Calibri" w:hAnsi="Calibri"/>
          <w:b/>
          <w:bCs/>
          <w:sz w:val="18"/>
          <w:szCs w:val="18"/>
        </w:rPr>
        <w:t xml:space="preserve">Table 1.1. Model entries by provider and availability from Canadian source regions,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450"/>
        <w:gridCol w:w="1650"/>
        <w:gridCol w:w="1500"/>
        <w:gridCol w:w="141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Entries on the regional availability page</w:t>
            </w:r>
          </w:p>
        </w:tc>
        <w:tc>
          <w:tcPr>
            <w:tcW w:type="dxa" w:w="14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In-region in ca-central-1</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Cross-region only from ca-central-1</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 Canadian source region</w:t>
            </w:r>
          </w:p>
        </w:tc>
        <w:tc>
          <w:tcPr>
            <w:tcW w:type="dxa" w:w="14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Callable from ca-west-1 (Calgary)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AI21 Labs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17</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Luma</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Moonshot 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TwelveLabs</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Writer</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xAI</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Total</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138</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104</w:t>
            </w:r>
          </w:p>
        </w:tc>
        <w:tc>
          <w:tcPr>
            <w:tcW w:type="dxa" w:w="14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18</w:t>
            </w:r>
          </w:p>
        </w:tc>
      </w:tr>
    </w:tbl>
    <w:p>
      <w:pPr>
        <w:spacing w:after="120"/>
      </w:pPr>
    </w:p>
    <w:p>
      <w:pPr>
        <w:pStyle w:val="Heading1"/>
        <w:keepNext/>
        <w:spacing w:after="120" w:before="280"/>
      </w:pPr>
      <w:r>
        <w:rPr>
          <w:rFonts w:ascii="Calibri" w:cs="Calibri" w:eastAsia="Calibri" w:hAnsi="Calibri"/>
        </w:rPr>
        <w:t xml:space="preserve">2. How to read the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Term</w:t>
            </w:r>
          </w:p>
        </w:tc>
        <w:tc>
          <w:tcPr>
            <w:tcW w:type="dxa" w:w="69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runs inside the source region. Requests, processing and any retained data stay in ca-central-1. Invoked with the plain model ID.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cross-region profile</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request enters at the source region and is processed in one of the destination regions of the geographic profile (us. prefix for the North American profile). For every model whose card publishes the table, the destination list for a ca-central-1 source is ca-central-1 plus us-east-1, us-east-2 and us-west-2 (Section 6).</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cross-region profile</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Destination can be any commercial region worldwide (global. prefix). Lowest price for some models in the parent budget document, no residency control.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from ca-central-1</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Whether the batch inference support page lists ca-central-1 for the model, either as a single-region batch or through a cross-region profile.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tiers the model card marks as offered (Standard, Priority, Flex, Reserved). Tier definitions and prices are in the parent budget document, Sections 3 and 6.</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card state (Active or Legacy) and its EOL no sooner than date. A passed date does not retire the model; it means the protection window has expired and a Legacy notice can start at any time. Models launched on or after 7 September 2026 follow the new lifecycle policy with a stated Legacy period of 6 months or 45 days.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c>
          <w:tcPr>
            <w:tcW w:type="dxa" w:w="6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appears on the regional availability page but AWS no longer publishes an individual card for it. Details such as modality and lifecycle state are not stated on the current documentation pages for these entries.</w:t>
            </w:r>
          </w:p>
        </w:tc>
      </w:tr>
    </w:tbl>
    <w:p>
      <w:pPr>
        <w:spacing w:after="120"/>
      </w:pPr>
    </w:p>
    <w:p>
      <w:pPr>
        <w:pStyle w:val="Heading1"/>
        <w:keepNext/>
        <w:spacing w:after="120" w:before="280"/>
      </w:pPr>
      <w:r>
        <w:rPr>
          <w:rFonts w:ascii="Calibri" w:cs="Calibri" w:eastAsia="Calibri" w:hAnsi="Calibri"/>
        </w:rPr>
        <w:t xml:space="preserve">3. Models callable from ca-central-1 through cross-region profiles</w:t>
      </w:r>
    </w:p>
    <w:p>
      <w:pPr>
        <w:spacing w:after="120" w:before="0" w:line="264"/>
        <w:jc w:val="left"/>
      </w:pPr>
      <w:r>
        <w:rPr>
          <w:rFonts w:ascii="Calibri" w:cs="Calibri" w:eastAsia="Calibri" w:hAnsi="Calibri"/>
          <w:sz w:val="20"/>
          <w:szCs w:val="20"/>
        </w:rPr>
        <w:t xml:space="preserve">These 21 models accept a Canada (Central) source region through a geographic or global inference profile. This set contains every current generation option, including all five candidates evaluated in the parent documents. The call identifier column shows the exact inference profile IDs usable from ca-central-1.</w:t>
      </w:r>
    </w:p>
    <w:p>
      <w:pPr>
        <w:keepNext/>
        <w:spacing w:after="60" w:before="80"/>
      </w:pPr>
      <w:r>
        <w:rPr>
          <w:rFonts w:ascii="Calibri" w:cs="Calibri" w:eastAsia="Calibri" w:hAnsi="Calibri"/>
          <w:b/>
          <w:bCs/>
          <w:sz w:val="18"/>
          <w:szCs w:val="18"/>
        </w:rPr>
        <w:t xml:space="preserve">Table 3.1. Cross-region models from a ca-central-1 source,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80"/>
        <w:gridCol w:w="800"/>
        <w:gridCol w:w="700"/>
        <w:gridCol w:w="2300"/>
        <w:gridCol w:w="930"/>
        <w:gridCol w:w="930"/>
        <w:gridCol w:w="152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11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Inference profile IDs callable from ca-central-1</w:t>
            </w:r>
          </w:p>
        </w:tc>
        <w:tc>
          <w:tcPr>
            <w:tcW w:type="dxa" w:w="93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from ca-central-1</w:t>
            </w:r>
          </w:p>
        </w:tc>
        <w:tc>
          <w:tcPr>
            <w:tcW w:type="dxa" w:w="93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Service tiers</w:t>
            </w:r>
          </w:p>
        </w:tc>
        <w:tc>
          <w:tcPr>
            <w:tcW w:type="dxa" w:w="15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Lifecycle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us.amazon.nova-2-lite-v1:0 (geo)</w:t>
            </w:r>
          </w:p>
          <w:p>
            <w:pPr>
              <w:spacing w:after="40" w:line="240"/>
            </w:pPr>
            <w:r>
              <w:rPr>
                <w:rFonts w:ascii="Calibri" w:cs="Calibri" w:eastAsia="Calibri" w:hAnsi="Calibri"/>
                <w:sz w:val="18"/>
                <w:szCs w:val="18"/>
              </w:rPr>
              <w:t xml:space="preserve">global.amazon.nova-2-lite-v1:0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02, 2026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Lite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us.amazon.nova-lite-v1:0 (geo)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05,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Fable 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us.anthropic.claude-fable-5 (geo)</w:t>
            </w:r>
          </w:p>
          <w:p>
            <w:pPr>
              <w:spacing w:after="40" w:line="240"/>
            </w:pPr>
            <w:r>
              <w:rPr>
                <w:rFonts w:ascii="Calibri" w:cs="Calibri" w:eastAsia="Calibri" w:hAnsi="Calibri"/>
                <w:sz w:val="18"/>
                <w:szCs w:val="18"/>
              </w:rPr>
              <w:t xml:space="preserve">global.anthropic.claude-fable-5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9,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Fable 5.1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us.anthropic.claude-fable-5-1 (geo)</w:t>
            </w:r>
          </w:p>
          <w:p>
            <w:pPr>
              <w:spacing w:after="40" w:line="240"/>
            </w:pPr>
            <w:r>
              <w:rPr>
                <w:rFonts w:ascii="Calibri" w:cs="Calibri" w:eastAsia="Calibri" w:hAnsi="Calibri"/>
                <w:sz w:val="18"/>
                <w:szCs w:val="18"/>
              </w:rPr>
              <w:t xml:space="preserve">global.anthropic.claude-fable-5-1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September 1,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us.anthropic.claude-haiku-4-5-20251001-v1:0 (geo)</w:t>
            </w:r>
          </w:p>
          <w:p>
            <w:pPr>
              <w:spacing w:after="40" w:line="240"/>
            </w:pPr>
            <w:r>
              <w:rPr>
                <w:rFonts w:ascii="Calibri" w:cs="Calibri" w:eastAsia="Calibri" w:hAnsi="Calibri"/>
                <w:sz w:val="18"/>
                <w:szCs w:val="18"/>
              </w:rPr>
              <w:t xml:space="preserve">global.anthropic.claude-haiku-4-5-20251001-v1:0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16, 2026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Mythos 5.1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us.anthropic.claude-mythos-5-1 (geo)</w:t>
            </w:r>
          </w:p>
          <w:p>
            <w:pPr>
              <w:spacing w:after="40" w:line="240"/>
            </w:pPr>
            <w:r>
              <w:rPr>
                <w:rFonts w:ascii="Calibri" w:cs="Calibri" w:eastAsia="Calibri" w:hAnsi="Calibri"/>
                <w:sz w:val="18"/>
                <w:szCs w:val="18"/>
              </w:rPr>
              <w:t xml:space="preserve">global.anthropic.claude-mythos-5-1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September 1,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us.anthropic.claude-opus-4-5-20251101-v1:0 (geo)</w:t>
            </w:r>
          </w:p>
          <w:p>
            <w:pPr>
              <w:spacing w:after="40" w:line="240"/>
            </w:pPr>
            <w:r>
              <w:rPr>
                <w:rFonts w:ascii="Calibri" w:cs="Calibri" w:eastAsia="Calibri" w:hAnsi="Calibri"/>
                <w:sz w:val="18"/>
                <w:szCs w:val="18"/>
              </w:rPr>
              <w:t xml:space="preserve">global.anthropic.claude-opus-4-5-20251101-v1:0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24, 2026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us.anthropic.claude-opus-4-6-v1 (geo)</w:t>
            </w:r>
          </w:p>
          <w:p>
            <w:pPr>
              <w:spacing w:after="40" w:line="240"/>
            </w:pPr>
            <w:r>
              <w:rPr>
                <w:rFonts w:ascii="Calibri" w:cs="Calibri" w:eastAsia="Calibri" w:hAnsi="Calibri"/>
                <w:sz w:val="18"/>
                <w:szCs w:val="18"/>
              </w:rPr>
              <w:t xml:space="preserve">global.anthropic.claude-opus-4-6-v1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5,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us.anthropic.claude-opus-4-7 (geo)</w:t>
            </w:r>
          </w:p>
          <w:p>
            <w:pPr>
              <w:spacing w:after="40" w:line="240"/>
            </w:pPr>
            <w:r>
              <w:rPr>
                <w:rFonts w:ascii="Calibri" w:cs="Calibri" w:eastAsia="Calibri" w:hAnsi="Calibri"/>
                <w:sz w:val="18"/>
                <w:szCs w:val="18"/>
              </w:rPr>
              <w:t xml:space="preserve">global.anthropic.claude-opus-4-7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16,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4.8</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us.anthropic.claude-opus-4-8 (geo)</w:t>
            </w:r>
          </w:p>
          <w:p>
            <w:pPr>
              <w:spacing w:after="40" w:line="240"/>
            </w:pPr>
            <w:r>
              <w:rPr>
                <w:rFonts w:ascii="Calibri" w:cs="Calibri" w:eastAsia="Calibri" w:hAnsi="Calibri"/>
                <w:sz w:val="18"/>
                <w:szCs w:val="18"/>
              </w:rPr>
              <w:t xml:space="preserve">global.anthropic.claude-opus-4-8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May 28,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us.anthropic.claude-opus-5 (geo)</w:t>
            </w:r>
          </w:p>
          <w:p>
            <w:pPr>
              <w:spacing w:after="40" w:line="240"/>
            </w:pPr>
            <w:r>
              <w:rPr>
                <w:rFonts w:ascii="Calibri" w:cs="Calibri" w:eastAsia="Calibri" w:hAnsi="Calibri"/>
                <w:sz w:val="18"/>
                <w:szCs w:val="18"/>
              </w:rPr>
              <w:t xml:space="preserve">global.anthropic.claude-opus-5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July 24,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us.anthropic.claude-sonnet-4-5-20250929-v1:0 (geo)</w:t>
            </w:r>
          </w:p>
          <w:p>
            <w:pPr>
              <w:spacing w:after="40" w:line="240"/>
            </w:pPr>
            <w:r>
              <w:rPr>
                <w:rFonts w:ascii="Calibri" w:cs="Calibri" w:eastAsia="Calibri" w:hAnsi="Calibri"/>
                <w:sz w:val="18"/>
                <w:szCs w:val="18"/>
              </w:rPr>
              <w:t xml:space="preserve">global.anthropic.claude-sonnet-4-5-20250929-v1:0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30, 2026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us.anthropic.claude-sonnet-4-6 (geo)</w:t>
            </w:r>
          </w:p>
          <w:p>
            <w:pPr>
              <w:spacing w:after="40" w:line="240"/>
            </w:pPr>
            <w:r>
              <w:rPr>
                <w:rFonts w:ascii="Calibri" w:cs="Calibri" w:eastAsia="Calibri" w:hAnsi="Calibri"/>
                <w:sz w:val="18"/>
                <w:szCs w:val="18"/>
              </w:rPr>
              <w:t xml:space="preserve">global.anthropic.claude-sonnet-4-6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through the cross-region profile</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17,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us.anthropic.claude-sonnet-5 (geo)</w:t>
            </w:r>
          </w:p>
          <w:p>
            <w:pPr>
              <w:spacing w:after="40" w:line="240"/>
            </w:pPr>
            <w:r>
              <w:rPr>
                <w:rFonts w:ascii="Calibri" w:cs="Calibri" w:eastAsia="Calibri" w:hAnsi="Calibri"/>
                <w:sz w:val="18"/>
                <w:szCs w:val="18"/>
              </w:rPr>
              <w:t xml:space="preserve">global.anthropic.claude-sonnet-5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30,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 v4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global.cohere.embed-v4:0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15, 2026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Luna</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global.openai.gpt-5.6-luna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July 13,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Sol</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global.openai.gpt-5.6-sol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July 13,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Terra</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global.openai.gpt-5.6-terra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July 13,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GPT-6 Astra</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us.openai.gpt-6-astra (geo)</w:t>
            </w:r>
          </w:p>
          <w:p>
            <w:pPr>
              <w:spacing w:after="40" w:line="240"/>
            </w:pPr>
            <w:r>
              <w:rPr>
                <w:rFonts w:ascii="Calibri" w:cs="Calibri" w:eastAsia="Calibri" w:hAnsi="Calibri"/>
                <w:sz w:val="18"/>
                <w:szCs w:val="18"/>
              </w:rPr>
              <w:t xml:space="preserve">global.openai.gpt-6-astra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September 8, 2027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TwelveLabs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Pegasus v1.2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 Video</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global.twelvelabs.pegasus-1-2-v1:0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11, 2026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xAI</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Grok 4.6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40" w:line="240"/>
            </w:pPr>
            <w:r>
              <w:rPr>
                <w:rFonts w:ascii="Calibri" w:cs="Calibri" w:eastAsia="Calibri" w:hAnsi="Calibri"/>
                <w:sz w:val="18"/>
                <w:szCs w:val="18"/>
              </w:rPr>
              <w:t xml:space="preserve">global.xai.grok-4.6 (global)</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August 18, 2027</w:t>
            </w:r>
          </w:p>
        </w:tc>
      </w:tr>
    </w:tbl>
    <w:p>
      <w:pPr>
        <w:spacing w:after="120"/>
      </w:pPr>
    </w:p>
    <w:p>
      <w:pPr>
        <w:spacing w:after="120" w:before="0" w:line="264"/>
        <w:jc w:val="left"/>
      </w:pPr>
      <w:r>
        <w:rPr>
          <w:rFonts w:ascii="Calibri" w:cs="Calibri" w:eastAsia="Calibri" w:hAnsi="Calibri"/>
          <w:i/>
          <w:iCs/>
          <w:sz w:val="18"/>
          <w:szCs w:val="18"/>
        </w:rPr>
        <w:t xml:space="preserve">Nova Lite has a geographic profile but no global profile from Canada. The four OpenAI models and Grok 4.6 with only a global entry cannot be constrained to North American destinations from ca-central-1; GPT-6 Astra is the one OpenAI model with a geographic option. Batch is not offered for the Claude Fable and Mythos line, Claude Sonnet 5, the OpenAI models, Grok 4.6 or Pegasus v1.2 anywhere, so a batch dependent design from Canada is limited to Nova 2 Lite, Nova Lite and the Claude 4.5 and Opus 4.5 to 5 line.</w:t>
      </w:r>
    </w:p>
    <w:p>
      <w:pPr>
        <w:pStyle w:val="Heading1"/>
        <w:keepNext/>
        <w:spacing w:after="120" w:before="280"/>
      </w:pPr>
      <w:r>
        <w:rPr>
          <w:rFonts w:ascii="Calibri" w:cs="Calibri" w:eastAsia="Calibri" w:hAnsi="Calibri"/>
        </w:rPr>
        <w:t xml:space="preserve">4. Models in-region in ca-central-1</w:t>
      </w:r>
    </w:p>
    <w:p>
      <w:pPr>
        <w:spacing w:after="120" w:before="0" w:line="264"/>
        <w:jc w:val="left"/>
      </w:pPr>
      <w:r>
        <w:rPr>
          <w:rFonts w:ascii="Calibri" w:cs="Calibri" w:eastAsia="Calibri" w:hAnsi="Calibri"/>
          <w:sz w:val="20"/>
          <w:szCs w:val="20"/>
        </w:rPr>
        <w:t xml:space="preserve">These 13 models process requests inside ca-central-1. Two of them, Claude 3 Haiku and Claude 3 Sonnet, accept image input, so a strict in-country vision option exists on paper; both are older generation, Claude 3 Haiku is marked Legacy in certain regions, and the Claude 3 Sonnet card is no longer published. None of the 13 offers a current generation replacement, and ten of the thirteen have passed their EOL no sooner than dates.</w:t>
      </w:r>
    </w:p>
    <w:p>
      <w:pPr>
        <w:keepNext/>
        <w:spacing w:after="60" w:before="80"/>
      </w:pPr>
      <w:r>
        <w:rPr>
          <w:rFonts w:ascii="Calibri" w:cs="Calibri" w:eastAsia="Calibri" w:hAnsi="Calibri"/>
          <w:b/>
          <w:bCs/>
          <w:sz w:val="18"/>
          <w:szCs w:val="18"/>
        </w:rPr>
        <w:t xml:space="preserve">Table 4.1. In-region models in ca-central-1,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850"/>
        <w:gridCol w:w="850"/>
        <w:gridCol w:w="900"/>
        <w:gridCol w:w="236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 ID</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w:t>
            </w:r>
          </w:p>
        </w:tc>
        <w:tc>
          <w:tcPr>
            <w:tcW w:type="dxa" w:w="8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from ca-central-1</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Lifecycle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Rerank</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Titan Multimodal Embeddings G1</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amazon.titan-embed-image-v1</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single-region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29, 2024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Titan Text Embeddings V2</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amazon.titan-embed-text-v2:0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single-region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30,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3 Haiku</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anthropic.claude-3-haiku-20240307-v1:0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single-region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(certain regions); EOL no sooner than Mar 13,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3 Sonnet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single-region</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 English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cohere.embed-english-v3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 2024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 Multilingual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cohere.embed-multilingual-v3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 2024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Rerank 3.5</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cohere.rerank-v3-5:0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 70B Instruct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meta.llama3-70b-instruct-v1:0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18,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 8B Instruct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meta.llama3-8b-instruct-v1:0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18,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7B Instruct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mistral.mistral-7b-instruct-v0:2</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28, 2024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Large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mistral.mistral-large-2402-v1:0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26, 2025 (date passed; retirement notice can arrive at any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Mixtral 8x7B Instruct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mistral.mixtral-8x7b-instruct-v0:1</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10, 2024 (date passed; retirement notice can arrive at any time)</w:t>
            </w:r>
          </w:p>
        </w:tc>
      </w:tr>
    </w:tbl>
    <w:p>
      <w:pPr>
        <w:spacing w:after="120"/>
      </w:pPr>
    </w:p>
    <w:p>
      <w:pPr>
        <w:pStyle w:val="Heading1"/>
        <w:keepNext/>
        <w:spacing w:after="120" w:before="280"/>
      </w:pPr>
      <w:r>
        <w:rPr>
          <w:rFonts w:ascii="Calibri" w:cs="Calibri" w:eastAsia="Calibri" w:hAnsi="Calibri"/>
        </w:rPr>
        <w:t xml:space="preserve">5. Models callable from ca-west-1 (Calgary)</w:t>
      </w:r>
    </w:p>
    <w:p>
      <w:pPr>
        <w:spacing w:after="120" w:before="0" w:line="264"/>
        <w:jc w:val="left"/>
      </w:pPr>
      <w:r>
        <w:rPr>
          <w:rFonts w:ascii="Calibri" w:cs="Calibri" w:eastAsia="Calibri" w:hAnsi="Calibri"/>
          <w:sz w:val="20"/>
          <w:szCs w:val="20"/>
        </w:rPr>
        <w:t xml:space="preserve">Calgary was not discussed in the parent documents. It is now a Bedrock source region for 18 models, all through cross-region profiles; it has no in-region models. For the models whose cards publish the table, the geographic profile from a ca-west-1 source routes to ca-west-1 plus the same three United States regions, so Calgary changes latency and account topology options but not the residency picture.</w:t>
      </w:r>
    </w:p>
    <w:p>
      <w:pPr>
        <w:keepNext/>
        <w:spacing w:after="60" w:before="80"/>
      </w:pPr>
      <w:r>
        <w:rPr>
          <w:rFonts w:ascii="Calibri" w:cs="Calibri" w:eastAsia="Calibri" w:hAnsi="Calibri"/>
          <w:b/>
          <w:bCs/>
          <w:sz w:val="18"/>
          <w:szCs w:val="18"/>
        </w:rPr>
        <w:t xml:space="preserve">Table 5.1. Models with a ca-west-1 source option,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00"/>
        <w:gridCol w:w="23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Geographic profile from ca-west-1</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Global profile from ca-west-1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Fable 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Fable 5.1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Mythos 5.1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4.7</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4.8</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Luna</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Sol</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GPT-5.6 Terra</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TwelveLabs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Pegasus v1.2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xAI</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Grok 4.6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r>
    </w:tbl>
    <w:p>
      <w:pPr>
        <w:spacing w:after="120"/>
      </w:pPr>
    </w:p>
    <w:p>
      <w:pPr>
        <w:pStyle w:val="Heading1"/>
        <w:keepNext/>
        <w:spacing w:after="120" w:before="280"/>
      </w:pPr>
      <w:r>
        <w:rPr>
          <w:rFonts w:ascii="Calibri" w:cs="Calibri" w:eastAsia="Calibri" w:hAnsi="Calibri"/>
        </w:rPr>
        <w:t xml:space="preserve">6. Destination regions for the geographic profile from a ca-central-1 source</w:t>
      </w:r>
    </w:p>
    <w:p>
      <w:pPr>
        <w:spacing w:after="120" w:before="0" w:line="264"/>
        <w:jc w:val="left"/>
      </w:pPr>
      <w:r>
        <w:rPr>
          <w:rFonts w:ascii="Calibri" w:cs="Calibri" w:eastAsia="Calibri" w:hAnsi="Calibri"/>
          <w:sz w:val="20"/>
          <w:szCs w:val="20"/>
        </w:rPr>
        <w:t xml:space="preserve">The residency consequence of the geographic profile is set by its destination list. The model cards that publish a source and destination table all show the same list for a ca-central-1 source. Cards for the Claude Fable and Mythos line, Claude Sonnet 5, Claude Opus 4.7, Opus 4.8, Opus 5, GPT-6 Astra and Nova Lite do not publish the table; for those, the destination list should be confirmed with the AWS account team or read from the inference profiles page before a residency decision relies on it.</w:t>
      </w:r>
    </w:p>
    <w:p>
      <w:pPr>
        <w:keepNext/>
        <w:spacing w:after="60" w:before="80"/>
      </w:pPr>
      <w:r>
        <w:rPr>
          <w:rFonts w:ascii="Calibri" w:cs="Calibri" w:eastAsia="Calibri" w:hAnsi="Calibri"/>
          <w:b/>
          <w:bCs/>
          <w:sz w:val="18"/>
          <w:szCs w:val="18"/>
        </w:rPr>
        <w:t xml:space="preserve">Table 6.1. Published destination regions, geographic (us.) profile, ca-central-1 source,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5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Destination regions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4.5</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4.6</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4.7</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4.8</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4.5</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5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(Canada), us-east-1 (N. Virginia), us-east-2 (Ohio), us-west-2 (Oregon)</w:t>
            </w:r>
          </w:p>
        </w:tc>
      </w:tr>
    </w:tbl>
    <w:p>
      <w:pPr>
        <w:spacing w:after="120"/>
      </w:pPr>
    </w:p>
    <w:p>
      <w:pPr>
        <w:pStyle w:val="Heading1"/>
        <w:keepNext/>
        <w:spacing w:after="120" w:before="280"/>
      </w:pPr>
      <w:r>
        <w:rPr>
          <w:rFonts w:ascii="Calibri" w:cs="Calibri" w:eastAsia="Calibri" w:hAnsi="Calibri"/>
        </w:rPr>
        <w:t xml:space="preserve">7. Models with no Canadian source region</w:t>
      </w:r>
    </w:p>
    <w:p>
      <w:pPr>
        <w:spacing w:after="120" w:before="0" w:line="264"/>
        <w:jc w:val="left"/>
      </w:pPr>
      <w:r>
        <w:rPr>
          <w:rFonts w:ascii="Calibri" w:cs="Calibri" w:eastAsia="Calibri" w:hAnsi="Calibri"/>
          <w:sz w:val="20"/>
          <w:szCs w:val="20"/>
        </w:rPr>
        <w:t xml:space="preserve">The remaining 104 entries cannot be invoked with a Canadian source region and require a United States or other source region. They are listed in full so that the catalog question is closed rather than sampled. The routing column counts the source regions in which each model can be invoked, by routing type, as stated on the regional availability page.</w:t>
      </w:r>
    </w:p>
    <w:p>
      <w:pPr>
        <w:keepNext/>
        <w:spacing w:after="60" w:before="80"/>
      </w:pPr>
      <w:r>
        <w:rPr>
          <w:rFonts w:ascii="Calibri" w:cs="Calibri" w:eastAsia="Calibri" w:hAnsi="Calibri"/>
          <w:b/>
          <w:bCs/>
          <w:sz w:val="18"/>
          <w:szCs w:val="18"/>
        </w:rPr>
        <w:t xml:space="preserve">Table 7.1. Models with no ca-central-1 or ca-west-1 source option, 15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1020"/>
        <w:gridCol w:w="900"/>
        <w:gridCol w:w="2360"/>
        <w:gridCol w:w="2200"/>
      </w:tblGrid>
      <w:tr>
        <w:trPr>
          <w:cantSplit/>
          <w:tblHeader/>
        </w:trPr>
        <w:tc>
          <w:tcPr>
            <w:tcW w:type="dxa" w:w="10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Provider</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0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Routing on the regional availability page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Lifecycle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AI21 Labs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Jamba 1.5 Large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Aug 22,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AI21 Labs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Jamba 1.5 Mini</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Aug 22,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Multimodal Embeddings</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Audio, 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28,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Sonic</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 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Canvas</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Dec 3,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Micro</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 geo profile from 15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Premier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Oct 31,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Pro</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6 regions; geo profile from 16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Reel (amazon.nova-reel-v1:0)</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Reel (amazon.nova-reel-v1:1)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Sonic</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 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Mar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Titan Embeddings G1 - Text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28, 2024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Titan Embeddings G1 - Text v2</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Titan Image Generator G1 v2</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Nov 29, 2024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3.5 Sonnet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 geo profile from 1 source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3.5 Sonnet V2:0</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3.7 Sonnet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 geo profile from 1 source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Mythos 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9,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Mythos Preview</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Preview; EOL no sooner than Apr 07,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Aug 05,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(certain regions); EOL no sooner than May 23,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Command 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Aug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Command 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Aug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 V3.2</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01,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DeepSeek-R1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Jan 20,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DeepSeek-V3.1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8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 21,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3 12B IT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12,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3 27B PT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12,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3 4B IT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12,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26B-A4B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31,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31B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31,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E2B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Audio, Image,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31,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Luma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Ray V2:0</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3.1 405B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Jul 23,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3.1 70B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 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23,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3.1 8B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 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23,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3.2 11B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Sep 25,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3.2 1B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Sep 25,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3.2 3B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Sep 25,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3.2 90B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Listed with no active routing rows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Sep 25,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3.3 70B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 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06,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4 Maverick 17B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4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05,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4 Scout 17B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4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05,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 M2</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23,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 M2.1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23,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 M2.5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12,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MiniMax M2.5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12,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Devstral 2 123B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Magistral Small 2509</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Ministral 14B 3.0</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Ministral 3 8B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02,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Ministral 3B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Large 2407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Large 3</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7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Small</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16,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Pixtral Large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7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19,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Voxtral Mini 3B 2507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Mistral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Voxtral Small 24B 2507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Speech,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30,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Moonshot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Kimi K2.5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Jan 27,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 Nemotron 3 Super 120B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11,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 Nemotron Nano 12B v2 VL BF16</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11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28,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 Nemotron Nano 9B v2</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11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 18,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Nemotron Nano 3 30B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11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15,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Daybreak Blue: GPT-5.6 Sol</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August 12,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Daybreak Red: GPT-5.6 Cyber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August 12,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 OSS Safeguard 120B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29,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 OSS Safeguard 20B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29,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GPT-5.4</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GPT-5.5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gpt-oss-120b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14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 05,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gpt-oss-20b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14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 05,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Qwen3 235B A22B 2507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28,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32B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29,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Coder 480B A35B 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8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23,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Coder Next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04,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Next 80B A3B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11,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VL 235B A22B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23,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Qwen3-Coder-30B-A3B-Instruct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31, 2026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Sd3.5 Large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Conservative Upscale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May 20,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Control Sketch</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Jul 13, 2024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Control Structure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Apr 30,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Core V1:1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Creative Upscale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21,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Erase Object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May 20,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Fast Upscale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10,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Inpaint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2023</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Outpaint</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24, 2023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Remove Background</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Nov 7,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Search and Recolor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Aug 19,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Search and Replace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Style Guide</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Style Transfer</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Stability 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Image Ultra V1:1</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Card no longer published</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 region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no longer published</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TwelveLabs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Marengo Embed 3.0</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Speech,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2 regions; 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Oct 29,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TwelveLabs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Marengo Embed v2.7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Speech, Text, Video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2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no sooner than Dec 4, 2025 (date passed; retirement notice can arrive at any time)</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Writer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Palmyra Vision 7B</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Mar 26,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Writer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Palmyra X4</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4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Sep 2025</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Writer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Palmyra X5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 profile from 4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Jan 21,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GLM 4.7</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Dec 22, 2026</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GLM 4.7 Flash</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13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Jan 19,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GLM 5</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10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Feb 11, 2027</w:t>
            </w:r>
          </w:p>
        </w:tc>
      </w:tr>
      <w:tr>
        <w:trPr>
          <w:cantSplit/>
        </w:trPr>
        <w:tc>
          <w:tcPr>
            <w:tcW w:type="dxa" w:w="10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xAI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Grok 4.3</w:t>
            </w:r>
          </w:p>
        </w:tc>
        <w:tc>
          <w:tcPr>
            <w:tcW w:type="dxa" w:w="10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Text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in 4 regions; geo profile from 3 source regions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June 15, 2027</w:t>
            </w:r>
          </w:p>
        </w:tc>
      </w:tr>
    </w:tbl>
    <w:p>
      <w:pPr>
        <w:spacing w:after="120"/>
      </w:pPr>
    </w:p>
    <w:p>
      <w:pPr>
        <w:pStyle w:val="Heading1"/>
        <w:keepNext/>
        <w:spacing w:after="120" w:before="280"/>
      </w:pPr>
      <w:r>
        <w:rPr>
          <w:rFonts w:ascii="Calibri" w:cs="Calibri" w:eastAsia="Calibri" w:hAnsi="Calibri"/>
        </w:rPr>
        <w:t xml:space="preserve">8. Findings that update the parent documents</w:t>
      </w:r>
    </w:p>
    <w:p>
      <w:pPr>
        <w:spacing w:after="120" w:before="0" w:line="264"/>
        <w:jc w:val="left"/>
      </w:pPr>
      <w:r>
        <w:rPr>
          <w:rFonts w:ascii="Calibri" w:cs="Calibri" w:eastAsia="Calibri" w:hAnsi="Calibri"/>
          <w:sz w:val="20"/>
          <w:szCs w:val="20"/>
        </w:rPr>
        <w:t xml:space="preserve">The parent documents were verified on 26 August 2026. The fresh pass on 15 September 2026 changes four statements and adds context that does not change any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660"/>
        <w:gridCol w:w="220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Parent document statement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State on 15 September 2026</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models in ca-central-1</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document Section 9.1 states that only embedding and rerank models are in-region in ca-central-1</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Thirteen models are in-region, including two older generation vision models (Claude 3 Haiku, Claude 3 Sonnet) and five older text models from Meta and Mistral. The five evaluated candidates remain cross-region only, so the candidate analysis stands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Correct the sentence in the next revision of the budget document; the conclusion that no current generation vision model is in-region in Canada is unchanged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exceptions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document Section 9.2 and requirements NFR-09 describe the Claude Fable 5 exception as retention with mandatory opt-in to sharing with Anthropic</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abuse detection page now states: for Claude Fable 5 and Claude Fable 5.1, all traffic is retained for up to 30 days with possible human review performed by AWS; retained data is not shared with third-party model providers; customers in the Enterprise Frontier Safeguards program receive zero data retention through 31 December 2026. For OpenAI GPT-6 Astra and the GPT-5.4, GPT-5.5 and GPT-5.6 family, classifier-flagged traffic is retained for up to 30 days and eligible customers may request zero data retention. Claude Mythos 5.1 is not on the exception list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Update both parent documents; keep the exception models off the allow list for this workload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lifecycle floor</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EOL no sooner than 1 October 2026</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card now states EOL no sooner than 16 October 2026</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Minor date update; the migration caution in Section 9.4 of the budget document stands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Billing attribution for Anthropic models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covered</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Anthropic model cards state the models are offered and billed through AWS Marketplace and charges appear under the model provider, not under Amazon Bedrock, in the AWS bill and Cost Explorer</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Add to the cost governance notes so finance filters and budget alarms match the actual billing lines</w:t>
            </w:r>
          </w:p>
        </w:tc>
      </w:tr>
    </w:tbl>
    <w:p>
      <w:pPr>
        <w:spacing w:after="120"/>
      </w:pPr>
    </w:p>
    <w:p>
      <w:pPr>
        <w:spacing w:after="120" w:before="0" w:line="264"/>
        <w:jc w:val="left"/>
      </w:pPr>
      <w:r>
        <w:rPr>
          <w:rFonts w:ascii="Calibri" w:cs="Calibri" w:eastAsia="Calibri" w:hAnsi="Calibri"/>
          <w:sz w:val="20"/>
          <w:szCs w:val="20"/>
        </w:rPr>
        <w:t xml:space="preserve">Catalog movement that adds options without changing the recommendation: the Anthropic 4.5 to 5.1 line, four OpenAI models, Grok 4.6, Pegasus v1.2 and Embed v4 are now callable from Canada; five providers new to the catalog (Google, MiniMax, Moonshot AI, xAI, Z.AI) have no Canadian source option; ca-west-1 is a new Canadian source region; and some newer cards expose a second endpoint, bedrock-mantle, alongside bedrock-runtime. None of the additions offers batch from Canada plus structured outputs at a lower price point than the shortlisted candidates, and the models with retention exceptions are excluded by NFR-09, so the bake-off shortlist in the parent documents (Claude Haiku 4.5 and Nova 2 Lite, with Claude Sonnet 4.6 as the quality fallback) is unchanged. The Claude Opus 4.5 to 5 line and Claude Sonnet 4.5 are additional batch capable fallbacks from Canada if the shortlist misses the quality bar.</w:t>
      </w:r>
    </w:p>
    <w:p>
      <w:pPr>
        <w:pStyle w:val="Heading1"/>
        <w:keepNext/>
        <w:spacing w:after="120" w:before="280"/>
      </w:pPr>
      <w:r>
        <w:rPr>
          <w:rFonts w:ascii="Calibri" w:cs="Calibri" w:eastAsia="Calibri" w:hAnsi="Calibri"/>
        </w:rPr>
        <w:t xml:space="preserve">9. Sources and verification</w:t>
      </w:r>
    </w:p>
    <w:p>
      <w:pPr>
        <w:spacing w:after="120" w:before="0" w:line="264"/>
        <w:jc w:val="left"/>
      </w:pPr>
      <w:r>
        <w:rPr>
          <w:rFonts w:ascii="Calibri" w:cs="Calibri" w:eastAsia="Calibri" w:hAnsi="Calibri"/>
          <w:sz w:val="20"/>
          <w:szCs w:val="20"/>
        </w:rPr>
        <w:t xml:space="preserve">All sources retrieved on 15 September 2026. The regional availability page is the spine of every table; model details come from the individual card pages; batch columns come from the batch inference support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availability by models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138 model entries and their in-region, geographic and global availability per source region, including ca-central-1 and ca-west-1</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https://docs.aws.amazon.com/bedrock/latest/userguide/models-region-compatibility.html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Models at a glance and the 127 individual model card pages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inference profile IDs, input and output modalities, service tiers, lifecycle states, EOL no sooner than dates, geographic profile destination tables, endpoints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https://docs.aws.amazon.com/bedrock/latest/userguide/model-cards.html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Regions and models for batch inference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availability per model and region, single-region and through cross-region profiles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https://docs.aws.amazon.com/bedrock/latest/userguide/batch-inference-supported.html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 and Model lifecycle (Legacy)</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 states, the 12 month minimum, Legacy notice periods, the public extended access period, and the current Legacy and pending EOL table (no ca-central-1 entries)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https://docs.aws.amazon.com/bedrock/latest/userguide/model-lifecycle.html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abuse detection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Current data retention exception list quoted in Section 8</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https://docs.aws.amazon.com/bedrock/latest/userguide/abuse-detection.html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Regions and models for inference profiles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Definition of source and destination behavior referenced in Sections 2 and 6</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https://docs.aws.amazon.com/bedrock/latest/userguide/inference-profiles-support.html</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Addendum A. Model Availability from Canadian Source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Addendum A. Model Availability from Canadian Source Regions</dc:title>
  <dc:creator>M. Syed</dc:creator>
  <cp:lastModifiedBy>Un-named</cp:lastModifiedBy>
  <cp:revision>1</cp:revision>
  <dcterms:created xsi:type="dcterms:W3CDTF">2026-09-15T16:48:55.856Z</dcterms:created>
  <dcterms:modified xsi:type="dcterms:W3CDTF">2026-09-15T16:48:55.856Z</dcterms:modified>
</cp:coreProperties>
</file>

<file path=docProps/custom.xml><?xml version="1.0" encoding="utf-8"?>
<Properties xmlns="http://schemas.openxmlformats.org/officeDocument/2006/custom-properties" xmlns:vt="http://schemas.openxmlformats.org/officeDocument/2006/docPropsVTypes"/>
</file>