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sz w:val="32"/>
          <w:szCs w:val="32"/>
        </w:rPr>
        <w:t xml:space="preserve">Open Source OCR and VLM Models for Document Processing</w:t>
      </w:r>
    </w:p>
    <w:p>
      <w:pPr>
        <w:spacing w:after="360" w:before="0"/>
      </w:pPr>
      <w:r>
        <w:rPr>
          <w:rFonts w:ascii="Calibri" w:cs="Calibri" w:eastAsia="Calibri" w:hAnsi="Calibri"/>
          <w:color w:val="595959"/>
          <w:sz w:val="24"/>
          <w:szCs w:val="24"/>
        </w:rPr>
        <w:t xml:space="preserve">Merged Benchmarking Reference, April 2026</w:t>
      </w:r>
    </w:p>
    <w:p>
      <w:pPr>
        <w:spacing w:after="120" w:before="0"/>
      </w:pPr>
      <w:r>
        <w:rPr>
          <w:rFonts w:ascii="Calibri" w:cs="Calibri" w:eastAsia="Calibri" w:hAnsi="Calibri"/>
          <w:b/>
          <w:bCs/>
          <w:sz w:val="22"/>
          <w:szCs w:val="22"/>
        </w:rPr>
        <w:t xml:space="preserve">Purpose</w:t>
      </w:r>
    </w:p>
    <w:p>
      <w:pPr>
        <w:spacing w:after="200" w:before="0"/>
      </w:pPr>
      <w:r>
        <w:rPr>
          <w:rFonts w:ascii="Calibri" w:cs="Calibri" w:eastAsia="Calibri" w:hAnsi="Calibri"/>
          <w:sz w:val="20"/>
          <w:szCs w:val="20"/>
        </w:rPr>
        <w:t xml:space="preserve">This document collates two independent model evaluations into a single reference. Table A is the enterprise-GPU document-parsing shortlist assembled for the Agilink bill and receipt ingestion pipeline (April 2026 research cycle). Table B is a parallel evaluation prepared by a collaborator targeting consumer-GPU deployment of general-purpose vision-language models for invoice processing. The two tables share a unified 51-row schema to enable side-by-side reading, but the two shortlists target different deployment envelopes and were evaluated against different benchmark suites.</w:t>
      </w:r>
    </w:p>
    <w:p>
      <w:pPr>
        <w:spacing w:after="120" w:before="0"/>
      </w:pPr>
      <w:r>
        <w:rPr>
          <w:rFonts w:ascii="Calibri" w:cs="Calibri" w:eastAsia="Calibri" w:hAnsi="Calibri"/>
          <w:b/>
          <w:bCs/>
          <w:sz w:val="22"/>
          <w:szCs w:val="22"/>
        </w:rPr>
        <w:t xml:space="preserve">How to read this document</w:t>
      </w:r>
    </w:p>
    <w:p>
      <w:pPr>
        <w:spacing w:after="200" w:before="0"/>
      </w:pPr>
      <w:r>
        <w:rPr>
          <w:rFonts w:ascii="Calibri" w:cs="Calibri" w:eastAsia="Calibri" w:hAnsi="Calibri"/>
          <w:sz w:val="20"/>
          <w:szCs w:val="20"/>
        </w:rPr>
        <w:t xml:space="preserve">DNA stands for "data not available" and appears wherever a published number could not be sourced. The DNA density is high because the row schema is a union of both evaluations: rows drawn from Table B (DocVQA, TextVQA, ChartQA, InfoVQA, MMMU) are not typically reported for document-parsing specialists in Table A, and rows drawn from Table A (OmniDocBench, OCRBench v2, Table TEDS, Formula CDM) are not typically reported for general VLMs in Table B. DNA here means "this model was not evaluated on that benchmark," not "this model failed on that benchmark." See the bridge paragraph between the two tables for the comparability caveat.</w:t>
      </w:r>
    </w:p>
    <w:p>
      <w:pPr>
        <w:spacing w:after="120" w:before="0"/>
      </w:pPr>
      <w:r>
        <w:rPr>
          <w:rFonts w:ascii="Calibri" w:cs="Calibri" w:eastAsia="Calibri" w:hAnsi="Calibri"/>
          <w:b/>
          <w:bCs/>
          <w:sz w:val="22"/>
          <w:szCs w:val="22"/>
        </w:rPr>
        <w:t xml:space="preserve">Data sources</w:t>
      </w:r>
    </w:p>
    <w:p>
      <w:pPr>
        <w:spacing w:after="200" w:before="0"/>
      </w:pPr>
      <w:r>
        <w:rPr>
          <w:rFonts w:ascii="Calibri" w:cs="Calibri" w:eastAsia="Calibri" w:hAnsi="Calibri"/>
          <w:sz w:val="20"/>
          <w:szCs w:val="20"/>
        </w:rPr>
        <w:t xml:space="preserve">Table A draws from the OmniDocBench v1.5 leaderboard (OpenDataLab), the OCRBench v2 private-set 2026-03 leaderboard at 99franklin.github.io/ocrbench_v2, model-author papers for PaddleOCR-VL-1.5 (arXiv 2601.21957), MinerU 2.5-Pro (arXiv 2604.04771), DeepSeek-OCR 2 (arXiv 2601.20552), Qwen3-VL (arXiv 2511.21631), PaddleOCR-VL base (arXiv 2510.14528), DeepSeek-OCR v1 (arXiv 2510.18234), and GLM-OCR (arXiv 2603.10910). Table B draws from the collaborator-prepared "Detailed Model Comparison Matrix" document, with benchmark figures cross-referenced against model-author releases and arXiv entries cited in the model-card row of each column. Licenses in both tables were verified from primary sources: HuggingFace model cards and LICENSE files in the respective repositories, as of April 21, 2026.</w:t>
      </w:r>
    </w:p>
    <w:p>
      <w:pPr>
        <w:spacing w:after="120" w:before="0"/>
      </w:pPr>
      <w:r>
        <w:rPr>
          <w:rFonts w:ascii="Calibri" w:cs="Calibri" w:eastAsia="Calibri" w:hAnsi="Calibri"/>
          <w:b/>
          <w:bCs/>
          <w:sz w:val="22"/>
          <w:szCs w:val="22"/>
        </w:rPr>
        <w:t xml:space="preserve">Blank annotation rows</w:t>
      </w:r>
    </w:p>
    <w:p>
      <w:pPr>
        <w:spacing w:after="300" w:before="0"/>
      </w:pPr>
      <w:r>
        <w:rPr>
          <w:rFonts w:ascii="Calibri" w:cs="Calibri" w:eastAsia="Calibri" w:hAnsi="Calibri"/>
          <w:sz w:val="20"/>
          <w:szCs w:val="20"/>
        </w:rPr>
        <w:t xml:space="preserve">Both tables include two blank rows near the end, intended for populating with internal benchmark results once the Agilink-representative dataset is run through each candidate model.</w:t>
      </w:r>
    </w:p>
    <w:p>
      <w:pPr>
        <w:sectPr>
          <w:pgSz w:w="11906" w:h="16838" w:orient="portrait"/>
          <w:pgMar w:top="1440" w:right="1440" w:bottom="1440" w:left="1440" w:header="708" w:footer="708" w:gutter="0"/>
          <w:pgNumType/>
          <w:docGrid w:linePitch="360"/>
        </w:sectPr>
      </w:pPr>
    </w:p>
    <w:p>
      <w:pPr>
        <w:spacing w:after="200" w:before="0"/>
      </w:pPr>
      <w:r>
        <w:rPr>
          <w:rFonts w:ascii="Calibri" w:cs="Calibri" w:eastAsia="Calibri" w:hAnsi="Calibri"/>
          <w:b/>
          <w:bCs/>
          <w:sz w:val="26"/>
          <w:szCs w:val="26"/>
        </w:rPr>
        <w:t xml:space="preserve">Table A. Enterprise-GPU Document-Parsing Shortlist (10 models)</w:t>
      </w:r>
    </w:p>
    <w:tbl>
      <w:tblPr>
        <w:tblW w:type="dxa" w:w="15390"/>
        <w:tblBorders>
          <w:top w:val="single" w:color="auto" w:sz="4"/>
          <w:left w:val="single" w:color="auto" w:sz="4"/>
          <w:bottom w:val="single" w:color="auto" w:sz="4"/>
          <w:right w:val="single" w:color="auto" w:sz="4"/>
          <w:insideH w:val="single" w:color="auto" w:sz="4"/>
          <w:insideV w:val="single" w:color="auto" w:sz="4"/>
        </w:tblBorders>
      </w:tblPr>
      <w:tblGrid>
        <w:gridCol w:w="2200"/>
        <w:gridCol w:w="1319"/>
        <w:gridCol w:w="1319"/>
        <w:gridCol w:w="1319"/>
        <w:gridCol w:w="1319"/>
        <w:gridCol w:w="1319"/>
        <w:gridCol w:w="1319"/>
        <w:gridCol w:w="1319"/>
        <w:gridCol w:w="1319"/>
        <w:gridCol w:w="1319"/>
        <w:gridCol w:w="1319"/>
      </w:tblGrid>
      <w:tr>
        <w:trPr>
          <w:tblHeader/>
        </w:trPr>
        <w:tc>
          <w:tcPr>
            <w:tcW w:type="dxa" w:w="22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6"/>
                <w:szCs w:val="16"/>
              </w:rPr>
              <w:t xml:space="preserve">Attribute</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PP-OCRv5 server</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PaddleOCR-VL-1.5</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dots.ocr / dots.mocr</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MinerU 2.5-Pro</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Qwen3-VL-235B-A22B</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Gemma 4 26B A4B</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DeepSeek-OCR2</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ERNIE-4.5-VL-28B-A3B</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Tesseract 5</w:t>
            </w:r>
          </w:p>
        </w:tc>
        <w:tc>
          <w:tcPr>
            <w:tcW w:type="dxa" w:w="1319"/>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GLM-OCR</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Identity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Developer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 PaddlePaddle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 PaddlePaddle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rednote hilab (Xiaohongshu)</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Shanghai AI Lab / OpenDataLab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Qwen team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Google DeepMind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DeepSeek AI</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Google / community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Zhipu AI / Z.ai</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Release date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2025-05 (v3.0)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2026-01-29</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2025-07-30 (dots.ocr 1.7B); 2026-03-19 rebranded to dots.mocr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2026-04-10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2025-09-23</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2026-04-02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2026-01 (arXiv 2601.20552)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2025-11-11 (Thinking variant); base A3B 2025-06-30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5.5.0 (Nov 2024, maintained)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2026-02 (model); 2026-03-11 (technical report, arXiv 2603.10910)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License (verified from primary source)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 (HF model card). Note: repo contains a secondary "dots.ocr LICENSE AGREEMENT" file with unresolved scope conflicts (issues #141, #142). PyMuPDF dep pulls in AGPL.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MinerU Open Source License (custom, based on Apache 2.0). Moved from AGPLv3 in 3.1.0 release alongside 2.5-Pro. AGPLv3 YOLO and CC-BY-NC-SA layoutreader were stripped out to enable this.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 (first Gemma release to drop the custom Gemma terms)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 (code, LICENSE.txt). Model weights carry the DeepSeek Model License, an OpenRAIL-derived license with use-based restrictions but permits commercial deployment and derivatives.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 (model). Layout module PP-DocLayoutV3 is Apache 2.0 (inherited from PaddleOCR). Users must comply with both licenses per the HF model card.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Model card / repo</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github.com/PaddlePaddle/PaddleOCR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huggingface.co/PaddlePaddle/PaddleOCR-VL-1.5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github.com/rednote-hilab/dots.ocr; hf.co/rednote-hilab/dots.mocr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github.com/opendatalab/MinerU; hf.co/opendatalab/MinerU2.5-Pro-2604-1.2B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hf.co/Qwen/Qwen3-VL-235B-A22B-Instruct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hf.co/google/gemma-4-26B-A4B-it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hf.co/deepseek-ai/DeepSeek-OCR-2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hf.co/baidu/ERNIE-4.5-VL-28B-A3B-Thinking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github.com/tesseract-ocr/tesseract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hf.co/zai-org/GLM-OCR; github.com/zai-org/GLM-OCR</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Architecture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Type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Classical 2-stage pipeline (det + rec)</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Hybrid: PP-DocLayoutV3 plus 0.9B VLM (ERNIE-4.5-0.3B + NaViT)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VLM (Qwen2.5-VL-derived)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Decoupled 2-stage VLM; 1.2B total, data-engineered upgrade of MinerU 2.5 architecture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general VLM (MoE)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general VLM (MoE)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VLM with optical (visual-token) compression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End-to-end VLM (MoE, heterogeneous multimodal)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Classical LSTM-based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Hybrid: PP-DocLayoutV3 layout stage plus end-to-end VLM decoder. Same layout stack as PaddleOCR-VL-1.5.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Total parameters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~0.07B (70M; mobile and server variants)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0.9B (VLM) plus layout module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1.7B LLM; ~3B total including vision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235B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25.2B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~3B total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~30B (28B-VL branch)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 of MB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0.9B (CogViT visual encoder plus GLM-0.5B language decoder)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Active parameters (MoE)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22B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3.8B (8 of 128 experts)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570M (MoE decoder, 3B total)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3B (A3B routing; 14 active of 130 experts)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(dense)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Vision encoder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CNN-based text detector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NaViT-style dynamic resolution encoder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ViT (dots VLM backbone)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Custom high-resolution ViT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ViT with 32x spatial compression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550M params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DeepEncoder V2: SAM-base (80M) + conv layers; Qwen2-0.5B as LLM-style encoder; 16x compression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with shared + modality-specific experts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CogViT (proprietary Zhipu ViT, pre-trained on large-scale image-text pairs); 4x downsampling; SwiGLU fusion into decoder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window</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(image-focused)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native (extendable to 1M with YaRN)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(E2B/E4B: 128K)</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131K (deployment max-model-len)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caveats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(classical pipeline; no context window in the LLM sense)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Context consumed faster with many images; real usable limit lower than nominal 256K for dense document workloads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256K headline context but token consumption for image inputs scales with image count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Vision-token compression reduces context pressure (100 to 800 tokens per page vs 6,000 for MinerU 2.0)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Enterprise GPU deployment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(FP16 / BF16 serving)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only is viable; 1 x T4 or A100 is ample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 (about 8GB VRAM minimum)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 to 8 x H100 80GB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80GB, or 2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40GB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80GB (official deployment guide)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only (no GPU path)</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GPU with 4GB+ VRAM (very low footprint due to 0.9B size)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(INT8 / INT4 quantized)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(already tiny)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GPU, 12GB+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8GB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8GB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H100 or 2 x A100 40GB (UD-Q2_K_XL); llama.cpp with MoE CPU offload is possible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24GB (Q4)</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consumer, 8GB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A100 80GB down to ~60GB via wint8 quant (FastDeploy); 2-bit convolutional quant noted in ERNIE docs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to 4 GB VRAM at FP16 already; INT4/INT8 would run on edge devices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Recommended serving framework</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PaddleInference, FastDeploy, ONNX Runtime, TensorRT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FastDeploy, vLLM, SGLang, MLX-VLM, llama.cpp</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(native integration since 0.11.0)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mineru-router for multi-GPU orchestration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SGLang, llama.cpp</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Ollama, llama.cpp, MLX, TensorRT-LLM (NVIDIA NIM)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transformers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FastDeploy, ERNIEKit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binary (libtesseract)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SGLang, Ollama (one-line install), hosted API via Z.ai MaaS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Multi-GPU scaling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Pipeline parallel across det and rec stages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on VLM stage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plus mineru-router orchestration (one-click multi-GPU)</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(standard MoE TP)</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multi-threading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vLLM/SGLang; multi-replica scaling is natural given small footprint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CPU viability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(CPU was the original target; fast on modern CPUs)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Possible at int4 but slow; GPU recommended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(235B)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(25B)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(30B)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(CPU is the only path)</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Possible at small size but not recommended; GPU gives published 1.86 pages/s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cost floor (USD)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(CPU); consumer GPU optional</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~$1,500 consumer GPU; $12K for 1 x A100 40GB used, $20K new</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~$1,500 consumer GPU</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~$1,500 consumer GPU</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$30K to $100K (4 to 8 x H100)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$10K to $25K (H100 or 2 x A100)</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~$1,500 consumer GPU</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$20K (1 x A100 80GB official deployment)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(CPU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~$500 to $1,500 consumer GPU (4GB+ VRAM sufficient)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cost notes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Classical pipeline; negligible infrastructure cost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 with quantization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Enterprise-only (not consumer-affordable at any quantization)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Borderline consumer (24GB at Q4); enterprise for FP16</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Enterprise-only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Legacy/baseline; no infrastructure cost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 and the lightest footprint of any top-tier accuracy model</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Throughput and latency (A100 reference for Table A where published)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(batch=1)</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(classical pipeline)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~1045 tok/s (A100, unoptimized baseline)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Multi-Token Prediction averages 5.2 tokens per decode step, ~50% throughput gain over standard next-token prediction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(max batch)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2016.6 tok/s (FastDeploy, A100, batch=512)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2337.25 tok/s (A100, optimized)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(batch=1)</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~370 chars/sec on Intel Xeon Gold 6271C CPU (mobile rec)</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0.95 pages/s (A100, unoptimized)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~2.3 pages/s implied from 200k pages/day on A100-40G (v1 paper; v2 not published separately)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1.86 pages/s for PDFs (single replica, single concurrency, per Zhipu paper); 0.67 images/s for image inputs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1.4335 pages/s (A100, batch=512)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2.12 pages/s (A100, optimized)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v2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(single-concurrency number is what Zhipu published)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document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(characters per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~1,100 tokens/page average (OmniDocBench)</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256 to 1120 vision tokens per page (vs roughly 6,000 for MinerU 2.0)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P50 latency per page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P99 latency per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 modern document-parsing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v1.5 composite (higher is better)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Top average 1-edit-distance on OCR-block subset; not a full document parser, so no composite published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94.50 (SOTA at release)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88.41 (dots.ocr 3B, OmniDocBench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92.98 on v1.5; 95.69 on v1.6 (current SOTA per MinerU 2.5-Pro paper)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89.78</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(model released 2026-04-02; no OCR-specific evaluation published)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91.09 (DeepSeek-OCR 2 paper)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 on OmniDocBench; Baidu benchmarks against MathVista, ChartQA, DocVQA instead)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Evaluated on v1.0 historical leaderboard; substantially below modern VLMs; exact composite 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94.62 (current #1 on OmniDocBench v1.5 leaderboard, narrowly beating PaddleOCR-VL-1.5 at 94.50 and Gemini 3 Pro at 90.33)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text edit distance (lower is better)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in class on OCR-block subset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1.5; base model: 0.041 EN, 0.062 ZH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better than MinerU 2.5 baseline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0.063</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0.100 (document-parsing edit distance at 1120 vision tokens, beats Gemini 3 Pro at 0.115)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paper reports slight deficit vs PaddleOCR-VL-1.5 on TextEdit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English average (2026-03)</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43.3 (entered as dots.mocr 3B, rank 18)</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for 235B variant. Qwen3-Omni-30B-A3B is on the leaderboard at 61.3 for reference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on leaderboard as of 2026-03)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Chinese average (2026-03)</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50.6 (dots.mocr 3B, rank 18)</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for 235B variant. Qwen3-Omni-30B-A3B scores 60.0 for reference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Legacy OCRBench v1 (text recognition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 (per GLM-OCR comparison table)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92.1</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75.3</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34.7 (low because designed for compression, not pure text recognition)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858 (per Baidu; ahead of GPT-5 high at 810; Gemini 2.5 Pro 866)</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94.0 (per GLM-OCR paper, best in comparison table)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Table TEDS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88.0 English on OmniDocBench v1.5 in-house; strong across categories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88.6 (best in small-model class per CodeSOTA, ahead of GPT-5.4 at 72)</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improved over MinerU 2.5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92.55 (OmniDocBench v1.5)</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Folded into 91.09 composite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in GLM-OCR paper comparison (86.0 TEDS_TEST, ahead of PaddleOCR-VL-1.5); TableTEDS dominates field per paper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Formula CDM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0.241 EN and 0.316 ZH edit distance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Omitted by authors (high sensitivity to detection and matching protocols)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83.07</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90.31 (per DeepSeek-OCR 2 paper)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UniMERNet 96.5 (best in paper comparison, edging MinerU 2.5 at 96.4)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Layout detection mAP</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PP-DocLayoutV3 pipeline (DocLayout-YOLO baseline is 48.7)</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PP-DocLayoutV3 integrated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Prompt-based layout inside the same VLM; matches DocLayout-YOLO-class performance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Uses PP-DocLayoutV3 (same as PaddleOCR-VL-1.5), so inherits its mAP</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 general VLM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DocVQA (%)</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235B variant (not the primary benchmark)</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 Baidu claims strong DocVQA in marketing materials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 paper notes strong doc-specific performance but does not report DocVQA explicitly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TextVQA (%)</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ChartQA (%)</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235B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(Baidu claims competitive vs Gemini on ChartQA)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InfoVQA (%)</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MMMU (%)</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235B</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Baidu claims strong MMMU in marketing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Receipt and bill specific</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Handwriting and low-quality scan robustness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(best 1-edit-distance on handwriting per Baidu evaluation)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Very strong: explicit Real5-OmniDocBench training and SOTA on skew, warp, scan, illumination, screen-photo scenarios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on multilingual and messy docs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Very strong; OmniDocBench v1.6 adds a Hard subset where it leads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(general-purpose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 OCR-specific evaluation yet)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high compression is tolerant of degraded input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"Thinking with Images" supports adaptive zoom for fine detail</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Weak on skew, warp, and low-quality input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Strong but slightly below PaddleOCR-VL-1.5 on handwritten text per Zhipu in-house eval. Very strong on seals (90.5, near Gemini 3 Pro 91.3) and on real-world tables.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Structured output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polygonal and irregular bbox plus Markdown and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plus layout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plus bbox plus reading order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via grounding prompts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bbox in response format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plus grounding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JSON bbox plus function calling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hOCR, ALTO XML, plain 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Markdown, HTML (for tables), and JSON (for KIE). Strict schema enforcement during IE mode.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Multi-page document handling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(pipeline)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cross-page table merging plus hierarchical heading identification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cross-page table merging, truncated-paragraph merging, sliding window and streaming writes for ultra-long docs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256K context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256K context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compression-optimized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via SDK pipeline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Streaming memory footprint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pipeline)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decoded tokens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(sliding window plus streaming disk writes for long docs)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Lower than peers (token compression)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decoded tokens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per page (decoupled layout plus recognition)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PDF-native input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PaddleOCR rendering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(built-in PDF rendering)</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PyMuPDF; note AGPL conflict)</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PDF, DOCX, PPTX, XLSX in 3.1.0</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external wrapper)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(built-in via SDK, which wraps PP-DocLayoutV3)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Multi-language support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80+ languages (PP-OCR historical strength)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111 languages per Baidu model card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100+ languages (Qwen2.5-VL-derived)</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language count; multilingual via vision backbone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100+ languages (Qwen3 family)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140+ languages pretrained (Gemma 4 spec sheet)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Multilingual; exact count DNA</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Chinese and English primary; multilingual via ERNIE backbone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100+ languages/scripts (legacy Tesseract strength)</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 languages officially: Chinese, English, French, Spanish, Russian, German, Japanese, Korean. Strongest on Chinese and English.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Hallucination rate on structured invoice fields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Integration and notes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PaddleOCR integration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Component (earlier MinerU versions bundled PaddleOCR as optional text stage; verify 3.1.0 deps)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 (same vendor; not yet integrated)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Component: directly uses PP-DocLayoutV3 from PaddleOCR as the layout stage. Swapping in or out of PaddleOCR-VL-1.5 is low cost.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Native KIE and structured JSON output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Via PP-ChatOCRv4 companion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JSON for tables)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(layout JSON: bbox, category, 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(prompt-driven)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function calling)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(Markdown plus grounding)</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(native function calling, JSON)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(text only)</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(dedicated IE mode with receipts, invoices, forms; 94.5 score on Zhipu in-house receipt KIE eval vs GPT-5.2 at 83.5)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Doc-tuned flag (Yes / Medium / No)</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(pure OCR pipeline)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(document-specialist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(document-parsing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(document-parsing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(document-parsing VLM with compression)</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Medium (general VLM with doc-oriented fine-tuning claimed)</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(classical OCR engine)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(document-specialist VLM)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Why you would pick this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Fastest and cheapest for pure text extraction; CPU friendly; proven in production</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SOTA in-the-wild robustness; native to PaddleOCR; compact 0.9B</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Unified single-VLM design; strongest table extraction for small-model size; MIT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Current SOTA on OmniDocBench v1.6 (95.69); multi-format native; new permissive license removes prior AGPL blocker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general-purpose VLM with massive context for multi-page documents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Newest; Apache 2.0; native function calling; strong long context</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Best throughput per page via token compression; 200k pages/day/A100 (v1); v2 adds reading-order improvements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Compact MoE with adaptive zoom for fine detail in documents and charts</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Established baseline floor</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Top OmniDocBench v1.5 score at 0.9B size; highest published receipt-KIE score (94.5) in any open model; MIT license; 2 to 4 GB VRAM footprint makes multi-replica scaling cheap. Best candidate for the Agilink use case per published numbers.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1 (for Muntaser to populate)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2 (for Muntaser to populate)</w:t>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319"/>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15390"/>
            <w:gridSpan w:val="1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Benchmark hardware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used for reported throughput numbers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T4 (PaddleOCR 3.0 tech report); Intel Xeon Gold 6271C for CPU numbers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Single NVIDIA A100, batch=512, 72 DPI, OmniDocBench v1.5</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A100 via vLLM 0.9.1 or later</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A100 (MinerU 2.5 paper; carries forward to Pro)</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Hardware not specified on OmniDocBench 2026-03-31 update</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NVIDIA A100-40G (v1 paper); v2 hardware DNA</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Single 80GB GPU cited in official deployment docs</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w:t>
            </w:r>
          </w:p>
        </w:tc>
        <w:tc>
          <w:tcPr>
            <w:tcW w:type="dxa" w:w="13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Hardware not specified in Zhipu paper beyond "identical hardware, single replica, single concurrency". Benchmark partner ecosystem suggests A100 class.</w:t>
            </w:r>
          </w:p>
        </w:tc>
      </w:tr>
    </w:tbl>
    <w:p>
      <w:pPr>
        <w:sectPr>
          <w:pgSz w:w="16838" w:h="11906" w:orient="landscape"/>
          <w:pgMar w:top="720" w:right="720" w:bottom="720" w:left="720" w:header="708" w:footer="708" w:gutter="0"/>
          <w:pgNumType/>
          <w:docGrid w:linePitch="360"/>
        </w:sectPr>
      </w:pPr>
    </w:p>
    <w:p>
      <w:pPr>
        <w:spacing w:after="200" w:before="300"/>
      </w:pPr>
      <w:r>
        <w:rPr>
          <w:rFonts w:ascii="Calibri" w:cs="Calibri" w:eastAsia="Calibri" w:hAnsi="Calibri"/>
          <w:b/>
          <w:bCs/>
          <w:sz w:val="24"/>
          <w:szCs w:val="24"/>
        </w:rPr>
        <w:t xml:space="preserve">Bridge note: comparability across Table A and Table B</w:t>
      </w:r>
    </w:p>
    <w:p>
      <w:pPr>
        <w:spacing w:after="200" w:before="0"/>
      </w:pPr>
      <w:r>
        <w:rPr>
          <w:rFonts w:ascii="Calibri" w:cs="Calibri" w:eastAsia="Calibri" w:hAnsi="Calibri"/>
          <w:sz w:val="20"/>
          <w:szCs w:val="20"/>
        </w:rPr>
        <w:t xml:space="preserve">The two tables use the same row schema for consistency but are not directly comparable on a row-by-row basis across tables. Table A models are document-parsing specialists, typically evaluated on OmniDocBench v1.5 or v1.6 and OCRBench v2, which are designed for document-layout-aware parsing with table, formula, and reading-order scoring. Table B models are general-purpose vision-language models, typically evaluated on DocVQA, ChartQA, and MMMU, which are designed for visual question answering rather than full document parsing.</w:t>
      </w:r>
    </w:p>
    <w:p>
      <w:pPr>
        <w:spacing w:after="200" w:before="0"/>
      </w:pPr>
      <w:r>
        <w:rPr>
          <w:rFonts w:ascii="Calibri" w:cs="Calibri" w:eastAsia="Calibri" w:hAnsi="Calibri"/>
          <w:sz w:val="20"/>
          <w:szCs w:val="20"/>
        </w:rPr>
        <w:t xml:space="preserve">A specialist model in Table A showing DNA for DocVQA has usually not been benchmarked on it (because DocVQA is not the primary benchmark for that model class), not failed on it. Likewise, a general VLM in Table B showing DNA for OmniDocBench has usually not been evaluated on that benchmark. The unified row schema supports reading convenience and ensures that any metric flagged as relevant by either evaluation is represented for every model, but cross-table ranking inferences drawn from the benchmark rows are not valid.</w:t>
      </w:r>
    </w:p>
    <w:p>
      <w:pPr>
        <w:spacing w:after="300" w:before="0"/>
      </w:pPr>
      <w:r>
        <w:rPr>
          <w:rFonts w:ascii="Calibri" w:cs="Calibri" w:eastAsia="Calibri" w:hAnsi="Calibri"/>
          <w:sz w:val="20"/>
          <w:szCs w:val="20"/>
        </w:rPr>
        <w:t xml:space="preserve">Deployment envelope also differs. Table A targets enterprise-GPU serving (1 to 4 A100 or H100 class cards) for high-throughput ingestion. Table B targets consumer-GPU or CPU-only deployment (RTX 3060 to 2 x RTX 4090) for lower-volume or edge use. Hardware cost floors and CPU viability rows reflect this difference explicitly.</w:t>
      </w:r>
    </w:p>
    <w:p>
      <w:pPr>
        <w:spacing w:after="200" w:before="0"/>
      </w:pPr>
      <w:r>
        <w:rPr>
          <w:rFonts w:ascii="Calibri" w:cs="Calibri" w:eastAsia="Calibri" w:hAnsi="Calibri"/>
          <w:b/>
          <w:bCs/>
          <w:sz w:val="26"/>
          <w:szCs w:val="26"/>
        </w:rPr>
        <w:t xml:space="preserve">Table B. Consumer-GPU General-VLM Shortlist (7 models, collaborator evaluation)</w:t>
      </w:r>
    </w:p>
    <w:p>
      <w:pPr>
        <w:sectPr>
          <w:pgSz w:w="11906" w:h="16838" w:orient="portrait"/>
          <w:pgMar w:top="1440" w:right="1440" w:bottom="1440" w:left="1440" w:header="708" w:footer="708" w:gutter="0"/>
          <w:pgNumType/>
          <w:docGrid w:linePitch="360"/>
        </w:sectPr>
      </w:pPr>
    </w:p>
    <w:tbl>
      <w:tblPr>
        <w:tblW w:type="dxa" w:w="15395"/>
        <w:tblBorders>
          <w:top w:val="single" w:color="auto" w:sz="4"/>
          <w:left w:val="single" w:color="auto" w:sz="4"/>
          <w:bottom w:val="single" w:color="auto" w:sz="4"/>
          <w:right w:val="single" w:color="auto" w:sz="4"/>
          <w:insideH w:val="single" w:color="auto" w:sz="4"/>
          <w:insideV w:val="single" w:color="auto" w:sz="4"/>
        </w:tblBorders>
      </w:tblPr>
      <w:tblGrid>
        <w:gridCol w:w="2200"/>
        <w:gridCol w:w="1885"/>
        <w:gridCol w:w="1885"/>
        <w:gridCol w:w="1885"/>
        <w:gridCol w:w="1885"/>
        <w:gridCol w:w="1885"/>
        <w:gridCol w:w="1885"/>
        <w:gridCol w:w="1885"/>
      </w:tblGrid>
      <w:tr>
        <w:trPr>
          <w:tblHeader/>
        </w:trPr>
        <w:tc>
          <w:tcPr>
            <w:tcW w:type="dxa" w:w="22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6"/>
                <w:szCs w:val="16"/>
              </w:rPr>
              <w:t xml:space="preserve">Attribute</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Llama 3.2-Vision 11B</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Qwen2-VL 7B</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LLaVA 1.6 34B</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DocLLM 7.4B</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Phi-3.5-Vision 4.2B</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Florence-2 Base 774M</w:t>
            </w:r>
          </w:p>
        </w:tc>
        <w:tc>
          <w:tcPr>
            <w:tcW w:type="dxa" w:w="1885"/>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vAlign w:val="center"/>
          </w:tcPr>
          <w:p>
            <w:pPr>
              <w:spacing w:after="0" w:before="0"/>
              <w:jc w:val="left"/>
            </w:pPr>
            <w:r>
              <w:rPr>
                <w:rFonts w:ascii="Calibri" w:cs="Calibri" w:eastAsia="Calibri" w:hAnsi="Calibri"/>
                <w:b/>
                <w:bCs/>
                <w:color w:val="FFFFFF"/>
                <w:sz w:val="14"/>
                <w:szCs w:val="14"/>
              </w:rPr>
              <w:t xml:space="preserve">Molmo 7B</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Identity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Developer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Meta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Alibaba Cloud (Qwen team)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Haotian Liu et al. (LLaVA team), academic release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JPMorgan Chase AI Research</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Microsoft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Microsoft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Allen Institute for AI (AllenAI)</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Release date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September 2024 (11B Vision Instruct)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September 2024</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January 2024</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January 2024 (research release)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August 2024</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June 2024</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September 2024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License (verified from primary source)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Llama 3.2 Community License (not Apache 2.0). Has a 700M MAU commercial threshold clause; verify before large-scale deployment.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 (cleanest commercial terms in the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CC BY-NC-4.0 (non-commercial use only). Hard commercial blocker.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 (most permissive in the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Apache 2.0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Model card / repo</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meta-llama/Llama-3.2-11B-Vision-Instruct on Hugging Face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Qwen/Qwen2-VL-7B-Instruct on Hugging Face; arXiv 2409.12191</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liuhaotian/llava-v1.6-34b on Hugging Face; arXiv 2310.03744</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srymbkw/docllm (unofficial); arXiv 2401.00908. No official Hugging Face release from JPMorgan.</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microsoft/Phi-3.5-vision-instruct on Hugging Face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microsoft/Florence-2-base on Hugging Face; arXiv 2311.06242</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allenai/Molmo-7B-D-0924 on Hugging Face; arXiv 2409.17146</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Architecture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Type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Decoder-only VLM; vision features injected via cross-attention adapter layers into Llama 3.1 11B backbone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Encoder-decoder VLM with Naive Dynamic Resolution (NDR): processes images at native resolution, divides into variable-length patch sequences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CLIP ViT-L/14@336px vision encoder + Yi-34B language backbone; MLP projection layer (2-layer) connects vision features to language embedding space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Disjoint attention transformer: extends LLaMA with spatially-aware attention. Text tokens and bounding box coordinate tokens attend separately, then cross-attend. Only Table B model with explicit 2D spatial layout modelling baked into architecture (not just vision encoder).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Phi-3-mini (3.8B) language model + CLIP ViT-L/14@336px vision encoder; MLP projection</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DaViT (Dual Attention Vision Transformer) image encoder + BART-based sequence-to-sequence language decoder. Task-prompted architecture: a single model activated by different prompt tokens for different tasks (OCR, captioning, object detection, grounding, segmentation).</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OpenAI CLIP ViT-L/14@336px vision encoder + OLMo 7B language model; MLP connector. Trained exclusively on open-data (PixMo dataset, crowd-sourced annotations, fully open provenance).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Total parameters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11B (all active, dense, not MoE)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7B (all active, dense)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34B (all active, dense, no MoE)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7.4B (all active)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4.2B (all active, dense)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774M (all active, dense)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7B (all active, dense)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Active parameters (MoE)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Vision encoder</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SigLIP (supports 224px and 448px tiling); image chunked into tiles, each processed separately then flattened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ViT with RoPE-2D positional embeddings (encodes 2D spatial position, not just sequence position)</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CLIP ViT-L/14@336px. Image tiling up to 6 tiles at 336px each, enabling higher effective resolution than earlier LLaVA versions.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as a standalone encoder. Uses bounding box coordinate tokens (x1, y1, x2, y2) embedded alongside text tokens; model learns spatial layout relationships directly.</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CLIP ViT-L/14@336px. Image tiling up to 16 tiles at 336px, enabling high-resolution input without resizing.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DaViT (Dual Attention Vision Transformer)</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OpenAI CLIP ViT-L/14@336px</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window</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128K text-only; 8K with image input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32K (longest native context in the Table B shortlist at this hardware tier; handles 10 to 12 invoice pages without chunking)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4K tokens hard limit (single page maximum; most significant architectural constraint)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4K tokens (single page; same ceiling as LLaVA 34B)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128K tokens (only Table B model with this context length; theoretical 40+ invoice pages)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Very large token capacity; constant memory footprint regardless of document length (decoupled architecture does not accumulate KV cache across pages)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8K tokens (same as Llama 3.2-Vision; single-page effective limit for invoices)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Context caveats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Drops from 128K text-only to 8K with image input. 8K is the operative limit for invoice use.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Dynamic resolution means token count per image varies. Unpredictable VRAM spikes on high-DPI input.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4K ceiling means single-page only. Multi-page invoices must be chunked externally.</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4K ceiling, single page.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128K headline, but image-token budget consumes context aggressively. Monitor VRAM at long documents.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Decoupled architecture: constant memory, no KV cache accumulation. Different context model from autoregressive VLMs.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8K ceiling, single page. Same effective limit as Llama 3.2-Vision.</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Enterprise GPU deployment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(FP16 / BF16 serving)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3090 (16GB) at fp16</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3080 (12GB) at fp16</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A10G (24GB) or 2 x RTX 4090 (48GB combined). No consumer single-GPU path exists.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3080 (12GB)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3080 (~10 to 12GB at fp16)</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viable on 4GB RAM with no GPU (lowest hardware requirement in the Table B shortlist). GPU optional but accelerates meaningfully.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 x RTX 3080 (12GB) at fp16</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Minimum GPUs (INT8 / INT4 quantized)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quantized (GGUF via llama.cpp or AWQ): fits in ~6 to 8GB, so RTX 3070/3080 viable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(AWQ or GPTQ): ~6 to 7GB, RTX 3060 viable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possible via GPTQ but inference slows significantly and quality degrades more than at 7 to 11B scale. Does not rescue the hardware situation meaningfully.</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supported (no specific GPU floor documented in primary sources)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via GGUF: fits in ~3 to 4GB. RTX 3060 8GB is the minimum deployment; at int4 it is the lowest GPU requirement in the Table B shortlist.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viable at fp16 already on 4GB RAM; int4 would further reduce footprint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Int4 quantization: UNTESTED as of April 2026. No published results; deployment planning is guesswork without running your own quantization eval.</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Recommended serving framework</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(first choice), Ollama, TGI, LM Studio, llama.cpp</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(strong support), SGLang, Ollama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vLLM multi-GPU, SGLang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 Transformers (vLLM integration incomplete; check current status before deploying)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Ollama, HuggingFace Transformers, llama.cpp, vLLM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 Transformers pipeline (own pipeline architecture, not vLLM compatible)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HuggingFace Transformers (vLLM support partial/experimental; verify current state)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Multi-GPU scaling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 across 2+ GPUs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via vLLM or SGLang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Tensor parallel across 2 GPUs (required at RTX 4090 tier)</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official multi-GPU guidance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typically multi-GPU at 4.2B scale; single-GPU deployment is the norm</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multi-GPU serving needed at this model size (774M)</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Multi-GPU not well-documented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CPU viability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at 11B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at 7B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at 34B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at 7.4B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~5 to 8 tok/s on CPU. Only full-VLM in Table B with usable CPU inference.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~15 to 20 tok/s on CPU, usable for moderate volumes. Lowest hardware bar in Table 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practical at 7B</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cost floor (USD)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~$1,500 to $2,000 (RTX 3090 16GB)</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~$700 (RTX 3080 12GB)</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$8K to $20K GPU investment (A10G 24GB or 2 x RTX 4090)</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~$700 (RTX 3080 12GB)</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~$400 (RTX 3060 8GB at int4)</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$0 (CPU viable at 4GB RAM)</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~$700 (RTX 3080 12GB)</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cost notes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 (cheapest at 7B/12GB)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Enterprise-only; no consumer GPU path exists at 34B scale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 cheapest in Table B</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CPU-only path makes this free in hardware terms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Consumer-viable</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Throughput and latency (A100 reference for Table A where published)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(batch=1)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~40 tok/s at fp16 on RTX 3090 (batch=1)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~45 tok/s at fp16 on RTX 3080 (batch=1); slightly faster than Llama 3.2 at lower VRAM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~25 tok/s at fp16 on 2 x RTX 4090 (slowest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~42 tok/s at fp16 on RTX 3080 (similar to Qwen2-VL at 7B scale)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~60 tok/s at int4 on RTX 3060 (fastest inference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 tok/s on GPU (fastest in Table B shortlist). CPU: ~15 to 20 tok/s (actually usable for moderate volumes).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~38 tok/s at fp16 on RTX 3080 (slowest 7B model in Table B shortlist; Qwen2-VL is ~45 tok/s at the same hardware tier)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second (max batch)</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Batched throughput scales well with vLLM continuous batching (exact numbers not published)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Batched throughput strong with vLLM continuous batching (exact numbers not published)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Batching limited by 48GB VRAM ceiling; batch size constrained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published batched throughput numbers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for batched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Not applicable for vLLM-style batching (own pipeline architecture)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Batched throughput limited by experimental vLLM support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Approx 0.5 to 1.0 pages/sec for typical invoice output length at batch=1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pages/sec; 32K context means long invoices processed in one pass (no chunking overhead)</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 to 5 seconds per invoice page at batch=1 (so 0.2 to 0.33 pages/sec). 100 invoices takes ~8 minutes in model inference time alone.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128K context allows long documents but memory cost grows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published pages/sec benchmark on document tasks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published pages/sec benchmarks on document tasks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Pages per second (batched)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Batching limited by 48GB VRAM ceiling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Tokens per document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P50 latency per page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P99 latency per page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 modern document-parsing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v1.5 composite (higher is better)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 on OmniDocBench; Meta reports DocVQA/ChartQA instead)</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(Qwen2-VL is a general VLM; OmniDocBench entry is for later Qwen3-VL-235B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 on OmniDocBench)</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(not evaluated; task-prompted VLM, not a document parser per se)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OmniDocBench text edit distance (lower is better)</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English average (2026-03)</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OCRBench v2 private leaderboard, Chinese average (2026-03)</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Legacy OCRBench v1 (text recognition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74.9%</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80.7% (highest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67.3%</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DocLLM paper focuses on document-specific evaluation</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68.4%</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exact as a percentage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~65% (estimated)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Table TEDS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Formula CDM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Layout detection mAP</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 explicit layout detection; end-to-end VLM)</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 (architecture uses bbox tokens as input, not a separate layout detector)</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Florence-2 has an explicit &lt;OD&gt; (object detection) mode with its own mAP; DNA exact for document layout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Accuracy benchmarks: general VLM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DocVQA (%)</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82.0%</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79.4%</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85.0% (highest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~81% on document-specific benchmarks (strong for 7B given document-specific pretraining)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75.0%</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73.0% (lowest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77.0%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TextVQA (%)</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77.3%</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84.3% (highest in Table B shortlist)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80.5%</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72.0%</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~60%</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73.0%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ChartQA (%)</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83.4%</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83.0%</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81.1%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76.1%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InfoVQA (%)</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68.2%</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55.8% (lowest in Table B shortlist)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MMMU (%)</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60.3%</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54.1%</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62.7% (highest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54.0%</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~35% (lowest in Table B shortlist)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52.0%</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Receipt and bill specific</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Handwriting and low-quality scan robustness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Known to hallucinate on complex or non-standard invoice layouts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high-DPI invoice scans are slower due to dynamic patching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general VLM, not document-tuned</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Lower hallucination rate on structured invoice fields than all general VLMs in Table B (most important accuracy characteristic for accounting use per DocLLM paper)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Moderate; general VLM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Task-specific prompting can improve extraction on individual fields, but general reasoning limited by 774M capacity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no advantage over Qwen2-VL on any benchmark relevant to invoice extraction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Structured output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JSON via prompting (no native bbox output)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 bbox supported via grounding mode in Qwen2-VL-specific prompts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 limited native structured output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native bbox tokens in architecture but limited downstream tooling (research release)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JSON via prompting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structured output per task prompt (&lt;OCR&gt;, &lt;CAPTION&gt;, &lt;OD&gt;, etc.); designed for structured modes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Multi-page document handling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(8K effective context with image)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32K context; handles 10 to 12 invoice pages without chunking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(4K hard limit)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(4K hard limit)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Native via 128K context (theoretical 40+ invoice pages)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memory footprint regardless of length; decoupled architecture does not accumulate KV cache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Page by page (8K)</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Streaming memory footprint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dynamic resolution means unpredictable VRAM spikes on high-DPI input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(4K cap bounds worst case)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 128K nominal capacity but monitor at long docs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Constant (decoupled architecture does not accumulate KV cache across pages). Meaningful operational advantage.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Grows with context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PDF-native input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external wrapper)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(PDF via external wrapper)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(research release)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 own pipeline does not include PDF rendering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Image-only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Multi-language support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Multilingual (Llama 3.2 supports many languages)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CJK specialized (Chinese, Japanese, Korean primary)</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Limited multilingual; English-primary</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English-first (JPMorgan training data dominated by English financial docs)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Limited multilingual</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Multilingual via task prompts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Limited (English-primary; PixMo dataset is English-heavy)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Hallucination rate on structured invoice fields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Known to hallucinate on complex or non-standard invoice layouts (flagged in Table B source)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(general VLM)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(general VLM)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Lowest in Table B per DocLLM paper (explicit design goal of spatial-aware training)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 small model capacity limits reliable reasoning on ambiguous fields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DNA</w:t>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Integration and notes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PaddleOCR integration</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Parallel pipeline only</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Native KIE and structured JSON output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prompting; reliable but not schema-enforced)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(bbox-aware but limited downstream tooling)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(via prompting)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(task-prompted, schema-oriented)</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Partial (JSON via prompting)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Doc-tuned flag (Yes / Medium / No)</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Medium (general VLM with some doc tuning)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Medium (general VLM; some OCR tuning)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(explicit document pretraining)</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Yes (task-prompted architecture including OCR)</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No (general VLM, open-data focus)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Why you would pick this</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Largest general VLM in Table B; strong DocVQA; Meta backing and vLLM support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Cleanest license (Apache 2.0) and longest native context (32K) in Table B; handles 10 to 12 invoice pages without chunking</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Highest DocVQA in Table B (85%); use if accuracy is paramount and 2x RTX 4090 hardware is available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Only Table B model with explicit 2D spatial layout modelling; lowest hallucination on structured invoice fields. CC BY-NC-4.0 blocks commercial use.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Lowest GPU requirement in Table B (RTX 3060 at int4); fastest inference (60 tok/s); 128K context; MIT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Only full-VLM in Table B with CPU viability (4GB RAM); fastest inference on CPU; MIT; smallest</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Fully open training provenance (PixMo dataset); Apache 2.0; comparable to Qwen2-VL but without the CJK advantage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1 (for Muntaser to populate)</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Blank row 2 (for Muntaser to populate)</w:t>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c>
          <w:tcPr>
            <w:tcW w:type="dxa" w:w="1885"/>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
            </w:r>
          </w:p>
        </w:tc>
      </w:tr>
      <w:tr>
        <w:tc>
          <w:tcPr>
            <w:tcW w:type="dxa" w:w="15395"/>
            <w:gridSpan w:val="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jc w:val="left"/>
            </w:pPr>
            <w:r>
              <w:rPr>
                <w:rFonts w:ascii="Calibri" w:cs="Calibri" w:eastAsia="Calibri" w:hAnsi="Calibri"/>
                <w:b/>
                <w:bCs/>
                <w:color w:val="FFFFFF"/>
                <w:sz w:val="18"/>
                <w:szCs w:val="18"/>
              </w:rPr>
              <w:t xml:space="preserve">Benchmark hardware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alibri" w:cs="Calibri" w:eastAsia="Calibri" w:hAnsi="Calibri"/>
                <w:b/>
                <w:bCs/>
                <w:color w:val="000000"/>
                <w:sz w:val="14"/>
                <w:szCs w:val="14"/>
              </w:rPr>
              <w:t xml:space="preserve">Hardware used for reported throughput numbers</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3090 16GB (collaborator eval target)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3080 12GB (collaborator eval target)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2 x RTX 4090 48GB combined (collaborator eval target)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3080 12GB (collaborator eval target)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3060 8GB at int4 (collaborator eval target)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CPU / 4GB RAM reference (collaborator eval target)</w:t>
            </w:r>
          </w:p>
        </w:tc>
        <w:tc>
          <w:tcPr>
            <w:tcW w:type="dxa" w:w="1885"/>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alibri" w:cs="Calibri" w:eastAsia="Calibri" w:hAnsi="Calibri"/>
                <w:b w:val="false"/>
                <w:bCs w:val="false"/>
                <w:color w:val="000000"/>
                <w:sz w:val="13"/>
                <w:szCs w:val="13"/>
              </w:rPr>
              <w:t xml:space="preserve">RTX 3080 12GB (collaborator eval target)</w:t>
            </w:r>
          </w:p>
        </w:tc>
      </w:tr>
    </w:tbl>
    <w:p>
      <w:pPr>
        <w:sectPr>
          <w:pgSz w:w="16838" w:h="11906" w:orient="landscape"/>
          <w:pgMar w:top="720" w:right="720" w:bottom="720" w:left="720" w:header="708" w:footer="708" w:gutter="0"/>
          <w:pgNumType/>
          <w:docGrid w:linePitch="360"/>
        </w:sectPr>
      </w:pPr>
    </w:p>
    <w:p>
      <w:pPr>
        <w:spacing w:after="120" w:before="400"/>
      </w:pPr>
      <w:r>
        <w:rPr>
          <w:rFonts w:ascii="Calibri" w:cs="Calibri" w:eastAsia="Calibri" w:hAnsi="Calibri"/>
          <w:b/>
          <w:bCs/>
          <w:sz w:val="22"/>
          <w:szCs w:val="22"/>
        </w:rPr>
        <w:t xml:space="preserve">Notes on licensing across both tables</w:t>
      </w:r>
    </w:p>
    <w:p>
      <w:pPr>
        <w:spacing w:after="200" w:before="0"/>
      </w:pPr>
      <w:r>
        <w:rPr>
          <w:rFonts w:ascii="Calibri" w:cs="Calibri" w:eastAsia="Calibri" w:hAnsi="Calibri"/>
          <w:sz w:val="20"/>
          <w:szCs w:val="20"/>
        </w:rPr>
        <w:t xml:space="preserve">Across Table A, six models are clean Apache 2.0: PP-OCRv5, PaddleOCR-VL-1.5, Qwen3-VL-235B, Gemma 4 26B A4B, ERNIE-4.5-VL-28B-A3B, and Tesseract 5. MinerU 2.5-Pro is under a custom "MinerU Open Source License" based on Apache 2.0 (adopted in 3.1.0, which stripped out AGPL components to enable this). DeepSeek-OCR 2 has Apache 2.0 code plus a DeepSeek Model License for weights (OpenRAIL-derived with use-based restrictions but permits commercial deployment). dots.ocr is MIT with an unresolved conflict with a secondary repo license file and an AGPL PyMuPDF dependency. GLM-OCR is MIT (model) plus Apache 2.0 (layout module).</w:t>
      </w:r>
    </w:p>
    <w:p>
      <w:pPr>
        <w:spacing w:after="200" w:before="0"/>
      </w:pPr>
      <w:r>
        <w:rPr>
          <w:rFonts w:ascii="Calibri" w:cs="Calibri" w:eastAsia="Calibri" w:hAnsi="Calibri"/>
          <w:sz w:val="20"/>
          <w:szCs w:val="20"/>
        </w:rPr>
        <w:t xml:space="preserve">Across Table B, Qwen2-VL (Apache 2.0), LLaVA 1.6 (Apache 2.0), Phi-3.5-Vision (MIT), Florence-2 (MIT), and Molmo 7B (Apache 2.0) are commercial-friendly. Llama 3.2-Vision uses the Llama 3.2 Community License, which imposes a 700M monthly-active-user threshold requiring commercial negotiation at scale; for Agilink-scale deployment this is low risk but should be verified. DocLLM is CC BY-NC-4.0 and is a hard commercial blocker: non-commercial use only. Including DocLLM in a production pipeline would require either relicensing from JPMorgan Chase (unlikely) or reimplementing the disjoint-attention architecture independently.</w:t>
      </w:r>
    </w:p>
    <w:p>
      <w:pPr>
        <w:spacing w:after="120" w:before="200"/>
      </w:pPr>
      <w:r>
        <w:rPr>
          <w:rFonts w:ascii="Calibri" w:cs="Calibri" w:eastAsia="Calibri" w:hAnsi="Calibri"/>
          <w:b/>
          <w:bCs/>
          <w:sz w:val="22"/>
          <w:szCs w:val="22"/>
        </w:rPr>
        <w:t xml:space="preserve">Notes on benchmark relevance for receipts and bills</w:t>
      </w:r>
    </w:p>
    <w:p>
      <w:pPr>
        <w:spacing w:after="200" w:before="0"/>
      </w:pPr>
      <w:r>
        <w:rPr>
          <w:rFonts w:ascii="Calibri" w:cs="Calibri" w:eastAsia="Calibri" w:hAnsi="Calibri"/>
          <w:sz w:val="20"/>
          <w:szCs w:val="20"/>
        </w:rPr>
        <w:t xml:space="preserve">OmniDocBench v1.5 and v1.6 are weighted toward academic papers, financial reports, newspapers, textbooks, and handwritten notes. OCRBench v2 covers a wider range of scenarios but does not expose a dedicated receipt subset. DocVQA, TextVQA, ChartQA, and InfoVQA are general visual-question-answering benchmarks that are not specific to receipts. For the Agilink use case, the most diagnostic rows in both tables are: table TEDS (for line-item accuracy), handwriting and low-quality scan robustness, PDF-native input, streaming memory footprint, hallucination rate on structured invoice fields, and the receipt-specific KIE score where published (notably GLM-OCR at 94.5 in its in-house evaluation). Final ranking for the pipeline will require benchmarking on a representative sample of Agilink-style documents, which is why the two blank annotation rows are included in both tables.</w:t>
      </w:r>
    </w:p>
    <w:p>
      <w:pPr>
        <w:spacing w:after="120" w:before="200"/>
      </w:pPr>
      <w:r>
        <w:rPr>
          <w:rFonts w:ascii="Calibri" w:cs="Calibri" w:eastAsia="Calibri" w:hAnsi="Calibri"/>
          <w:b/>
          <w:bCs/>
          <w:sz w:val="22"/>
          <w:szCs w:val="22"/>
        </w:rPr>
        <w:t xml:space="preserve">Shortlist extensions and exclusions</w:t>
      </w:r>
    </w:p>
    <w:p>
      <w:pPr>
        <w:spacing w:after="0" w:before="0"/>
      </w:pPr>
      <w:r>
        <w:rPr>
          <w:rFonts w:ascii="Calibri" w:cs="Calibri" w:eastAsia="Calibri" w:hAnsi="Calibri"/>
          <w:sz w:val="20"/>
          <w:szCs w:val="20"/>
        </w:rPr>
        <w:t xml:space="preserve">Table A was constructed around document-parsing specialists evaluated on OmniDocBench and OCRBench v2. Table B was constructed around general-purpose VLMs at consumer-GPU scale. Models considered but not included in Table A: EasyOCR (known to confuse currency "$" with "8" on receipts per third-party evaluations), DocLayout-YOLO standalone (layout-only, not a full OCR pipeline), Nougat (academic-parsing specialist, not receipt-oriented). Models considered but not included in Table B: various general VLMs below 774M parameters which lack usable OCR capability. GLM-OCR was the most recent addition to Table A (added after initial shortlist agreement); MinerU 2.5-Pro replaced MinerU 2.5 base after the April 10 2026 release. If the two tables converge in future revisions, candidates for cross-listing include Qwen3-VL-235B (Table A) and Qwen2-VL 7B (Table B) since they are from the same model family at different scales.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2026-04-24T15:12:15.832Z</dcterms:created>
  <dcterms:modified xsi:type="dcterms:W3CDTF">2026-04-24T15:12:15.834Z</dcterms:modified>
</cp:coreProperties>
</file>

<file path=docProps/custom.xml><?xml version="1.0" encoding="utf-8"?>
<Properties xmlns="http://schemas.openxmlformats.org/officeDocument/2006/custom-properties" xmlns:vt="http://schemas.openxmlformats.org/officeDocument/2006/docPropsVTypes"/>
</file>