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VLM Benchmark Table v7</w:t>
      </w:r>
    </w:p>
    <w:p>
      <w:pPr>
        <w:spacing w:after="60" w:before="60"/>
      </w:pPr>
      <w:r>
        <w:rPr>
          <w:i/>
          <w:iCs/>
          <w:sz w:val="15"/>
          <w:szCs w:val="15"/>
        </w:rPr>
        <w:t xml:space="preserve">Revision scope: Gemma rows only. All non-Gemma rows are carried over unchanged from v6. Cell shading: green = verified or corrected from a primary source in this revision; amber with a tilde = extrapolated, not measured and not reported; grey = NR (not reported) or n/e (not estimated).</w:t>
      </w:r>
    </w:p>
    <w:p>
      <w:pPr>
        <w:pStyle w:val="Heading2"/>
      </w:pPr>
      <w:r>
        <w:t xml:space="preserve">Table 1. Specifications, capacity, and throughput</w:t>
      </w:r>
    </w:p>
    <w:tbl>
      <w:tblPr>
        <w:tblW w:type="dxa" w:w="1255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850"/>
        <w:gridCol w:w="1800"/>
        <w:gridCol w:w="1600"/>
        <w:gridCol w:w="1000"/>
        <w:gridCol w:w="800"/>
        <w:gridCol w:w="1300"/>
        <w:gridCol w:w="1400"/>
        <w:gridCol w:w="95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left"/>
            </w:pPr>
            <w:r>
              <w:rPr>
                <w:b/>
                <w:bCs/>
                <w:sz w:val="15"/>
                <w:szCs w:val="15"/>
              </w:rPr>
              <w:t xml:space="preserve">Model</w:t>
            </w:r>
          </w:p>
        </w:tc>
        <w:tc>
          <w:tcPr>
            <w:tcW w:type="dxa" w:w="9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Developer</w:t>
            </w:r>
          </w:p>
        </w:tc>
        <w:tc>
          <w:tcPr>
            <w:tcW w:type="dxa" w:w="8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Released</w:t>
            </w:r>
          </w:p>
        </w:tc>
        <w:tc>
          <w:tcPr>
            <w:tcW w:type="dxa" w:w="18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Parameters</w:t>
            </w:r>
          </w:p>
        </w:tc>
        <w:tc>
          <w:tcPr>
            <w:tcW w:type="dxa" w:w="16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Modalities</w:t>
            </w:r>
          </w:p>
        </w:tc>
        <w:tc>
          <w:tcPr>
            <w:tcW w:type="dxa" w:w="10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License</w:t>
            </w:r>
          </w:p>
        </w:tc>
        <w:tc>
          <w:tcPr>
            <w:tcW w:type="dxa" w:w="8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Context</w:t>
            </w:r>
          </w:p>
        </w:tc>
        <w:tc>
          <w:tcPr>
            <w:tcW w:type="dxa" w:w="13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VRAM (bf16)</w:t>
            </w:r>
          </w:p>
        </w:tc>
        <w:tc>
          <w:tcPr>
            <w:tcW w:type="dxa" w:w="14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throughput (tok/s, H100)</w:t>
            </w:r>
          </w:p>
        </w:tc>
        <w:tc>
          <w:tcPr>
            <w:tcW w:type="dxa" w:w="9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H100 Fits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E2B (it)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Google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Apr 2026</w:t>
            </w:r>
          </w:p>
        </w:tc>
        <w:tc>
          <w:tcPr>
            <w:tcW w:type="dxa" w:w="18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2.3B effective, 5B total (PLE)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 audio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128K</w:t>
            </w:r>
          </w:p>
        </w:tc>
        <w:tc>
          <w:tcPr>
            <w:tcW w:type="dxa" w:w="13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4.6 GB</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328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E4B (it)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Google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Apr 2026</w:t>
            </w:r>
          </w:p>
        </w:tc>
        <w:tc>
          <w:tcPr>
            <w:tcW w:type="dxa" w:w="18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4.5B effective, 8B total (PLE)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 audio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128K</w:t>
            </w:r>
          </w:p>
        </w:tc>
        <w:tc>
          <w:tcPr>
            <w:tcW w:type="dxa" w:w="13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9.0 GB</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168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SmolVLM2-2.2B-Instruct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Hugging Face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Feb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2.2B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Image, multi-image, video, text</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~4.4 GB</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343</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Qwen3-VL-4B-Instruct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Alibaba</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Oct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262K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 GB</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188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4B (it)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Google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Mar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Gemma</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128K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 GB</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188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Phi-4-multimodal-instruct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Microsoft</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Feb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5.6B (LoRA adapters)</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speech/audio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MIT</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128K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~11 GB</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135</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Qwen2.5-VL-7B-Instruct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Alibaba</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Jan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~32K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~16 GB</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108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Qwen3-VL-8B-Instruct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Alibaba</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Oct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262K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~16 GB</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94</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InternVL3-8B (hf)</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OpenGVLab</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Apr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~16 GB</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94</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12B (it)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Google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Mar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12B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Gemma</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128K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~24 GB</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63</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12B (it)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Google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Apr 2026</w:t>
            </w:r>
          </w:p>
        </w:tc>
        <w:tc>
          <w:tcPr>
            <w:tcW w:type="dxa" w:w="18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12B dense (encoder-free)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 audio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256K</w:t>
            </w:r>
          </w:p>
        </w:tc>
        <w:tc>
          <w:tcPr>
            <w:tcW w:type="dxa" w:w="13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24.0 GB</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63</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InternVL3-14B</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OpenGVLab</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Apr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14B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~28 GB</w:t>
            </w:r>
          </w:p>
        </w:tc>
        <w:tc>
          <w:tcPr>
            <w:tcW w:type="dxa" w:w="14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26B-A4B (it)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Google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Apr 2026</w:t>
            </w:r>
          </w:p>
        </w:tc>
        <w:tc>
          <w:tcPr>
            <w:tcW w:type="dxa" w:w="18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26B total, 3.8B active (MoE)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256K</w:t>
            </w:r>
          </w:p>
        </w:tc>
        <w:tc>
          <w:tcPr>
            <w:tcW w:type="dxa" w:w="13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52.0 GB / 7.6 active</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198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27B (it)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Google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Mar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27B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Gemma</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128K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~54 GB</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Qwen3-VL-30B-A3B-Instruct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Alibaba</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Oct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30B total, ~3B active (MoE)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262K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~60 GB</w:t>
            </w:r>
          </w:p>
        </w:tc>
        <w:tc>
          <w:tcPr>
            <w:tcW w:type="dxa" w:w="14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Qwen2.5-VL-32B-Instruct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Alibaba</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Mar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32B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~32K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~64 GB</w:t>
            </w:r>
          </w:p>
        </w:tc>
        <w:tc>
          <w:tcPr>
            <w:tcW w:type="dxa" w:w="14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Qwen3-VL-32B-Instruct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Alibaba</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Oct 2025</w:t>
            </w:r>
          </w:p>
        </w:tc>
        <w:tc>
          <w:tcPr>
            <w:tcW w:type="dxa" w:w="1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32B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262K</w:t>
            </w:r>
          </w:p>
        </w:tc>
        <w:tc>
          <w:tcPr>
            <w:tcW w:type="dxa" w:w="130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~64 GB</w:t>
            </w:r>
          </w:p>
        </w:tc>
        <w:tc>
          <w:tcPr>
            <w:tcW w:type="dxa" w:w="14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Yes*</w:t>
            </w:r>
          </w:p>
        </w:tc>
      </w:tr>
      <w:tr>
        <w:tc>
          <w:tcPr>
            <w:tcW w:type="dxa" w:w="19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31B (it)</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Google</w:t>
            </w:r>
          </w:p>
        </w:tc>
        <w:tc>
          <w:tcPr>
            <w:tcW w:type="dxa" w:w="8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Apr 2026</w:t>
            </w:r>
          </w:p>
        </w:tc>
        <w:tc>
          <w:tcPr>
            <w:tcW w:type="dxa" w:w="18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31B dense</w:t>
            </w:r>
          </w:p>
        </w:tc>
        <w:tc>
          <w:tcPr>
            <w:tcW w:type="dxa" w:w="16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Text, image, video</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Apache-2.0</w:t>
            </w:r>
          </w:p>
        </w:tc>
        <w:tc>
          <w:tcPr>
            <w:tcW w:type="dxa" w:w="8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256K</w:t>
            </w:r>
          </w:p>
        </w:tc>
        <w:tc>
          <w:tcPr>
            <w:tcW w:type="dxa" w:w="13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64.0 GB</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24</w:t>
            </w:r>
          </w:p>
        </w:tc>
        <w:tc>
          <w:tcPr>
            <w:tcW w:type="dxa" w:w="9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Yes*</w:t>
            </w:r>
          </w:p>
        </w:tc>
      </w:tr>
    </w:tbl>
    <w:p>
      <w:pPr>
        <w:spacing w:after="60" w:before="60"/>
      </w:pPr>
      <w:r>
        <w:rPr>
          <w:i/>
          <w:iCs/>
          <w:sz w:val="15"/>
          <w:szCs w:val="15"/>
        </w:rPr>
        <w:t xml:space="preserve">*: Some quantization may be needed for full context window availability. Gemma 4 parameter counts and VRAM are now taken from the Gemma 4 technical report (arXiv 2607.02770), which reports measured bf16 footprints rather than parameter estimates: E2B 4.6, E4B 9.0, 12B 24.0, 26B-A4B 52.0 total with 7.6 active, 31B 64.0 GB. E2B and E4B are 2.3B and 4.5B effective out of 5B and 8B total via per-layer embeddings. The MoE activates 3.8B parameters per token.</w:t>
      </w:r>
    </w:p>
    <w:p>
      <w:pPr>
        <w:spacing w:after="60" w:before="60"/>
      </w:pPr>
      <w:r>
        <w:rPr>
          <w:i/>
          <w:iCs/>
          <w:sz w:val="15"/>
          <w:szCs w:val="15"/>
        </w:rPr>
        <w:t xml:space="preserve">Gemma 4 31B H100 Fits is corrected from No to Yes* in this revision: the report gives 64.0 GB of bf16 weights plus 1.10 GB of int8 KV cache at 32k, so roughly 73 GB at 256k context, which fits inside 80 GB but leaves little headroom.</w:t>
      </w:r>
    </w:p>
    <w:p>
      <w:pPr>
        <w:pStyle w:val="Heading2"/>
      </w:pPr>
      <w:r>
        <w:t xml:space="preserve">Table 2. Published benchmark scores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4"/>
        <w:gridCol w:w="1508"/>
        <w:gridCol w:w="1508"/>
        <w:gridCol w:w="1508"/>
        <w:gridCol w:w="1508"/>
        <w:gridCol w:w="1508"/>
        <w:gridCol w:w="1508"/>
        <w:gridCol w:w="1508"/>
      </w:tblGrid>
      <w:tr>
        <w:trPr>
          <w:tblHeader/>
        </w:trPr>
        <w:tc>
          <w:tcPr>
            <w:tcW w:type="dxa" w:w="2404"/>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left"/>
            </w:pPr>
            <w:r>
              <w:rPr>
                <w:b/>
                <w:bCs/>
                <w:sz w:val="15"/>
                <w:szCs w:val="15"/>
              </w:rPr>
              <w:t xml:space="preserve">Model</w:t>
            </w:r>
          </w:p>
        </w:tc>
        <w:tc>
          <w:tcPr>
            <w:tcW w:type="dxa" w:w="1508"/>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MMMU val (%)</w:t>
            </w:r>
          </w:p>
        </w:tc>
        <w:tc>
          <w:tcPr>
            <w:tcW w:type="dxa" w:w="1508"/>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MMMU-Pro (%)</w:t>
            </w:r>
          </w:p>
        </w:tc>
        <w:tc>
          <w:tcPr>
            <w:tcW w:type="dxa" w:w="1508"/>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DocVQA test (%)</w:t>
            </w:r>
          </w:p>
        </w:tc>
        <w:tc>
          <w:tcPr>
            <w:tcW w:type="dxa" w:w="1508"/>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ChartQA test (%)</w:t>
            </w:r>
          </w:p>
        </w:tc>
        <w:tc>
          <w:tcPr>
            <w:tcW w:type="dxa" w:w="1508"/>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AI2D test (%)</w:t>
            </w:r>
          </w:p>
        </w:tc>
        <w:tc>
          <w:tcPr>
            <w:tcW w:type="dxa" w:w="1508"/>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OCRBench (/1000)</w:t>
            </w:r>
          </w:p>
        </w:tc>
        <w:tc>
          <w:tcPr>
            <w:tcW w:type="dxa" w:w="1508"/>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MathVista (%)</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E2B (it)</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~62</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44.2</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~84</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~72</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~78</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~700</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~64</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E4B (it)</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~68</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52.6</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~89</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~79</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~85</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~790</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~71</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SmolVLM2-2.2B-Instruct</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42.0</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80.0</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68.7</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70.0</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729</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51.5</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Qwen3-VL-4B-Instruct</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95.3</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83.3</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84.1</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881</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4B (it)</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48.8</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75.8</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68.8</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74.8</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~650</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50.0</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Phi-4-multimodal-instruct</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38.5</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93.2</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81.4</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82.3</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844</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62.4</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Qwen2.5-VL-7B-Instruct</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58.6</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38.3</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95.7</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87.3</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864</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68.2</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Qwen3-VL-8B-Instruct</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96.1</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85.7</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896</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InternVL3-8B (hf)</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65.6</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92.7</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86.6</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85.2</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880</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75.2</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12B (it)</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59.6</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87.1</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75.7</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84.2</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~750</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62.9</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12B (it)</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~78</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69.1</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~94</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~86</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~88</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~855</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~84</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InternVL3-14B</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26B-A4B (it)</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~81</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73.8</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~95</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~88</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~89</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~870</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~86</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27B (it)</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64.9</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49.7</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86.6</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78.0</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84.5</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~760</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67.6</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Qwen3-VL-30B-A3B-Instruct</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74.2</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60.4</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95.0</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86.8</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85.0</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903</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80.1</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Qwen2.5-VL-32B-Instruct</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508"/>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Qwen3-VL-32B-Instruct</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76.0</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65.3</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96.9</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88.5</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89.5</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895</w:t>
            </w:r>
          </w:p>
        </w:tc>
        <w:tc>
          <w:tcPr>
            <w:tcW w:type="dxa" w:w="1508"/>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83.8</w:t>
            </w:r>
          </w:p>
        </w:tc>
      </w:tr>
      <w:tr>
        <w:tc>
          <w:tcPr>
            <w:tcW w:type="dxa" w:w="2404"/>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31B (it)</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~83</w:t>
            </w:r>
          </w:p>
        </w:tc>
        <w:tc>
          <w:tcPr>
            <w:tcW w:type="dxa" w:w="1508"/>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76.9</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~96</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~89</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~90</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~880</w:t>
            </w:r>
          </w:p>
        </w:tc>
        <w:tc>
          <w:tcPr>
            <w:tcW w:type="dxa" w:w="1508"/>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~88</w:t>
            </w:r>
          </w:p>
        </w:tc>
      </w:tr>
    </w:tbl>
    <w:p>
      <w:pPr>
        <w:spacing w:after="60" w:before="60"/>
      </w:pPr>
      <w:r>
        <w:rPr>
          <w:i/>
          <w:iCs/>
          <w:sz w:val="15"/>
          <w:szCs w:val="15"/>
        </w:rPr>
        <w:t xml:space="preserve">Gemma 3 values (MMMU val, DocVQA, ChartQA, AI2D, MathVista) are now verified from the Gemma 3 technical report (arXiv 2503.19786, Table 16, instruction-tuned models). Gemma 3 27B MMMU-Pro of 49.7 comes from the Gemma 4 report comparison table. Gemma 4 MMMU-Pro values are verified from the Gemma 4 report (Table 6, maximum resolution of 1120 vision tokens, thinking mode).</w:t>
      </w:r>
    </w:p>
    <w:p>
      <w:pPr>
        <w:spacing w:after="60" w:before="60"/>
      </w:pPr>
      <w:r>
        <w:rPr>
          <w:i/>
          <w:iCs/>
          <w:sz w:val="15"/>
          <w:szCs w:val="15"/>
        </w:rPr>
        <w:t xml:space="preserve">Google does not report MMMU val, DocVQA, ChartQA, AI2D, OCRBench, or MathVista for any Gemma 4 model. Those cells are EXTRAPOLATED (amber, tilde) from the benchmarks Google does report, using Gemma 3 as the anchor: MMMU val is projected from MMMU-Pro using the observed gap across six models where both are published, and the document and chart columns are projected from InfographicVQA and OmniDocBench relative to Gemma 3. The extrapolated DocVQA for 26B-A4B (~95) agrees with a secondary-source figure of 94.9, which is a useful consistency check but not a verification.</w:t>
      </w:r>
    </w:p>
    <w:p>
      <w:pPr>
        <w:spacing w:after="60" w:before="60"/>
      </w:pPr>
      <w:r>
        <w:rPr>
          <w:i/>
          <w:iCs/>
          <w:sz w:val="15"/>
          <w:szCs w:val="15"/>
        </w:rPr>
        <w:t xml:space="preserve">OCRBench is the weakest column here: Google has never published OCRBench for any Gemma model in any generation, so those figures are projected across benchmark families and should be treated as indicative ordering only. Gemma 4 scores are measured in thinking mode, which inflates them relative to the non-thinking numbers reported for other models in this table, so cross-row comparison against Qwen and InternVL is not like for like.</w:t>
      </w:r>
    </w:p>
    <w:p>
      <w:pPr>
        <w:pStyle w:val="Heading2"/>
      </w:pPr>
      <w:r>
        <w:t xml:space="preserve">Table 3. Cost on a single H100 80GB (SageMaker ml.p5.4xlarge)</w:t>
      </w:r>
    </w:p>
    <w:tbl>
      <w:tblPr>
        <w:tblW w:type="dxa" w:w="12250"/>
        <w:tblBorders>
          <w:top w:val="single" w:color="auto" w:sz="4"/>
          <w:left w:val="single" w:color="auto" w:sz="4"/>
          <w:bottom w:val="single" w:color="auto" w:sz="4"/>
          <w:right w:val="single" w:color="auto" w:sz="4"/>
          <w:insideH w:val="single" w:color="auto" w:sz="4"/>
          <w:insideV w:val="single" w:color="auto" w:sz="4"/>
        </w:tblBorders>
      </w:tblPr>
      <w:tblGrid>
        <w:gridCol w:w="1950"/>
        <w:gridCol w:w="1150"/>
        <w:gridCol w:w="1000"/>
        <w:gridCol w:w="950"/>
        <w:gridCol w:w="1150"/>
        <w:gridCol w:w="1400"/>
        <w:gridCol w:w="1000"/>
        <w:gridCol w:w="1250"/>
        <w:gridCol w:w="1150"/>
        <w:gridCol w:w="1250"/>
      </w:tblGrid>
      <w:tr>
        <w:trPr>
          <w:tblHeader/>
        </w:trPr>
        <w:tc>
          <w:tcPr>
            <w:tcW w:type="dxa" w:w="19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left"/>
            </w:pPr>
            <w:r>
              <w:rPr>
                <w:b/>
                <w:bCs/>
                <w:sz w:val="15"/>
                <w:szCs w:val="15"/>
              </w:rPr>
              <w:t xml:space="preserve">Model</w:t>
            </w:r>
          </w:p>
        </w:tc>
        <w:tc>
          <w:tcPr>
            <w:tcW w:type="dxa" w:w="11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decode (tok/s)</w:t>
            </w:r>
          </w:p>
        </w:tc>
        <w:tc>
          <w:tcPr>
            <w:tcW w:type="dxa" w:w="10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sec/doc</w:t>
            </w:r>
          </w:p>
        </w:tc>
        <w:tc>
          <w:tcPr>
            <w:tcW w:type="dxa" w:w="9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docs/hr</w:t>
            </w:r>
          </w:p>
        </w:tc>
        <w:tc>
          <w:tcPr>
            <w:tcW w:type="dxa" w:w="11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On-demand ($/hr)</w:t>
            </w:r>
          </w:p>
        </w:tc>
        <w:tc>
          <w:tcPr>
            <w:tcW w:type="dxa" w:w="14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cost/doc on-demand ($)</w:t>
            </w:r>
          </w:p>
        </w:tc>
        <w:tc>
          <w:tcPr>
            <w:tcW w:type="dxa" w:w="10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Spot ($/hr)</w:t>
            </w:r>
          </w:p>
        </w:tc>
        <w:tc>
          <w:tcPr>
            <w:tcW w:type="dxa" w:w="12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cost/doc spot ($)</w:t>
            </w:r>
          </w:p>
        </w:tc>
        <w:tc>
          <w:tcPr>
            <w:tcW w:type="dxa" w:w="11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MEASURED tok/s</w:t>
            </w:r>
          </w:p>
        </w:tc>
        <w:tc>
          <w:tcPr>
            <w:tcW w:type="dxa" w:w="12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MEASURED cost/doc ($)</w:t>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E2B (it)</w:t>
            </w:r>
          </w:p>
        </w:tc>
        <w:tc>
          <w:tcPr>
            <w:tcW w:type="dxa" w:w="11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328</w:t>
            </w:r>
          </w:p>
        </w:tc>
        <w:tc>
          <w:tcPr>
            <w:tcW w:type="dxa" w:w="10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3.45</w:t>
            </w:r>
          </w:p>
        </w:tc>
        <w:tc>
          <w:tcPr>
            <w:tcW w:type="dxa" w:w="9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1043</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0.0076</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0.0042</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E4B (it)</w:t>
            </w:r>
          </w:p>
        </w:tc>
        <w:tc>
          <w:tcPr>
            <w:tcW w:type="dxa" w:w="11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168</w:t>
            </w:r>
          </w:p>
        </w:tc>
        <w:tc>
          <w:tcPr>
            <w:tcW w:type="dxa" w:w="10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6.46</w:t>
            </w:r>
          </w:p>
        </w:tc>
        <w:tc>
          <w:tcPr>
            <w:tcW w:type="dxa" w:w="9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557</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0.0142</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0.0079</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SmolVLM2-2.2B-Instruct</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343</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3.23</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1113</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0.0071</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0.0040</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Qwen3-VL-4B-Instruct</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188</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5.68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634</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0.0125</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0.0070</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4B (it)</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188</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5.68</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634</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0.0125</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0.0070</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Phi-4-multimodal-instruct</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135</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7.85</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459</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0.0172</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0.0097</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Qwen2.5-VL-7B-Instruct</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108</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9.75</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369</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0.0214</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0.0120</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Qwen3-VL-8B-Instruct</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94</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11.10</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324</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0.0244</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0.0137</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InternVL3-8B (hf)</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94</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11.10</w:t>
            </w:r>
          </w:p>
        </w:tc>
        <w:tc>
          <w:tcPr>
            <w:tcW w:type="dxa" w:w="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324</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0.0244</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0.0137</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12B (it)</w:t>
            </w:r>
          </w:p>
        </w:tc>
        <w:tc>
          <w:tcPr>
            <w:tcW w:type="dxa" w:w="11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63</w:t>
            </w:r>
          </w:p>
        </w:tc>
        <w:tc>
          <w:tcPr>
            <w:tcW w:type="dxa" w:w="10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16.53</w:t>
            </w:r>
          </w:p>
        </w:tc>
        <w:tc>
          <w:tcPr>
            <w:tcW w:type="dxa" w:w="9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218</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0.0363</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0.0203</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12B (it)</w:t>
            </w:r>
          </w:p>
        </w:tc>
        <w:tc>
          <w:tcPr>
            <w:tcW w:type="dxa" w:w="11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63</w:t>
            </w:r>
          </w:p>
        </w:tc>
        <w:tc>
          <w:tcPr>
            <w:tcW w:type="dxa" w:w="10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16.53</w:t>
            </w:r>
          </w:p>
        </w:tc>
        <w:tc>
          <w:tcPr>
            <w:tcW w:type="dxa" w:w="9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218</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0.0363</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0.0203</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InternVL3-14B</w:t>
            </w:r>
          </w:p>
        </w:tc>
        <w:tc>
          <w:tcPr>
            <w:tcW w:type="dxa" w:w="11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9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26B-A4B (it)</w:t>
            </w:r>
          </w:p>
        </w:tc>
        <w:tc>
          <w:tcPr>
            <w:tcW w:type="dxa" w:w="11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198</w:t>
            </w:r>
          </w:p>
        </w:tc>
        <w:tc>
          <w:tcPr>
            <w:tcW w:type="dxa" w:w="10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6.07</w:t>
            </w:r>
          </w:p>
        </w:tc>
        <w:tc>
          <w:tcPr>
            <w:tcW w:type="dxa" w:w="9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593</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0.0133</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0.0075</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27B (it)</w:t>
            </w:r>
          </w:p>
        </w:tc>
        <w:tc>
          <w:tcPr>
            <w:tcW w:type="dxa" w:w="11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28</w:t>
            </w:r>
          </w:p>
        </w:tc>
        <w:tc>
          <w:tcPr>
            <w:tcW w:type="dxa" w:w="10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36.88</w:t>
            </w:r>
          </w:p>
        </w:tc>
        <w:tc>
          <w:tcPr>
            <w:tcW w:type="dxa" w:w="9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98</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0.0810</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0.0454</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Qwen3-VL-30B-A3B-Instruct</w:t>
            </w:r>
          </w:p>
        </w:tc>
        <w:tc>
          <w:tcPr>
            <w:tcW w:type="dxa" w:w="11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9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Qwen2.5-VL-32B-Instruct</w:t>
            </w:r>
          </w:p>
        </w:tc>
        <w:tc>
          <w:tcPr>
            <w:tcW w:type="dxa" w:w="11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9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Qwen3-VL-32B-Instruct</w:t>
            </w:r>
          </w:p>
        </w:tc>
        <w:tc>
          <w:tcPr>
            <w:tcW w:type="dxa" w:w="11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9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n/e</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r>
        <w:tc>
          <w:tcPr>
            <w:tcW w:type="dxa" w:w="19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31B (it)</w:t>
            </w:r>
          </w:p>
        </w:tc>
        <w:tc>
          <w:tcPr>
            <w:tcW w:type="dxa" w:w="11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24</w:t>
            </w:r>
          </w:p>
        </w:tc>
        <w:tc>
          <w:tcPr>
            <w:tcW w:type="dxa" w:w="10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43.63</w:t>
            </w:r>
          </w:p>
        </w:tc>
        <w:tc>
          <w:tcPr>
            <w:tcW w:type="dxa" w:w="9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83</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7.91</w:t>
            </w:r>
          </w:p>
        </w:tc>
        <w:tc>
          <w:tcPr>
            <w:tcW w:type="dxa" w:w="140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0.0959</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4.43</w:t>
            </w:r>
          </w:p>
        </w:tc>
        <w:tc>
          <w:tcPr>
            <w:tcW w:type="dxa" w:w="1250"/>
            <w:tcBorders>
              <w:top w:val="single" w:color="BFBFBF" w:sz="1"/>
              <w:left w:val="single" w:color="BFBFBF" w:sz="1"/>
              <w:bottom w:val="single" w:color="BFBFBF" w:sz="1"/>
              <w:right w:val="single" w:color="BFBFBF" w:sz="1"/>
            </w:tcBorders>
            <w:shd w:fill="E2EFDA" w:val="clear"/>
            <w:tcMar>
              <w:top w:type="dxa" w:w="45"/>
              <w:left w:type="dxa" w:w="70"/>
              <w:bottom w:type="dxa" w:w="45"/>
              <w:right w:type="dxa" w:w="70"/>
            </w:tcMar>
            <w:vAlign w:val="center"/>
          </w:tcPr>
          <w:p>
            <w:pPr>
              <w:jc w:val="center"/>
            </w:pPr>
            <w:r>
              <w:rPr>
                <w:b w:val="false"/>
                <w:bCs w:val="false"/>
                <w:sz w:val="15"/>
                <w:szCs w:val="15"/>
              </w:rPr>
              <w:t xml:space="preserve">0.0537</w:t>
            </w:r>
          </w:p>
        </w:tc>
        <w:tc>
          <w:tcPr>
            <w:tcW w:type="dxa" w:w="11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
            </w:r>
          </w:p>
        </w:tc>
      </w:tr>
    </w:tbl>
    <w:p>
      <w:pPr>
        <w:spacing w:after="60" w:before="60"/>
      </w:pPr>
      <w:r>
        <w:rPr>
          <w:i/>
          <w:iCs/>
          <w:sz w:val="15"/>
          <w:szCs w:val="15"/>
        </w:rPr>
        <w:t xml:space="preserve">Pricing: ml.p5.4xlarge (1x NVIDIA H100 80GB), us-east-1 on-demand at 7.91 USD/hr. Cross-checked two ways: ml.p5.48xlarge at 63.296 USD/hr divided by 8 GPUs, and EC2 p5.4xlarge at 6.88 USD/hr plus the SageMaker uplift. Spot at 4.43 USD/hr applies the ~44 percent P5 spot discount. Other regions are higher (Mumbai ~9.49, Tokyo ~9.89, London ~10.29 USD/hr). SageMaker managed spot applies to training and processing jobs, not real-time endpoints. The USD/hr columns are identical for every model because they are a property of the instance; only throughput differs, and that is what drives cost per document.</w:t>
      </w:r>
    </w:p>
    <w:p>
      <w:pPr>
        <w:spacing w:after="60" w:before="60"/>
      </w:pPr>
      <w:r>
        <w:rPr>
          <w:i/>
          <w:iCs/>
          <w:sz w:val="15"/>
          <w:szCs w:val="15"/>
        </w:rPr>
        <w:t xml:space="preserve">One document = one page image in, ~1000 output tokens out. Estimate basis: batch size 1, bf16, optimized serving stack (vLLM class), decode bound by memory bandwidth at tok/s = (3350 GB/s x 0.45) / (bytes read per token). For Gemma rows the bytes read per token is now the measured bf16 footprint from the technical report rather than a parameter estimate, which is why every Gemma figure has shifted slightly from v6. For the MoE only the active slice is read, which is why 26B-A4B estimates faster than a dense 12B. Sec/doc adds 0.25 s plus 0.03 s per billion total parameters for image preprocessing, vision encoding, and prefill.</w:t>
      </w:r>
    </w:p>
    <w:p>
      <w:pPr>
        <w:spacing w:after="60" w:before="60"/>
      </w:pPr>
      <w:r>
        <w:rPr>
          <w:i/>
          <w:iCs/>
          <w:sz w:val="15"/>
          <w:szCs w:val="15"/>
        </w:rPr>
        <w:t xml:space="preserve">All Gemma rows are now populated, including those above 16 GB, because the technical report supplies measured footprints for them. The remaining n/e rows are non-Gemma models above 16 GB and are outside the scope of this revision. These remain engineering projections, not measurements: expect real values within roughly plus or minus 40 percent, and batching above 1 will raise docs/hr and lower cost per document substantially. The MEASURED columns stay blank for every model and are the numbers of record for the ticket.</w:t>
      </w:r>
    </w:p>
    <w:p>
      <w:pPr>
        <w:pStyle w:val="Heading2"/>
      </w:pPr>
      <w:r>
        <w:t xml:space="preserve">Table 4. Gemma family detail (primary-source vision benchmarks and throughput)</w:t>
      </w:r>
    </w:p>
    <w:tbl>
      <w:tblPr>
        <w:tblW w:type="dxa" w:w="1235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1050"/>
        <w:gridCol w:w="1050"/>
        <w:gridCol w:w="1100"/>
        <w:gridCol w:w="1250"/>
        <w:gridCol w:w="1050"/>
        <w:gridCol w:w="1050"/>
        <w:gridCol w:w="1050"/>
        <w:gridCol w:w="1000"/>
        <w:gridCol w:w="1000"/>
      </w:tblGrid>
      <w:tr>
        <w:trPr>
          <w:tblHeader/>
        </w:trPr>
        <w:tc>
          <w:tcPr>
            <w:tcW w:type="dxa" w:w="17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left"/>
            </w:pPr>
            <w:r>
              <w:rPr>
                <w:b/>
                <w:bCs/>
                <w:sz w:val="15"/>
                <w:szCs w:val="15"/>
              </w:rPr>
              <w:t xml:space="preserve">Gemma model</w:t>
            </w:r>
          </w:p>
        </w:tc>
        <w:tc>
          <w:tcPr>
            <w:tcW w:type="dxa" w:w="10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MMMU-Pro (%)</w:t>
            </w:r>
          </w:p>
        </w:tc>
        <w:tc>
          <w:tcPr>
            <w:tcW w:type="dxa" w:w="10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MATH-Vision (%)</w:t>
            </w:r>
          </w:p>
        </w:tc>
        <w:tc>
          <w:tcPr>
            <w:tcW w:type="dxa" w:w="10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Infographic VQA (%)</w:t>
            </w:r>
          </w:p>
        </w:tc>
        <w:tc>
          <w:tcPr>
            <w:tcW w:type="dxa" w:w="11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MedXPertQA MM (%)</w:t>
            </w:r>
          </w:p>
        </w:tc>
        <w:tc>
          <w:tcPr>
            <w:tcW w:type="dxa" w:w="12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OmniDocBench 1.5 (lower better)</w:t>
            </w:r>
          </w:p>
        </w:tc>
        <w:tc>
          <w:tcPr>
            <w:tcW w:type="dxa" w:w="10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bf16 footprint (GB)</w:t>
            </w:r>
          </w:p>
        </w:tc>
        <w:tc>
          <w:tcPr>
            <w:tcW w:type="dxa" w:w="10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tok/s (no MTP)</w:t>
            </w:r>
          </w:p>
        </w:tc>
        <w:tc>
          <w:tcPr>
            <w:tcW w:type="dxa" w:w="105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tok/s (with MTP)</w:t>
            </w:r>
          </w:p>
        </w:tc>
        <w:tc>
          <w:tcPr>
            <w:tcW w:type="dxa" w:w="10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$/doc (no MTP)</w:t>
            </w:r>
          </w:p>
        </w:tc>
        <w:tc>
          <w:tcPr>
            <w:tcW w:type="dxa" w:w="1000"/>
            <w:tcBorders>
              <w:top w:val="single" w:color="BFBFBF" w:sz="1"/>
              <w:left w:val="single" w:color="BFBFBF" w:sz="1"/>
              <w:bottom w:val="single" w:color="BFBFBF" w:sz="1"/>
              <w:right w:val="single" w:color="BFBFBF" w:sz="1"/>
            </w:tcBorders>
            <w:shd w:fill="D9E2F3" w:val="clear"/>
            <w:tcMar>
              <w:top w:type="dxa" w:w="45"/>
              <w:left w:type="dxa" w:w="70"/>
              <w:bottom w:type="dxa" w:w="45"/>
              <w:right w:type="dxa" w:w="70"/>
            </w:tcMar>
            <w:vAlign w:val="center"/>
          </w:tcPr>
          <w:p>
            <w:pPr>
              <w:jc w:val="center"/>
            </w:pPr>
            <w:r>
              <w:rPr>
                <w:b/>
                <w:bCs/>
                <w:sz w:val="15"/>
                <w:szCs w:val="15"/>
              </w:rPr>
              <w:t xml:space="preserve">Est. $/doc (with MTP)</w:t>
            </w:r>
          </w:p>
        </w:tc>
      </w:tr>
      <w:tr>
        <w:tc>
          <w:tcPr>
            <w:tcW w:type="dxa" w:w="17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4B (it)</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0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50.0</w:t>
            </w:r>
          </w:p>
        </w:tc>
        <w:tc>
          <w:tcPr>
            <w:tcW w:type="dxa" w:w="11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2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05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~8.0</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188</w:t>
            </w:r>
          </w:p>
        </w:tc>
        <w:tc>
          <w:tcPr>
            <w:tcW w:type="dxa" w:w="10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n/a</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0.0125</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n/a</w:t>
            </w:r>
          </w:p>
        </w:tc>
      </w:tr>
      <w:tr>
        <w:tc>
          <w:tcPr>
            <w:tcW w:type="dxa" w:w="17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12B (it)</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0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64.9</w:t>
            </w:r>
          </w:p>
        </w:tc>
        <w:tc>
          <w:tcPr>
            <w:tcW w:type="dxa" w:w="11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2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05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~24.0</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63</w:t>
            </w:r>
          </w:p>
        </w:tc>
        <w:tc>
          <w:tcPr>
            <w:tcW w:type="dxa" w:w="10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n/a</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0.0363</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n/a</w:t>
            </w:r>
          </w:p>
        </w:tc>
      </w:tr>
      <w:tr>
        <w:tc>
          <w:tcPr>
            <w:tcW w:type="dxa" w:w="17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3 27B (it)</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49.7</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46.0</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70.6</w:t>
            </w:r>
          </w:p>
        </w:tc>
        <w:tc>
          <w:tcPr>
            <w:tcW w:type="dxa" w:w="11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NR</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0.365</w:t>
            </w:r>
          </w:p>
        </w:tc>
        <w:tc>
          <w:tcPr>
            <w:tcW w:type="dxa" w:w="1050"/>
            <w:tcBorders>
              <w:top w:val="single" w:color="BFBFBF" w:sz="1"/>
              <w:left w:val="single" w:color="BFBFBF" w:sz="1"/>
              <w:bottom w:val="single" w:color="BFBFBF" w:sz="1"/>
              <w:right w:val="single" w:color="BFBFBF" w:sz="1"/>
            </w:tcBorders>
            <w:shd w:fill="FFF2CC" w:val="clear"/>
            <w:tcMar>
              <w:top w:type="dxa" w:w="45"/>
              <w:left w:type="dxa" w:w="70"/>
              <w:bottom w:type="dxa" w:w="45"/>
              <w:right w:type="dxa" w:w="70"/>
            </w:tcMar>
            <w:vAlign w:val="center"/>
          </w:tcPr>
          <w:p>
            <w:pPr>
              <w:jc w:val="center"/>
            </w:pPr>
            <w:r>
              <w:rPr>
                <w:b w:val="false"/>
                <w:bCs w:val="false"/>
                <w:sz w:val="15"/>
                <w:szCs w:val="15"/>
              </w:rPr>
              <w:t xml:space="preserve">~54.0</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28</w:t>
            </w:r>
          </w:p>
        </w:tc>
        <w:tc>
          <w:tcPr>
            <w:tcW w:type="dxa" w:w="105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n/a</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0.0810</w:t>
            </w:r>
          </w:p>
        </w:tc>
        <w:tc>
          <w:tcPr>
            <w:tcW w:type="dxa" w:w="1000"/>
            <w:tcBorders>
              <w:top w:val="single" w:color="BFBFBF" w:sz="1"/>
              <w:left w:val="single" w:color="BFBFBF" w:sz="1"/>
              <w:bottom w:val="single" w:color="BFBFBF" w:sz="1"/>
              <w:right w:val="single" w:color="BFBFBF" w:sz="1"/>
            </w:tcBorders>
            <w:shd w:fill="F2F2F2" w:val="clear"/>
            <w:tcMar>
              <w:top w:type="dxa" w:w="45"/>
              <w:left w:type="dxa" w:w="70"/>
              <w:bottom w:type="dxa" w:w="45"/>
              <w:right w:type="dxa" w:w="70"/>
            </w:tcMar>
            <w:vAlign w:val="center"/>
          </w:tcPr>
          <w:p>
            <w:pPr>
              <w:jc w:val="center"/>
            </w:pPr>
            <w:r>
              <w:rPr>
                <w:b w:val="false"/>
                <w:bCs w:val="false"/>
                <w:sz w:val="15"/>
                <w:szCs w:val="15"/>
              </w:rPr>
              <w:t xml:space="preserve">n/a</w:t>
            </w:r>
          </w:p>
        </w:tc>
      </w:tr>
      <w:tr>
        <w:tc>
          <w:tcPr>
            <w:tcW w:type="dxa" w:w="17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E2B (it)</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44.2</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52.4</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63.9</w:t>
            </w:r>
          </w:p>
        </w:tc>
        <w:tc>
          <w:tcPr>
            <w:tcW w:type="dxa" w:w="11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23.5</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0.290</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4.6</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328</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524</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0.0076</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0.0051</w:t>
            </w:r>
          </w:p>
        </w:tc>
      </w:tr>
      <w:tr>
        <w:tc>
          <w:tcPr>
            <w:tcW w:type="dxa" w:w="17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E4B (it)</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52.6</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59.5</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70.0</w:t>
            </w:r>
          </w:p>
        </w:tc>
        <w:tc>
          <w:tcPr>
            <w:tcW w:type="dxa" w:w="11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28.7</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0.181</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9.0</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168</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268</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0.0142</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0.0093</w:t>
            </w:r>
          </w:p>
        </w:tc>
      </w:tr>
      <w:tr>
        <w:tc>
          <w:tcPr>
            <w:tcW w:type="dxa" w:w="17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12B (it)</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69.1</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79.7</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88.4</w:t>
            </w:r>
          </w:p>
        </w:tc>
        <w:tc>
          <w:tcPr>
            <w:tcW w:type="dxa" w:w="11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48.7</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0.164</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24.0</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63</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101</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0.0363</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0.0232</w:t>
            </w:r>
          </w:p>
        </w:tc>
      </w:tr>
      <w:tr>
        <w:tc>
          <w:tcPr>
            <w:tcW w:type="dxa" w:w="17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26B-A4B (it)</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73.8</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82.4</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89.3</w:t>
            </w:r>
          </w:p>
        </w:tc>
        <w:tc>
          <w:tcPr>
            <w:tcW w:type="dxa" w:w="11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58.1</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0.149</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52.0 / 7.6</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198</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317</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0.0133</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0.0092</w:t>
            </w:r>
          </w:p>
        </w:tc>
      </w:tr>
      <w:tr>
        <w:tc>
          <w:tcPr>
            <w:tcW w:type="dxa" w:w="17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left"/>
            </w:pPr>
            <w:r>
              <w:rPr>
                <w:b w:val="false"/>
                <w:bCs w:val="false"/>
                <w:sz w:val="15"/>
                <w:szCs w:val="15"/>
              </w:rPr>
              <w:t xml:space="preserve">Gemma 4 31B (it)</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76.9</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85.6</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92.0</w:t>
            </w:r>
          </w:p>
        </w:tc>
        <w:tc>
          <w:tcPr>
            <w:tcW w:type="dxa" w:w="11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61.3</w:t>
            </w:r>
          </w:p>
        </w:tc>
        <w:tc>
          <w:tcPr>
            <w:tcW w:type="dxa" w:w="12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0.131</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64.0</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24</w:t>
            </w:r>
          </w:p>
        </w:tc>
        <w:tc>
          <w:tcPr>
            <w:tcW w:type="dxa" w:w="105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38</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0.0959</w:t>
            </w:r>
          </w:p>
        </w:tc>
        <w:tc>
          <w:tcPr>
            <w:tcW w:type="dxa" w:w="1000"/>
            <w:tcBorders>
              <w:top w:val="single" w:color="BFBFBF" w:sz="1"/>
              <w:left w:val="single" w:color="BFBFBF" w:sz="1"/>
              <w:bottom w:val="single" w:color="BFBFBF" w:sz="1"/>
              <w:right w:val="single" w:color="BFBFBF" w:sz="1"/>
            </w:tcBorders>
            <w:tcMar>
              <w:top w:type="dxa" w:w="45"/>
              <w:left w:type="dxa" w:w="70"/>
              <w:bottom w:type="dxa" w:w="45"/>
              <w:right w:type="dxa" w:w="70"/>
            </w:tcMar>
            <w:vAlign w:val="center"/>
          </w:tcPr>
          <w:p>
            <w:pPr>
              <w:jc w:val="center"/>
            </w:pPr>
            <w:r>
              <w:rPr>
                <w:b w:val="false"/>
                <w:bCs w:val="false"/>
                <w:sz w:val="15"/>
                <w:szCs w:val="15"/>
              </w:rPr>
              <w:t xml:space="preserve">0.0609</w:t>
            </w:r>
          </w:p>
        </w:tc>
      </w:tr>
    </w:tbl>
    <w:p>
      <w:pPr>
        <w:spacing w:after="60" w:before="60"/>
      </w:pPr>
      <w:r>
        <w:rPr>
          <w:i/>
          <w:iCs/>
          <w:sz w:val="15"/>
          <w:szCs w:val="15"/>
        </w:rPr>
        <w:t xml:space="preserve">These are the vision benchmarks Google actually publishes for Gemma, taken from the Gemma 4 technical report (Table 6, thinking mode, 1120 vision tokens) and the Gemma 3 technical report. OmniDocBench 1.5 is an error rate, so lower is better; it is the closest published proxy for document parsing quality and shows Gemma 4 31B cutting Gemma 3 27B error by roughly two thirds.</w:t>
      </w:r>
    </w:p>
    <w:p>
      <w:pPr>
        <w:spacing w:after="60" w:before="60"/>
      </w:pPr>
      <w:r>
        <w:rPr>
          <w:i/>
          <w:iCs/>
          <w:sz w:val="15"/>
          <w:szCs w:val="15"/>
        </w:rPr>
        <w:t xml:space="preserve">MTP: Gemma 4 ships an autoregressive multi-token prediction drafter head for speculative decoding, which Gemma 3 does not have. The with-MTP columns apply a 1.6x decode speedup, a conservative figure for a well-trained drafter; the report claims improved decoding speed but does not publish an H100 acceptance rate, so this multiplier is an assumption to be validated on LECT, not a vendor number.</w:t>
      </w:r>
    </w:p>
    <w:p>
      <w:pPr>
        <w:spacing w:after="60" w:before="60"/>
      </w:pPr>
      <w:r>
        <w:rPr>
          <w:i/>
          <w:iCs/>
          <w:sz w:val="15"/>
          <w:szCs w:val="15"/>
        </w:rPr>
        <w:t xml:space="preserve">Cost caution specific to Gemma 4: the quality figures above are measured in thinking mode, where the model emits a reasoning trace before its answer. The cost estimates assume ~1000 output tokens per document. If thinking mode is left enabled in production, output tokens per document can rise several fold, and cost per document rises in direct proportion. Quality at the level shown here and cost at the level shown here may not be simultaneously achievable, and the SageMaker runs should measure both modes.</w:t>
      </w:r>
    </w:p>
    <w:sectPr>
      <w:footerReference w:type="default" r:id="rId7"/>
      <w:pgSz w:w="15840" w:h="12240"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2026-07-24T16:21:23.646Z</dcterms:created>
  <dcterms:modified xsi:type="dcterms:W3CDTF">2026-07-24T16:21:23.664Z</dcterms:modified>
</cp:coreProperties>
</file>

<file path=docProps/custom.xml><?xml version="1.0" encoding="utf-8"?>
<Properties xmlns="http://schemas.openxmlformats.org/officeDocument/2006/custom-properties" xmlns:vt="http://schemas.openxmlformats.org/officeDocument/2006/docPropsVTypes"/>
</file>