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VLM Benchmark Table v5</w:t>
      </w:r>
    </w:p>
    <w:p>
      <w:pPr>
        <w:pStyle w:val="Heading2"/>
      </w:pPr>
      <w:r>
        <w:t xml:space="preserve">Table 1. Specifications, capacity, and throughput</w:t>
      </w:r>
    </w:p>
    <w:tbl>
      <w:tblPr>
        <w:tblW w:type="dxa" w:w="12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900"/>
        <w:gridCol w:w="1750"/>
        <w:gridCol w:w="1650"/>
        <w:gridCol w:w="1050"/>
        <w:gridCol w:w="850"/>
        <w:gridCol w:w="1250"/>
        <w:gridCol w:w="1350"/>
        <w:gridCol w:w="95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Developer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Released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Modalities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License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Context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Approx VRAM (bf16)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Throughput (tok/s, H100)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H100 Fits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2B effective (PLE)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~1.5 GB (int4)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effective (PLE)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Hugging Face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Image, multi-image, video, text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~4.4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Microsoft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5.6B (LoRA adapters)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speech/audio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~11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Jan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 (encoder-free)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26B total, ~4B active (MoE)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~50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30B total, ~3B active (MoE)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~60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~62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i/>
          <w:iCs/>
          <w:sz w:val="16"/>
          <w:szCs w:val="16"/>
        </w:rPr>
        <w:t xml:space="preserve">*: Some quantization may be needed for full context window availability</w:t>
      </w:r>
    </w:p>
    <w:p>
      <w:pPr>
        <w:pStyle w:val="Heading2"/>
      </w:pPr>
      <w:r>
        <w:t xml:space="preserve">Table 2. Published benchmark scores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4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/>
        </w:trP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 val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MMMU-Pro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DocVQA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ChartQA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AI2D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OCRBench (/1000)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MathVista (%)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42.0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51.5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93.2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81.4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62.4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58.6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92.7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69.1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80.1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83.8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</w:tbl>
    <w:p>
      <w:pPr>
        <w:pStyle w:val="Heading2"/>
      </w:pPr>
      <w:r>
        <w:t xml:space="preserve">Table 3. Cost on a single H100 80GB (SageMaker ml.p5.4xlarge)</w:t>
      </w:r>
    </w:p>
    <w:tbl>
      <w:tblPr>
        <w:tblW w:type="dxa" w:w="12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150"/>
        <w:gridCol w:w="1250"/>
        <w:gridCol w:w="1550"/>
        <w:gridCol w:w="1150"/>
        <w:gridCol w:w="1450"/>
        <w:gridCol w:w="1350"/>
        <w:gridCol w:w="14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decode (tok/s)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sec/doc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On-demand ($/hr)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cost/doc on-demand ($)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Spot ($/hr)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cost/doc spot ($)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MEASURED tok/s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MEASURED cost/doc ($)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544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1.84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0.0023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495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2.02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5.14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0.0113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0.0063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0.0141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0.0079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7.35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7.35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11.02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0.0242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0.0136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11.02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0.0242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0.0136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12.86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0.0283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0.0158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24.80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0.0545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0.0305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363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2.76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0.0061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0.0034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29.39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0.0646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0.0362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29.39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0.0646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0.0362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28.47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0.0626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0.0350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rPr>
          <w:i/>
          <w:iCs/>
          <w:sz w:val="16"/>
          <w:szCs w:val="16"/>
        </w:rPr>
        <w:t xml:space="preserve">Pricing: ml.p5.4xlarge (1x NVIDIA H100 80GB), us-east-1 on-demand at 7.91 USD/hr. Cross-checked two ways: ml.p5.48xlarge at 63.296 USD/hr divided by 8 GPUs, and EC2 p5.4xlarge at 6.88 USD/hr plus the SageMaker uplift. Spot at 4.43 USD/hr applies the ~44 percent P5 spot discount. Other regions are higher (Mumbai ~9.49, Tokyo ~9.89, London ~10.29 USD/hr). Note that SageMaker managed spot applies to training and processing jobs, not real-time endpoints.</w:t>
      </w:r>
    </w:p>
    <w:p>
      <w:pPr>
        <w:spacing w:after="60" w:before="60"/>
      </w:pPr>
      <w:r>
        <w:rPr>
          <w:i/>
          <w:iCs/>
          <w:sz w:val="16"/>
          <w:szCs w:val="16"/>
        </w:rPr>
        <w:t xml:space="preserve">One document = one page image in, ~1000 output tokens out. Est. decode tok/s is a memory-bandwidth roofline, not a measurement: tok/s = (3350 GB/s x 0.65) / (2 bytes x active parameters), batch size 1, bf16. Active parameters are used, so the MoE rows (Gemma 4 26B-A4B, Qwen3-VL-30B-A3B) estimate fast despite large total size. The roofline ignores image prefill and vision encoding, so real sec/doc will be HIGHER and real cost/doc will be HIGHER. Treat every estimate as an optimistic lower bound and a ranking guide only.</w:t>
      </w:r>
    </w:p>
    <w:p>
      <w:pPr>
        <w:spacing w:after="60" w:before="60"/>
      </w:pPr>
      <w:r>
        <w:rPr>
          <w:i/>
          <w:iCs/>
          <w:sz w:val="16"/>
          <w:szCs w:val="16"/>
        </w:rPr>
        <w:t xml:space="preserve">MEASURED columns are intentionally blank. Fill them from the SageMaker runs. Formula: cost per document = (USD per hour) / 3600 x (seconds per document).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2026-07-09T16:54:27.898Z</dcterms:created>
  <dcterms:modified xsi:type="dcterms:W3CDTF">2026-07-09T16:54:27.913Z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