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sz w:val="32"/>
          <w:szCs w:val="32"/>
        </w:rPr>
        <w:t xml:space="preserve">Command A Vision 07-2025: Production Analysis and Replacement Candidates</w:t>
      </w:r>
    </w:p>
    <w:p>
      <w:pPr>
        <w:spacing w:after="360" w:before="0"/>
      </w:pPr>
      <w:r>
        <w:rPr>
          <w:rFonts w:ascii="Calibri" w:cs="Calibri" w:eastAsia="Calibri" w:hAnsi="Calibri"/>
          <w:color w:val="595959"/>
          <w:sz w:val="22"/>
          <w:szCs w:val="22"/>
        </w:rPr>
        <w:t xml:space="preserve">Decision document for the Agilink document ingestion pipeline, April 2026</w:t>
      </w:r>
    </w:p>
    <w:p>
      <w:pPr>
        <w:spacing w:after="120" w:before="0"/>
      </w:pPr>
      <w:r>
        <w:rPr>
          <w:rFonts w:ascii="Calibri" w:cs="Calibri" w:eastAsia="Calibri" w:hAnsi="Calibri"/>
          <w:b/>
          <w:bCs/>
          <w:sz w:val="22"/>
          <w:szCs w:val="22"/>
        </w:rPr>
        <w:t xml:space="preserve">Purpose</w:t>
      </w:r>
    </w:p>
    <w:p>
      <w:pPr>
        <w:spacing w:after="200" w:before="0"/>
      </w:pPr>
      <w:r>
        <w:rPr>
          <w:rFonts w:ascii="Calibri" w:cs="Calibri" w:eastAsia="Calibri" w:hAnsi="Calibri"/>
          <w:sz w:val="20"/>
          <w:szCs w:val="20"/>
        </w:rPr>
        <w:t xml:space="preserve">Cohere Command A Vision 07-2025 is the model currently in production at Agilink for ingesting scanned bills and receipts. The primary task of this document is to evaluate whether Command A Vision can be optimized within its current architecture and license envelope, or whether it should be replaced with one of the candidate models in the comparison set. Seven comparison models are included: four document-parsing specialists drawn from the Agilink April 2026 enterprise shortlist (PaddleOCR-VL-1.5, PP-OCRv5 server, GLM-OCR, and Gemma 4 26B A4B), and three general-purpose vision-language models drawn from the consumer-GPU evaluation prepared by a collaborator (LLaVA 1.6 34B, Qwen2-VL 7B, and Llama 3.2-Vision 11B). Command A Vision is the protagonist of the comparison and is presented in the leftmost column of the table, highlighted in red.</w:t>
      </w:r>
    </w:p>
    <w:p>
      <w:pPr>
        <w:spacing w:after="120" w:before="0"/>
      </w:pPr>
      <w:r>
        <w:rPr>
          <w:rFonts w:ascii="Calibri" w:cs="Calibri" w:eastAsia="Calibri" w:hAnsi="Calibri"/>
          <w:b/>
          <w:bCs/>
          <w:sz w:val="22"/>
          <w:szCs w:val="22"/>
        </w:rPr>
        <w:t xml:space="preserve">Document structure</w:t>
      </w:r>
    </w:p>
    <w:p>
      <w:pPr>
        <w:spacing w:after="200" w:before="0"/>
      </w:pPr>
      <w:r>
        <w:rPr>
          <w:rFonts w:ascii="Calibri" w:cs="Calibri" w:eastAsia="Calibri" w:hAnsi="Calibri"/>
          <w:sz w:val="20"/>
          <w:szCs w:val="20"/>
        </w:rPr>
        <w:t xml:space="preserve">The document has three sections. Section 1 is this introduction. Section 2 is a single landscape table comparing all eight models across roughly 80 rows grouped into ten thematic blocks: identity, architecture, GPU deployment, throughput and latency, document-parsing accuracy, general-VLM accuracy, receipt and bill specifics, integration, optimization techniques, cost, and operations and risk. Section 3 is a prose analysis covering the optimization-versus-replacement decision specifically for Command A Vision in the Agilink context.</w:t>
      </w:r>
    </w:p>
    <w:p>
      <w:pPr>
        <w:spacing w:after="120" w:before="0"/>
      </w:pPr>
      <w:r>
        <w:rPr>
          <w:rFonts w:ascii="Calibri" w:cs="Calibri" w:eastAsia="Calibri" w:hAnsi="Calibri"/>
          <w:b/>
          <w:bCs/>
          <w:sz w:val="22"/>
          <w:szCs w:val="22"/>
        </w:rPr>
        <w:t xml:space="preserve">Data sources</w:t>
      </w:r>
    </w:p>
    <w:p>
      <w:pPr>
        <w:spacing w:after="200" w:before="0"/>
      </w:pPr>
      <w:r>
        <w:rPr>
          <w:rFonts w:ascii="Calibri" w:cs="Calibri" w:eastAsia="Calibri" w:hAnsi="Calibri"/>
          <w:sz w:val="20"/>
          <w:szCs w:val="20"/>
        </w:rPr>
        <w:t xml:space="preserve">Command A Vision data is drawn from the Cohere Hugging Face model card (CohereLabs/command-a-vision-07-2025), the official Cohere blog announcement (huggingface.co/blog/CohereLabs/introducing-command-a-vision-07-2025), the Cohere documentation (docs.cohere.com), Oracle Cloud Infrastructure documentation, VentureBeat coverage, and primary papers cited by Cohere (notably Command A as the base model and SigLIP 2 as the vision encoder). Comparison-model data is drawn from the same primary sources used in the prior Agilink shortlist documents (OmniDocBench v1.5 leaderboard, OCRBench v2 private 2026-03 leaderboard, model-author papers, HuggingFace model cards, and the collaborator-prepared Detailed Model Comparison Matrix). All licenses were verified from primary sources as of April 2026.</w:t>
      </w:r>
    </w:p>
    <w:p>
      <w:pPr>
        <w:spacing w:after="120" w:before="0"/>
      </w:pPr>
      <w:r>
        <w:rPr>
          <w:rFonts w:ascii="Calibri" w:cs="Calibri" w:eastAsia="Calibri" w:hAnsi="Calibri"/>
          <w:b/>
          <w:bCs/>
          <w:sz w:val="22"/>
          <w:szCs w:val="22"/>
        </w:rPr>
        <w:t xml:space="preserve">Conventions</w:t>
      </w:r>
    </w:p>
    <w:p>
      <w:pPr>
        <w:spacing w:after="300" w:before="0"/>
      </w:pPr>
      <w:r>
        <w:rPr>
          <w:rFonts w:ascii="Calibri" w:cs="Calibri" w:eastAsia="Calibri" w:hAnsi="Calibri"/>
          <w:sz w:val="20"/>
          <w:szCs w:val="20"/>
        </w:rPr>
        <w:t xml:space="preserve">DNA stands for "data not available" and appears wherever a published value could not be sourced. DNA is high in the throughput-and-latency rows because per-page and tokens-per-second numbers for vision-language models on specific hardware are rarely published by vendors. The two blank rows near the end of the table are intentional placeholders for populating with results from internal benchmarks once the candidate models are tested on Agilink-representative data. The Command A Vision column is highlighted in red to emphasize its role as the production model under evaluation.</w:t>
      </w:r>
    </w:p>
    <w:p>
      <w:pPr>
        <w:sectPr>
          <w:pgSz w:w="11906" w:h="16838" w:orient="portrait"/>
          <w:pgMar w:top="1440" w:right="1440" w:bottom="1440" w:left="1440" w:header="708" w:footer="708" w:gutter="0"/>
          <w:pgNumType/>
          <w:docGrid w:linePitch="360"/>
        </w:sectPr>
      </w:pPr>
    </w:p>
    <w:tbl>
      <w:tblPr>
        <w:tblW w:type="dxa" w:w="15392"/>
        <w:tblBorders>
          <w:top w:val="single" w:color="auto" w:sz="4"/>
          <w:left w:val="single" w:color="auto" w:sz="4"/>
          <w:bottom w:val="single" w:color="auto" w:sz="4"/>
          <w:right w:val="single" w:color="auto" w:sz="4"/>
          <w:insideH w:val="single" w:color="auto" w:sz="4"/>
          <w:insideV w:val="single" w:color="auto" w:sz="4"/>
        </w:tblBorders>
      </w:tblPr>
      <w:tblGrid>
        <w:gridCol w:w="2400"/>
        <w:gridCol w:w="1624"/>
        <w:gridCol w:w="1624"/>
        <w:gridCol w:w="1624"/>
        <w:gridCol w:w="1624"/>
        <w:gridCol w:w="1624"/>
        <w:gridCol w:w="1624"/>
        <w:gridCol w:w="1624"/>
        <w:gridCol w:w="1624"/>
      </w:tblGrid>
      <w:tr>
        <w:trPr>
          <w:tblHeader/>
        </w:trPr>
        <w:tc>
          <w:tcPr>
            <w:tcW w:type="dxa" w:w="24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6"/>
                <w:szCs w:val="16"/>
              </w:rPr>
              <w:t xml:space="preserve">Attribute</w:t>
            </w:r>
          </w:p>
        </w:tc>
        <w:tc>
          <w:tcPr>
            <w:tcW w:type="dxa" w:w="1624"/>
            <w:tcBorders>
              <w:top w:val="single" w:color="BFBFBF" w:sz="4"/>
              <w:left w:val="single" w:color="BFBFBF" w:sz="4"/>
              <w:bottom w:val="single" w:color="BFBFBF" w:sz="4"/>
              <w:right w:val="single" w:color="BFBFBF" w:sz="4"/>
            </w:tcBorders>
            <w:shd w:fill="C00000"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Command A Vision 07-2025 (PRODUCTION)</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PaddleOCR-VL-1.5</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PP-OCRv5 server</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GLM-OCR</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Gemma 4 26B A4B</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LLaVA 1.6 34B</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Qwen2-VL 7B</w:t>
            </w:r>
          </w:p>
        </w:tc>
        <w:tc>
          <w:tcPr>
            <w:tcW w:type="dxa" w:w="1624"/>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Llama 3.2-Vision 11B</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Identity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Developer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(Cohere Labs)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Zhipu AI / Z.ai</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DeepMind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Haotian Liu et al. (LLaVA team), academic release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(Qwen team)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Release date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2025-07-31</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2026-01-29</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2025-05 (v3.0)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2026-02 (model); 2026-03-11 (technical report, arXiv 2603.10910)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2026-04-02</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January 2024</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September 2024</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September 2024 (11B Vision Instruct)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 (verified from primary source)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CC-BY-NC-4.0 with Cohere Acceptable Use Addendum. Open weights for non-commercial research only. Commercial deployment requires a Cohere enterprise contract. Practically: open weights, enterprise-gated for production.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(model). Layout module PP-DocLayoutV3 is Apache 2.0 (inherited from PaddleOCR). Users must comply with both licenses per the HF model card.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(first Gemma release to drop the custom Gemma terms)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Llama 3.2 Community License (not Apache 2.0). 700M MAU commercial threshold clause.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Production-deployable today (commercial)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without paid Cohere contract. Currently in production at Agilink presumably under such a contract.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(MIT plus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below 700M MAU threshold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Model card / repo</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huggingface.co/CohereLabs/command-a-vision-07-2025; docs.cohere.com/v1/changelog/2025-07-31-command-a-vision; HF blog post by Cohere Labs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huggingface.co/PaddlePaddle/PaddleOCR-VL-1.5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github.com/PaddlePaddle/PaddleOCR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hf.co/zai-org/GLM-OCR; github.com/zai-org/GLM-OCR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hf.co/google/gemma-4-26B-A4B-it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liuhaotian/llava-v1.6-34b on Hugging Face; arXiv 2310.03744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Qwen/Qwen2-VL-7B-Instruct on Hugging Face; arXiv 2409.12191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meta-llama/Llama-3.2-11B-Vision-Instruct on Hugging Face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Primary intended use case (vendor positioning)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Enterprise document analysis, chart interpretation, OCR. Cohere positions it explicitly as built for document extraction over general visual reasoning.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Document parsing for in-the-wild scenes (skew, warp, scan, illumination, screen-photo)</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Pure text extraction with classical CV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Document parsing with strong receipt/KIE focus per Zhipu paper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General-purpose multimodal model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General visual question answering and visual reasoning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General-purpose vision-language model with multilingual focus (CJK strong)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General-purpose vision-language model from Meta</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Architecture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Type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LLaVA-style architecture: vision features become soft vision tokens, divided into tiles, passed into Command A text tower (111B dense LLM). End-to-end trained in three stages: vision-language alignment, supervised fine-tuning (SFT), and post-training reinforcement learning with human feedback (RLHF).</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plus 0.9B VLM (ERNIE-4.5-0.3B + NaViT)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2-stage pipeline (det + rec)</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layout stage plus end-to-end VLM decoder. Same layout stack as PaddleOCR-VL-1.5.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general VLM (MoE)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CLIP ViT-L/14@336px vision encoder + Yi-34B language backbone; MLP projection layer (2-layer)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Encoder-decoder VLM with Naive Dynamic Resolution (NDR): processes images at native resolution, divides into variable-length patch sequences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Decoder-only VLM; vision features injected via cross-attention adapter layers into Llama 3.1 11B backbone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Total parameters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112B dense (built on Command A 111B text tower plus vision adapter and SigLIP 2 encoder)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(VLM) plus layout module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~0.07B (70M; mobile and server variants)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(CogViT visual encoder plus GLM-0.5B language decoder)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25.2B</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34B (all active, dense, no MoE)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7B (all active, dense)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11B (all active, dense)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Active parameters (MoE)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3.8B (8 of 128 experts)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Vision encoder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SigLIP 2 (Multilingual Vision-Language Encoder with Improved Semantic Understanding, Localization, and Dense Features). Reference: Cohere blog citation [2].</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NaViT-style dynamic resolution encoder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CNN-based text detector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CogViT (proprietary Zhipu ViT, pre-trained on large-scale image-text pairs); 4x downsampling; SwiGLU fusion into decoder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550M params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CLIP ViT-L/14@336px. Image tiling up to 6 tiles at 336px each.</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with RoPE-2D positional embeddings (encodes 2D spatial position)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SigLIP (224px and 448px tiling); image chunked into tiles, each processed separately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Vision token count per image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3,328 tokens per image (12 tiles at 512x512 plus 1 global thumbnail)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(NaViT dynamic)</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 pipeline)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(varies by image size)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6 tiles at 336px (DNA exact token count)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Variable per NDR; depends on native resolution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Variable per tile count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Image tile configuration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12 tiles at 512x512 + 1 global thumbnail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resolution (NaViT)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6 tiles at 336px</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patch sequences at native resolution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224px and 448px tiling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Max images per request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 images (or 20MB total payload)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Max payload size per request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20MB</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window (text + vision combined)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128K nominal; configured to 32K in HuggingFace default (user can update config). Output capped at 8K tokens.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(E2B/E4B: 128K)</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tokens hard limit (single page maximum)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32K tokens (handles 10 to 12 invoice pages without chunking)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128K text-only; drops to 8K with image input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caveats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 default config is 32K. Update config.json max_position_embeddings to 131072 for full 128K. Vision token consumption (up to 3,328 per image) eats into context fast: a 20-image request can consume 66K tokens just for images.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headline but image tokens consume context aggressively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ceiling means single-page only; multi-page invoices must be chunked externally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resolution causes unpredictable VRAM spikes on high-DPI input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Drops from 128K text-only to 8K with image input. 8K is operative limit for invoice use.</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Enterprise GPU deployment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(FP16/BF16 serving)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x A100 80GB (Cohere designed for 2-GPU deployment from the start)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only is viable; 1 x T4 or A100 is ample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GPU with 4GB+ VRAM (very low footprint due to 0.9B size)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 or 2 x A100 40GB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A10G (24GB) or 2 x RTX 4090 (48GB combined). No consumer single-GPU path exists.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(12GB) at fp16</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3090 (16GB) at fp16</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Single-GPU deployment option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 at INT4 quantization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at FP16</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(CPU also viable)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(1 x consumer GPU)</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(34B exceeds single consumer GPU at FP16)</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(12GB VRAM)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(16GB VRAM)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Quantization options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(single-GPU H100 80GB documented). FP8 and INT8 not officially documented but architecture supports it.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GGUF (1 x consumer 12GB+)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(already tiny)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INT4/INT8 viable on edge devices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Q4 GGUF (1 x consumer 24GB)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GPTQ INT4 (slows significantly, quality degrades more than at 7-11B scale)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AWQ or GPTQ INT4 (~6-7GB, RTX 3060 viable)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GGUF INT4 via llama.cpp or AWQ (~6-8GB, RTX 3070/3080 viable)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serving framework</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 Transformers pipeline (image-text-to-text task) per official model card. vLLM compatible. Hosted via Cohere Chat API and Hugging Face Inference Providers (provider="cohere").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FastDeploy, vLLM, SGLang, MLX-VLM, llama.cpp</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PaddleInference, FastDeploy, ONNX Runtime, TensorRT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SGLang, Ollama (one-line install), hosted API via Z.ai MaaS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Ollama, llama.cpp, MLX, TensorRT-LLM (NVIDIA NIM)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multi-GPU, SGLang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(strong support), SGLang, Ollama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(first choice), Ollama, TGI, LM Studio, llama.cpp</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Multi-GPU scaling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(2-GPU is the design baseline). 4-GPU TP also supported via standard transformers/vLLM tensor parallel.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on VLM stage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Pipeline parallel across det and rec stages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vLLM/SGLang; multi-replica scaling natural given small footprint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across 2 GPUs (required at RTX 4090 tier)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 or SGLang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 across 2+ GPUs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deployment topology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x A100 80GB for FP16 production. 1 x H100 80GB at INT4 for cost-optimized. 4-GPU TP for higher throughput.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 single replica; multi-replica scaling for throughput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pool or 1 x T4 per replica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Many replicas per GPU (small footprint)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 per replica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x RTX 4090 per replica (consumer) or 1 x A10G (cloud)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per replica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3090 per replica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Hosted API availability (vendor-managed)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Cohere Chat API (model name command-a-vision-07-2025), HuggingFace Inference Providers, Oracle Cloud Infrastructure Generative AI service. Region availability documented in OCI docs.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(self-host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(self-host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Z.ai MaaS API at uniform $0.03 per million tokens (input and output)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Google AI Studio, Vertex AI, NVIDIA NIM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(self-host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Alibaba Cloud Model Studio, plus various community hosts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Together AI, Fireworks, Groq, AWS Bedrock, etc.</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On-prem deployment path</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HuggingFace weights download, deploy with vLLM or transformers. License limits to non-commercial unless enterprise contract.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(MIT)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(Llama 3.2 Community License)</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Throughput and latency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(batch=1, FP16)</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Command A Vision specifically. Reference point: Command A text-only is reported at 43.2 tok/s on Cohere API (Artificial Analysis). Comparable 70B-class dense models on 2x A100 with vLLM: roughly 50 to 150 tok/s at batch=1.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Multi-Token Prediction averages 5.2 tokens per decode step, ~50% throughput gain over standard NTP</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 tok/s at fp16 on 2 x RTX 4090 (slowest in the comparison)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~45 tok/s at fp16 on RTX 3080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~40 tok/s at fp16 on RTX 3090</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(max batch)</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Comparable 70B/120B-class dense models on H100 with vLLM continuous batching: 1500 to 4700 tok/s under 32-100 concurrent requests.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2016.6 tok/s (FastDeploy, A100, batch=512)</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Batching limited by 48GB VRAM ceiling; constrained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with vLLM continuous batching (exact 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Scales well with vLLM continuous batching (exact 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invoice-typical output length (~500-1500 tokens), expect roughly 0.05 to 0.5 pages/s at batch=1 on 2 x A100, similar to LLaVA 34B latency profile.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~370 chars/sec on Intel Xeon Gold 6271C CPU (mobile rec)</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1.86 pages/s for PDFs (single replica, single concurrency, per Zhipu paper); 0.67 images/s for images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~3-5 seconds per invoice page at batch=1 (so ~0.2 to 0.33 pages/s). 100 invoices = ~8 min model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~0.5 to 1.0 pages/sec for typical invoice output at batch=1 (dynamic resolution causes variance)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~0.5 to 1.0 pages/sec for typical invoice output at batch=1</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Batched throughput should scale near-linearly with concurrency on 2 x A100 up to memory-bandwidth saturation, then plateau.</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1.4335 pages/s (A100, batch=512)</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(single-concurrency number is what Zhipu published)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 size constrained by 48GB VRAM ceiling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document (typical invoice output)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Input ~3,328 vision tokens per page plus prompt; output 500 to 2000 tokens for typical KIE JSON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Time-to-first-token (TTFT)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Command A Vision. Comparable 120B dense model on 2 x H100 under 32 concurrent requests: ~261ms TTFT (vLLM benchmark, third-party). Vision prefill significantly higher than text-only because all vision tokens must be encoded before decode begins.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Inter-token latency (ITL)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Comparable dense 100B+ models on H100 with vLLM: 11 to 21ms ITL.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P50 latency per page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P99 latency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Cold start time (vLLM/transformers load)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2 to 5 minutes from disk to ready on 2 x A100 (224GB weights at FP16). Faster on warm cache. Bedrock-style hosted endpoints have tens-of-seconds cold start when scaling from zero.</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Seconds (small model)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Subsecond (negligible)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Seconds (small model)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~30 to 60 seconds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~60 to 120 seconds (34B weights)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Seconds (7B)</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~30 to 60 seconds (11B)</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Memory bandwidth sensitivity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112B dense FP16 means decode is heavily memory-bandwidth-bound. H100 (3.35 TB/s HBM3) materially faster than A100 (2.0 TB/s HBM2e) for decode.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 (small model)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 (small model)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(MoE: only active experts read per token)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(34B dense)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(7B)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Moderate-high (11B)</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KV cache scaling behavior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KV cache grows linearly with sequence length. With 3,328 vision tokens per image and up to 20 images, an active request can hold 66K+ tokens of KV cache. PagedAttention via vLLM is essential for batched serving.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layout plus recognition)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(4K cap bounds worst case)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dynamic resolution causes unpredictable VRAM spikes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modern document-parsing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v1.5 composite (higher is better)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by Cohere; Cohere benchmarks against DocVQA/OCRBench v1/InfoVQA/MathVista/MMMU vs GPT-4.1 comparison group). Third-party evaluation on OmniDocBench would be valuable.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94.50 (SOTA at release)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Top average 1-edit-distance on OCR-block subset (not a full document parser, no composite published)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94.62 (current #1 on OmniDocBench v1.5 leaderboard)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(model released 2026-04-02; no OCR-specific eval published)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 not evaluated)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 not the primary benchmark for this model class)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(2026-03)</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Legacy OCRBench v1 (text recognition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86.9% (per Cohere Command A Vision blog, leads its comparison group of GPT-4.1 / Llama 4 Maverick / Pixtral Large / Mistral Medium 3; +3.5 over GPT-4.1 at 83.4%)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 (per GLM-OCR comparison table)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94.0 (per GLM-OCR paper, best in comparison table)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67.3%</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80.7% (highest in collaborator Table 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74.9%</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Table TEDS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Cohere markets strong table extraction for financial tables but no published TEDS score.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88.0 EN on OmniDocBench v1.5 in-house; strong across categories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in GLM-OCR paper comparison (86.0 TEDS_TEST, ahead of PaddleOCR-VL-1.5)</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Formula CDM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0.241 EN and 0.316 ZH edit distance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UniMERNet 96.5 (best in paper comparison)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general VLM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DocVQA (%)</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95.9% (per Cohere blog; leads comparison group; +7.3 over GPT-4.1 at 88.6%). Highest published score in this entire shortlist.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 strong doc-specific performance per paper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85.0% (highest in Table 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79.4%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82.0%</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TextVQA (%)</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(not published in primary blog table)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80.5%</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84.3%</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77.3%</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ChartQA (%)</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(Cohere claims competitive vs GPT-4.1 but exact number not in primary blog)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81.1%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83.4%</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InfoVQA (%)</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82.9% (per Cohere blog; leads comparison group)</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68.2%</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MMMU (%)</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Approximately 64-65% (estimated from 9.5-point gap behind GPT-4.1; not the strongest benchmark for Command A Vision)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62.7%</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54.1%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60.3%</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MathVista (%)</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73.5% (per Cohere blog; ahead of most non-thinking vision models)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AI2D, ScienceQA, RealWorldQA, MMVet (other VLM benchmarks)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benchmarked across nine total benchmarks vs GPT-4.1, Llama 4 Maverick, Pixtral Large, Mistral Medium 3. Leads on 8 of 9 enterprise-relevant benchmarks per VentureBeat coverage. Exact per-benchmark numbers DNA without primary blog details.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Receipt and bill specific</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Handwriting and low-quality scan robustness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per Cohere positioning (financial tables, healthcare diagrams, scanned construction PDFs are advertised use cases). Specific receipt failure-mode evaluation 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strong: explicit Real5-OmniDocBench training, SOTA on skew/warp/scan/illumination/screen-photo</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(best 1-edit-distance on handwriting per Baidu)</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but slightly below PaddleOCR-VL-1.5 on handwritten text per Zhipu in-house eval. Very strong on seals (90.5).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 OCR-specific evaluation yet)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high-DPI invoice scans slower due to dynamic patching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Known to hallucinate on complex or non-standard invoice layouts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Receipt KIE benchmark (vendor in-house or third-party)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Cohere does not publish a receipt-specific KIE score, but DocVQA at 95.9% suggests strong KIE-style extraction. Need to run on Agilink-representative dataset to validate.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receipts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(text only)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94.5 receipt KIE per Zhipu in-house eval (vs GPT-5.2 at 83.5)</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Structured output capability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JSON via prompting. No native bbox grounding output documented. Cohere Chat API supports response_format with JSON schema (verify version-specific support).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polygonal/irregular bbox + Markdown + JSON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 JSON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HTML (tables), JSON (KIE) with strict schema enforcement during IE mode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in response format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 bbox via grounding mode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JSON via prompting (no native bbox)</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Multi-page document handling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20 images per request natively. Multi-page invoices fit in one request if total payload under 20MB and combined token count under 128K context.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cross-page table merging plus hierarchical heading identification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via SDK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256K context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(4K hard limit)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32K context (10-12 invoice pages without chunking)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(8K effective context with image)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Streaming memory footprint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KV cache at 3,328 tokens/image scales fast. Constant memory only via flush-after-each-document.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pipeline)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(4K cap bounds worst case)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unpredictable VRAM spikes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PDF-native input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at the model. PDFs must be rendered to images (PyMuPDF, pdfplumber, etc.) before submission.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PDF rendering)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PaddleOCR rendering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via SDK)</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Multi-language support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Vision: 6 languages officially (English, French, German, Italian, Portuguese, Spanish). Underlying text model supports 23 but vision use is recommended only on the 6.</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111 languages per Baidu model card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 languages (PP-OCR historical strength)</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 languages officially: English, Chinese, French, Spanish, Russian, German, Japanese, Korean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140+ languages pretrained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Limited multilingual; English-primary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CJK specialized (Chinese, Japanese, Korean primary); 100+ languages overall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Multilingual (Llama 3.2 supports many languages)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Hallucination rate on structured invoice fields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Vendor case studies cite Fujitsu and Oracle Infrastructure Industries deploying it for document data capture with reduced manual review, suggesting acceptable production hallucination rate but not quantified.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Documented vendor case studies (receipts/invoices/bills)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Fujitsu (visual data analysis), Oracle Infrastructure Industries (lien waivers and construction drawings; "cuts risk, time, and cost" per Mark Webster, SVP). Cohere positions document automation as the primary deployment pattern.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publishes general document parsing case studies but no public retail-receipt case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Wide enterprise deployment in document-processing systems (Baidu Cloud, third-party integrations)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Zhipu publishes case studies in banking, insurance, government services, legal, logistics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production case studies for OCR specifically (general VLM)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Academic / community use; no enterprise case studies for invoice extraction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customer base; case studies tilted toward Chinese enterprise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 partner ecosystem; general VLM use cases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Known failure modes on receipts/bills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MMMU 9.5 points behind GPT-4.1 (general visual reasoning). For receipts that require numerical reasoning beyond extraction (e.g. cross-totaling line items, identifying tax-vs-discount patterns), this gap may cause errors. Specific receipt failure modes not publicly documented by Cohere.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documented failure modes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EasyOCR-style currency/digit confusion can occur in poor-quality scans; classical OCR weaknesses on warped paper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Slight deficit on handwriting vs PaddleOCR-VL-1.5</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OCR-specific failure documentation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Hallucinates on complex visual reasoning; not doc-tuned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Hallucinates on dense Latin-script invoices (CJK-strong, Latin-weaker)</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Known to hallucinate on complex or non-standard invoice layouts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prompt patterns for KIE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does not publish receipt-specific prompt patterns. Generic VLM KIE pattern applies: explicit JSON schema in system prompt, field-by-field extraction instructions, treat numerical formatting (commas as decimals, currency symbols) explicitly, reject and flag missing fields rather than hallucinating.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PaddleOCR documentation provides PP-ChatOCR companion patterns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PP-ChatOCRv4 companion handles KIE prompting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Z.ai documents IE mode with built-in schemas for receipts, invoices, forms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Function calling is native (preferred over prompting for schema enforcement)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Generic VLM JSON-via-prompting pattern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Generic VLM JSON-via-prompting pattern; some grounding-mode docs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Generic VLM JSON-via-prompting pattern</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Image preprocessing recommendations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preprocessing required per Cohere docs (model handles native resolution). For receipts, deskewing and contrast normalization typically still help VLMs of this class.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Built-in deskewing, illumination correction, screen-photo handling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Built-in deskewing in PaddleOCR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Inherits PP-DocLayoutV3 preprocessing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specific document-preprocessing guidance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preprocessing guidance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dynamic resolution handles size variance; manual deskew still helps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Tile-based; SigLIP handles variance reasonably</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Integration and notes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PaddleOCR integration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Component (uses PP-DocLayoutV3 from PaddleOCR as layout stage)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Native KIE / structured JSON output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Cohere Chat API response_format (JSON mode). Schema enforcement quality DNA without testing.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JSON for tables)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PP-ChatOCRv4 companion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(dedicated IE mode; 94.5 in-house receipt KIE score)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function calling)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prompting)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Tool use and function calling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in vision variant as of July 2025 release. Available in base Command A and Command A Reasoning text models. This is a significant gap if your pipeline depends on function-calling for structured output.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prompting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(text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prompting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function calling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prompting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prompting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prompting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Doc-tuned flag (Yes / Medium / No)</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(positioned as enterprise document model; trained with document tasks emphasized)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(document-specialist VLM)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(pure OCR pipeline)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(document-specialist VLM)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Medium (general VLM with some OCR tuning)</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Medium (general VLM with some doc tuning)</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Optimization techniques (relevant to a model already in production)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Quantization upside potential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INT4 brings the model to 1 x H100 80GB (single-GPU serving). FP8 on H100 with native FP8 tensor cores is "nearly free" per vLLM benchmarks: 2x memory reduction, up to 1.6x throughput gain, minimal accuracy loss. AMD Quark or NVIDIA TensorRT Model Optimizer for static FP8.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Already small; quantization upside limited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Already tiny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Already small (0.9B)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brings to consumer 24GB</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GPTQ INT4 degrades quality more than at smaller scales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AWQ/GPTQ standard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GGUF INT4 standard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Continuous batching upside (vLLM PagedAttention)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PagedAttention is essential at this scale to manage KV cache memory across concurrent vision requests. Switching from naive HF transformers to vLLM typically yields 2x-24x throughput gain depending on concurrency (vLLM vs TGI study).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Already supported via vLLM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Speculative decoding compatibility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Possible but Cohere does not document a draft model. Could use Command A R7B (the smaller Command A variant) as draft. Estimated speedup 1.5-2x for typical workloads if draft model accuracy aligns.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Prompt caching upside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for receipts pipeline if system prompt and JSON schema are static. AWS Bedrock prompt caching reports up to 90% cost reduction for cached prefixes. SGLang RadixAttention also caches automatically.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Limited (small model)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 in vLLM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 in vLLM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 in vLLM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 in vLLM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TensorRT-LLM compilation upside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Likely 15-30% peak throughput gain over vLLM after a 10-30 minute compilation step (general TensorRT-LLM benchmark range). Worth trying if production volume justifies.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TensorRT supported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 via NVIDIA NIM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SGLang upside (vs vLLM)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 to 29% higher throughput than vLLM for same hardware on text-only Llama 8B per third-party benchmark. Vision benchmark not published for Command A Vision specifically. RadixAttention wins for repeated prefix workloads (like fixed JSON schema across all receipts).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Supported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FlashAttention support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standard transformers/vLLM (Command A text tower uses standard attention, FlashAttention 2 compatible)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Image preprocessing optimization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Vision encoder (SigLIP 2) is one-shot per image. 12-tile + thumbnail = 13 ViT forward passes. Reducing tile count (lower resolution) is the primary way to cut per-image latency at the cost of fine-detail accuracy. Worth A/B testing on Agilink data.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Built-in dynamic resolution scales tiles to content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PP-DocLayoutV3 layout pre-cropping reduces text-recognition load downstream</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specific tile-tuning guidance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Up-to-6-tile cap is fixed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NDR auto-scales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SigLIP tile count fixed at 224/448</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Per-document token budget tuning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High-impact tuning option. Default 3,328 vision tokens per image is generous. For text-heavy receipts the per-image token budget can likely be reduced (use fewer or smaller tiles) at minimal accuracy cost, freeing context and cutting latency.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by design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Fixed at tile config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Fixed at tile config</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Cost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Hosted API cost (input, per million tokens)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Vision-specific pricing not publicly listed for Cohere Chat API. Command A text-only is $2.50/M input. Vision likely follows same rate for text tokens; vision tokens billed as image input (Cohere does not currently publish vision token pricing separately).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hosted API (self-host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hosted API</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$0.03 per million tokens (uniform input/output)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Pricing varies by hosted provider (Vertex AI, NIM)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hosted API</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Hosted via Alibaba Cloud Model Studio; pricing varies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Hosted via Together AI/Fireworks/Bedrock; varies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Hosted API cost (output, per million tokens)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Vision-specific output pricing not publicly listed. Command A text-only is $10.00/M output.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$0.03 per million tokens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Provider-dependent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Provider-dependent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Provider-dependent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Self-host cost per page (rough estimate)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On 2 x A100 80GB at AWS/GCP on-demand (~$8/hr combined), at 0.2-0.5 pages/s throughput single-stream: roughly $0.005-$0.011 per page in compute. Drops with batching to roughly $0.0005-$0.002 per page at high concurrency. Plus license/contract cost.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$0.0001-$0.001 per page on 1 x A100 (low cost due to small model and high throughput)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Effectively free on CPU; ~$0.00001 per page on a CPU pool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$0.0005-$0.001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$0.001-$0.005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$0.005-$0.02 per page (high cost due to slow throughput on 2 x RTX 4090)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$0.0005-$0.002 per page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Roughly $0.001-$0.003 per page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 cost for commercial deployment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enterprise contract required (CC-BY-NC blocks commercial). Pricing not public; negotiated per customer. Existing Agilink contract presumably covers production use.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(MIT)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(Apache 2.0)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below 700M MAU; contract required above</w:t>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Operations and risk</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Update cadence (vendor release frequency)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Slow. Command A Vision 07-2025 is ~9 months old at time of writing with no vision-specific updates. Cohere has released several Command A text variants in the same window (Translate, Reasoning).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Active (PaddleOCR-VL-1.5 released January 2026; VL base released October 2025)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Active (PP-OCRv5 May 2025)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Active (model Feb 2026, paper March 2026)</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Just released April 2026</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Stable, no major updates planned (community-led)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Active; Qwen3-VL family already released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Stable; Llama 3.3+ vision variants in pipeline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Backwards compatibility commitment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API maintains versioned model names (command-a-vision-07-2025). New versions deploy as new model IDs. Pinning to a specific version is supported.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Open weights pinned to HF revision</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Versioned releases (v3.0)</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Versioned releases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 revision-pinnable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 revision-pinnable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 revision-pinnable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 revision-pinnable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Production-readiness flags (rate limits, SLA)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Chat API has documented rate limits and enterprise SLA tiers. Self-hosted on 2 x A100 has no inherent rate limit beyond GPU saturation. AWS Bedrock-hosted (when available) inherits Bedrock SLA.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Self-hosted only; no SLA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Self-hosted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Z.ai MaaS API has its own SLA; self-host has none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Hosted via Vertex AI/NIM with provider SLA</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Self-host only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Model Studio SLA available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Provider-dependent (Bedrock, Together, etc.)</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Vendor support channel</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support (enterprise tier per contract). HF model card direction to labs@cohere.com for technical errors. Cohere Discord and forums for community.</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PaddlePaddle GitHub issues; Baidu enterprise support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PaddlePaddle GitHub issues; Baidu enterprise support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Z.ai documentation, GitHub issues, Discord</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AI Studio docs, Vertex AI support</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Community only (academic release)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Qwen team; GitHub</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 llama-stack; provider support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License-shift risk (vendor changes terms)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CC-BY-NC is fixed for the released weights but Cohere can change commercial pricing or contract terms unilaterally. No published commitment to keep enterprise pricing stable.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 (Apache 2.0 is irrevocable on released weights)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(Llama Community License has been amended in past versions)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Vendor dependency risk</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 Self-host is permitted under CC-BY-NC for non-commercial only. For Agilink production, Cohere is a single point of vendor failure (pricing, SLA, model deprecation). No contractual commitment to keep command-a-vision-07-2025 generally available.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 (open source, self-hostable, multiple inference frameworks)</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 (open source)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Reproducibility (replicate exact behavior on-prem)</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 (HF weights download). Training reproduction not possible (training data not released).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for inference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1 (for Muntaser to populate)</w:t>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2 (for Muntaser to populate)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15392"/>
            <w:gridSpan w:val="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Benchmark hardware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used for reported throughput numbers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Cohere does not publish per-benchmark hardware. Reference: Command A text on Cohere API runs on undisclosed hardware. Throughput estimates here use 2 x A100 80GB as the design baseline.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Single NVIDIA A100, batch=512, 72 DPI, OmniDocBench v1.5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T4 (PaddleOCR 3.0 tech report); Intel Xeon Gold 6271C for CPU</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Hardware not specified beyond "identical hardware, single replica, single concurrency". A100 class likely.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yet published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x RTX 4090 48GB combined (collaborator eval)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3080 12GB (collaborator eval)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3090 16GB (collaborator eval)</w:t>
            </w:r>
          </w:p>
        </w:tc>
      </w:tr>
    </w:tbl>
    <w:p>
      <w:pPr>
        <w:sectPr>
          <w:pgSz w:w="16838" w:h="11906" w:orient="landscape"/>
          <w:pgMar w:top="720" w:right="720" w:bottom="720" w:left="720" w:header="708" w:footer="708" w:gutter="0"/>
          <w:pgNumType/>
          <w:docGrid w:linePitch="360"/>
        </w:sectPr>
      </w:pPr>
    </w:p>
    <w:p>
      <w:pPr>
        <w:spacing w:after="240" w:before="600"/>
      </w:pPr>
      <w:r>
        <w:rPr>
          <w:rFonts w:ascii="Calibri" w:cs="Calibri" w:eastAsia="Calibri" w:hAnsi="Calibri"/>
          <w:b/>
          <w:bCs/>
          <w:sz w:val="28"/>
          <w:szCs w:val="28"/>
        </w:rPr>
        <w:t xml:space="preserve">Optimization-versus-replacement analysis</w:t>
      </w:r>
    </w:p>
    <w:p>
      <w:pPr>
        <w:spacing w:after="120" w:before="0"/>
      </w:pPr>
      <w:r>
        <w:rPr>
          <w:rFonts w:ascii="Calibri" w:cs="Calibri" w:eastAsia="Calibri" w:hAnsi="Calibri"/>
          <w:b/>
          <w:bCs/>
          <w:sz w:val="24"/>
          <w:szCs w:val="24"/>
        </w:rPr>
        <w:t xml:space="preserve">Where Command A Vision is strong</w:t>
      </w:r>
    </w:p>
    <w:p>
      <w:pPr>
        <w:spacing w:after="200" w:before="0"/>
      </w:pPr>
      <w:r>
        <w:rPr>
          <w:rFonts w:ascii="Calibri" w:cs="Calibri" w:eastAsia="Calibri" w:hAnsi="Calibri"/>
          <w:sz w:val="20"/>
          <w:szCs w:val="20"/>
        </w:rPr>
        <w:t xml:space="preserve">Command A Vision posts the highest published DocVQA score in this comparison (95.9 percent), the highest published InfoVQA score (82.9 percent), and a strong legacy-OCRBench score (86.9 percent). Its multi-image handling (up to 20 images per request, 128K nominal context) is genuinely useful for multi-page bill or invoice scenarios. Its vendor positioning is explicitly enterprise-document-focused: Cohere markets Fujitsu and Oracle Infrastructure Industries deployments as case studies, and the model was trained with document tasks emphasized through three-stage training (vision-language alignment, supervised fine-tuning, RLHF). The architecture is conservative and well-supported: SigLIP 2 vision encoder, LLaVA-style soft vision tokens, Command A 111B dense text tower. There is no exotic component that would surprise an inference engineer porting it to vLLM or TensorRT-LLM.</w:t>
      </w:r>
    </w:p>
    <w:p>
      <w:pPr>
        <w:spacing w:after="120" w:before="0"/>
      </w:pPr>
      <w:r>
        <w:rPr>
          <w:rFonts w:ascii="Calibri" w:cs="Calibri" w:eastAsia="Calibri" w:hAnsi="Calibri"/>
          <w:b/>
          <w:bCs/>
          <w:sz w:val="24"/>
          <w:szCs w:val="24"/>
        </w:rPr>
        <w:t xml:space="preserve">Where Command A Vision is weak</w:t>
      </w:r>
    </w:p>
    <w:p>
      <w:pPr>
        <w:spacing w:after="200" w:before="0"/>
      </w:pPr>
      <w:r>
        <w:rPr>
          <w:rFonts w:ascii="Calibri" w:cs="Calibri" w:eastAsia="Calibri" w:hAnsi="Calibri"/>
          <w:sz w:val="20"/>
          <w:szCs w:val="20"/>
        </w:rPr>
        <w:t xml:space="preserve">Three weaknesses are material to the optimization-or-replace decision. First, the license: CC-BY-NC-4.0 with required Cohere enterprise contract for commercial use means Agilink is paying ongoing licensing costs that competitive specialists do not require. Second, the parameter count: 112 billion dense parameters is heavy for a document-parsing task that PaddleOCR-VL-1.5 and GLM-OCR solve at 0.9 billion parameters with similar or better accuracy on document-specific benchmarks. The compute and memory cost per page is roughly two orders of magnitude higher than a specialist of equivalent accuracy, and that cost shows up directly in 2 x A100 80GB minimum deployment, slow cold start, and memory-bandwidth-bound decode. Third, the benchmark coverage gap: Command A Vision has not been evaluated on OmniDocBench (the modern document-parsing standard) or OCRBench v2, so direct accuracy comparison against PaddleOCR-VL-1.5 (94.50 on OmniDocBench v1.5) or GLM-OCR (94.62) is not possible without running internal benchmarks.</w:t>
      </w:r>
    </w:p>
    <w:p>
      <w:pPr>
        <w:spacing w:after="200" w:before="0"/>
      </w:pPr>
      <w:r>
        <w:rPr>
          <w:rFonts w:ascii="Calibri" w:cs="Calibri" w:eastAsia="Calibri" w:hAnsi="Calibri"/>
          <w:sz w:val="20"/>
          <w:szCs w:val="20"/>
        </w:rPr>
        <w:t xml:space="preserve">A fourth weakness, less material but worth flagging: tool use and function calling are not available in the vision variant as of the July 2025 release. If the Agilink pipeline depends on function-calling for schema-enforced JSON output, this is a real limitation that the underlying Command A text model does not have.</w:t>
      </w:r>
    </w:p>
    <w:p>
      <w:pPr>
        <w:spacing w:after="120" w:before="0"/>
      </w:pPr>
      <w:r>
        <w:rPr>
          <w:rFonts w:ascii="Calibri" w:cs="Calibri" w:eastAsia="Calibri" w:hAnsi="Calibri"/>
          <w:b/>
          <w:bCs/>
          <w:sz w:val="24"/>
          <w:szCs w:val="24"/>
        </w:rPr>
        <w:t xml:space="preserve">Optimization opportunities within Command A Vision</w:t>
      </w:r>
    </w:p>
    <w:p>
      <w:pPr>
        <w:spacing w:after="200" w:before="0"/>
      </w:pPr>
      <w:r>
        <w:rPr>
          <w:rFonts w:ascii="Calibri" w:cs="Calibri" w:eastAsia="Calibri" w:hAnsi="Calibri"/>
          <w:sz w:val="20"/>
          <w:szCs w:val="20"/>
        </w:rPr>
        <w:t xml:space="preserve">Six optimization options are worth investigating before considering replacement. First, FP8 quantization on H100 hardware. H100 has native FP8 tensor cores; vLLM benchmarks report 2x memory reduction and up to 1.6x throughput gain with minimal accuracy loss, and dynamic FP8 is handled at serve time. This alone could move Command A Vision from 2 x A100 to 1 x H100 deployment with comparable throughput. Second, INT4 quantization is already documented as a single-GPU option on H100 80GB. The accuracy cost on document tasks should be measured on Agilink data before committing. Third, vLLM continuous batching with PagedAttention is essential at this scale, and the throughput uplift over naive HuggingFace transformers can be 2x to 24x depending on concurrency. If the current production deployment uses transformers without PagedAttention, this is the largest single optimization available. Fourth, prompt caching: AWS Bedrock reports up to 90 percent cost reduction for cached prefixes, and SGLang RadixAttention caches automatically. If the system prompt and JSON schema are static across all receipts, this is a very high-impact change. Fifth, reducing per-image vision token budget: 3,328 tokens per image at the default 12-tile-plus-thumbnail configuration is generous for text-heavy receipts. Reducing tile count or resolution should cut per-image latency materially with low accuracy cost on text-heavy documents, but requires A/B testing on Agilink data. Sixth, speculative decoding using Command A R7B as a draft model; estimated 1.5x to 2x speedup if draft-target accuracy alignment is acceptable.</w:t>
      </w:r>
    </w:p>
    <w:p>
      <w:pPr>
        <w:spacing w:after="120" w:before="0"/>
      </w:pPr>
      <w:r>
        <w:rPr>
          <w:rFonts w:ascii="Calibri" w:cs="Calibri" w:eastAsia="Calibri" w:hAnsi="Calibri"/>
          <w:b/>
          <w:bCs/>
          <w:sz w:val="24"/>
          <w:szCs w:val="24"/>
        </w:rPr>
        <w:t xml:space="preserve">Replacement candidates ranked</w:t>
      </w:r>
    </w:p>
    <w:p>
      <w:pPr>
        <w:spacing w:after="160" w:before="0"/>
      </w:pPr>
      <w:r>
        <w:rPr>
          <w:rFonts w:ascii="Calibri" w:cs="Calibri" w:eastAsia="Calibri" w:hAnsi="Calibri"/>
          <w:sz w:val="20"/>
          <w:szCs w:val="20"/>
        </w:rPr>
        <w:t xml:space="preserve">Three of the seven comparison models are serious replacement candidates. The other four are not, for reasons noted at the end of this section.</w:t>
      </w:r>
    </w:p>
    <w:p>
      <w:pPr>
        <w:spacing w:after="160" w:before="0"/>
      </w:pPr>
      <w:r>
        <w:rPr>
          <w:rFonts w:ascii="Calibri" w:cs="Calibri" w:eastAsia="Calibri" w:hAnsi="Calibri"/>
          <w:b/>
          <w:bCs/>
          <w:sz w:val="20"/>
          <w:szCs w:val="20"/>
        </w:rPr>
        <w:t xml:space="preserve">Top replacement candidate: GLM-OCR. </w:t>
      </w:r>
      <w:r>
        <w:rPr>
          <w:rFonts w:ascii="Calibri" w:cs="Calibri" w:eastAsia="Calibri" w:hAnsi="Calibri"/>
          <w:sz w:val="20"/>
          <w:szCs w:val="20"/>
        </w:rPr>
        <w:t xml:space="preserve">MIT license (no commercial blocker). 0.9B parameters means roughly 100x less compute per page than Command A Vision. OmniDocBench v1.5 score of 94.62 is the highest among open document parsers. Zhipu publishes a 94.5 in-house receipt-KIE score against GPT-5.2 at 83.5, which is the most directly relevant benchmark for the Agilink use case. Throughput of 1.86 pages per second on PDFs at single concurrency is published. Hardware footprint of 4GB+ VRAM means many replicas per GPU. The trade-off: only 8 languages officially supported (English plus 7 others), so multi-language receipts in scripts beyond Chinese, English, French, Spanish, Russian, German, Japanese, and Korean are out of scope. If Agilink receipts are predominantly in those 8 languages, GLM-OCR is the strongest replacement candidate by every metric that matters.</w:t>
      </w:r>
    </w:p>
    <w:p>
      <w:pPr>
        <w:spacing w:after="160" w:before="0"/>
      </w:pPr>
      <w:r>
        <w:rPr>
          <w:rFonts w:ascii="Calibri" w:cs="Calibri" w:eastAsia="Calibri" w:hAnsi="Calibri"/>
          <w:b/>
          <w:bCs/>
          <w:sz w:val="20"/>
          <w:szCs w:val="20"/>
        </w:rPr>
        <w:t xml:space="preserve">Second replacement candidate: PaddleOCR-VL-1.5. </w:t>
      </w:r>
      <w:r>
        <w:rPr>
          <w:rFonts w:ascii="Calibri" w:cs="Calibri" w:eastAsia="Calibri" w:hAnsi="Calibri"/>
          <w:sz w:val="20"/>
          <w:szCs w:val="20"/>
        </w:rPr>
        <w:t xml:space="preserve">Apache 2.0 license. 0.9B parameters. OmniDocBench v1.5 score of 94.50, just behind GLM-OCR. 111 languages supported (broadest in the comparison). Native to the PaddleOCR ecosystem, which means PP-DocLayoutV3, PP-StructureV3, and PP-ChatOCRv4 are first-class companion components if the Agilink pipeline needs layout, table, or KIE staging. Real5-OmniDocBench training gives it strong robustness on skew, warp, scan, illumination, and screen-photo failure modes that are common on receipts. Trade-off vs GLM-OCR: slightly lower OmniDocBench score, no published receipt-KIE benchmark, and the layout module ships from Baidu rather than as a standalone component (functionally fine, organizationally a Baidu dependency). Recommend evaluating both GLM-OCR and PaddleOCR-VL-1.5 in parallel on Agilink data; the better fit will depend on language coverage and the specific receipt characteristics.</w:t>
      </w:r>
    </w:p>
    <w:p>
      <w:pPr>
        <w:spacing w:after="200" w:before="0"/>
      </w:pPr>
      <w:r>
        <w:rPr>
          <w:rFonts w:ascii="Calibri" w:cs="Calibri" w:eastAsia="Calibri" w:hAnsi="Calibri"/>
          <w:b/>
          <w:bCs/>
          <w:sz w:val="20"/>
          <w:szCs w:val="20"/>
        </w:rPr>
        <w:t xml:space="preserve">Third candidate (specialist baseline floor): PP-OCRv5 server. </w:t>
      </w:r>
      <w:r>
        <w:rPr>
          <w:rFonts w:ascii="Calibri" w:cs="Calibri" w:eastAsia="Calibri" w:hAnsi="Calibri"/>
          <w:sz w:val="20"/>
          <w:szCs w:val="20"/>
        </w:rPr>
        <w:t xml:space="preserve">Apache 2.0. CPU viable. Effectively zero infrastructure cost. If Agilink receipts are predominantly clean printed text with consistent formatting (the easy case), PP-OCRv5 alone may extract enough to feed downstream rule-based extraction without a VLM in the loop at all. Worth keeping as a baseline to measure the marginal value of the heavier specialists against. Pair with PP-StructureV3 if line-item table structure is needed and PP-ChatOCRv4 if KIE prompting is needed.</w:t>
      </w:r>
    </w:p>
    <w:p>
      <w:pPr>
        <w:spacing w:after="120" w:before="0"/>
      </w:pPr>
      <w:r>
        <w:rPr>
          <w:rFonts w:ascii="Calibri" w:cs="Calibri" w:eastAsia="Calibri" w:hAnsi="Calibri"/>
          <w:b/>
          <w:bCs/>
          <w:sz w:val="24"/>
          <w:szCs w:val="24"/>
        </w:rPr>
        <w:t xml:space="preserve">Models not recommended as replacements</w:t>
      </w:r>
    </w:p>
    <w:p>
      <w:pPr>
        <w:spacing w:after="200" w:before="0"/>
      </w:pPr>
      <w:r>
        <w:rPr>
          <w:rFonts w:ascii="Calibri" w:cs="Calibri" w:eastAsia="Calibri" w:hAnsi="Calibri"/>
          <w:sz w:val="20"/>
          <w:szCs w:val="20"/>
        </w:rPr>
        <w:t xml:space="preserve">Gemma 4 26B A4B: too new (April 2026 release). No OCR-specific evaluation has been published yet. Could become a serious candidate in a 6-month timeframe but not today. LLaVA 1.6 34B: 4K context hard limit makes multi-page invoices impractical, slowest model in any comparison done so far (0.2 to 0.33 pages per second on 2 x RTX 4090), no advantage on document-parsing benchmarks compared to specialists. Qwen2-VL 7B: superseded by Qwen3-VL family and never positioned as a document specialist. Llama 3.2-Vision 11B: known to hallucinate on complex or non-standard invoice layouts, the failure mode that hurts most in receipt processing. The Llama 3.2 Community License also adds a 700M MAU clause that is not relevant at Agilink scale today but is a future-proofing concern.</w:t>
      </w:r>
    </w:p>
    <w:p>
      <w:pPr>
        <w:spacing w:after="120" w:before="0"/>
      </w:pPr>
      <w:r>
        <w:rPr>
          <w:rFonts w:ascii="Calibri" w:cs="Calibri" w:eastAsia="Calibri" w:hAnsi="Calibri"/>
          <w:b/>
          <w:bCs/>
          <w:sz w:val="24"/>
          <w:szCs w:val="24"/>
        </w:rPr>
        <w:t xml:space="preserve">Recommendation</w:t>
      </w:r>
    </w:p>
    <w:p>
      <w:pPr>
        <w:spacing w:after="0" w:before="0"/>
      </w:pPr>
      <w:r>
        <w:rPr>
          <w:rFonts w:ascii="Calibri" w:cs="Calibri" w:eastAsia="Calibri" w:hAnsi="Calibri"/>
          <w:sz w:val="20"/>
          <w:szCs w:val="20"/>
        </w:rPr>
        <w:t xml:space="preserve">Run a structured two-week bench. Week one: stand up GLM-OCR and PaddleOCR-VL-1.5 on the existing Agilink GPU pool, run them on a representative sample of production receipts (target: 500 to 2000 documents covering the language and quality distribution Agilink actually sees), and measure field-level extraction accuracy, table-line-item TEDS, latency per page, and dollar-cost per page against Command A Vision as the baseline. In parallel during week one, apply the four cheapest Command A Vision optimizations: vLLM with PagedAttention, FP8 on H100 if H100 hardware is available, prompt caching for the static system prompt and JSON schema, and a per-image-tile-count A/B to find the smallest tile budget that does not degrade accuracy. Week two: based on week-one numbers, decide between three outcomes. Outcome A: optimized Command A Vision is within 5 percent accuracy of the best specialist and total cost of ownership is acceptable; keep the current model and ship the optimizations. Outcome B: a specialist (most likely GLM-OCR or PaddleOCR-VL-1.5) is meaningfully more accurate or more than 50 percent cheaper per page; begin migration with a phased rollout. Outcome C: both options are viable with different trade-offs; run the specialist alongside Command A Vision in shadow mode for 30 days before deciding. The blank annotation rows in the table are intended to capture the actual numbers from this bench.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2026-04-30T18:46:52.158Z</dcterms:created>
  <dcterms:modified xsi:type="dcterms:W3CDTF">2026-04-30T18:46:52.161Z</dcterms:modified>
</cp:coreProperties>
</file>

<file path=docProps/custom.xml><?xml version="1.0" encoding="utf-8"?>
<Properties xmlns="http://schemas.openxmlformats.org/officeDocument/2006/custom-properties" xmlns:vt="http://schemas.openxmlformats.org/officeDocument/2006/docPropsVTypes"/>
</file>