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Monitoring and Observability Tools and Platforms for AI Workflows: Addendum</w:t>
      </w:r>
    </w:p>
    <w:p>
      <w:pPr>
        <w:spacing w:after="200"/>
      </w:pPr>
      <w:r>
        <w:rPr>
          <w:rFonts w:ascii="Calibri" w:cs="Calibri" w:eastAsia="Calibri" w:hAnsi="Calibri"/>
          <w:i/>
          <w:iCs/>
          <w:color w:val="444444"/>
          <w:sz w:val="18"/>
          <w:szCs w:val="18"/>
        </w:rPr>
        <w:t xml:space="preserve">Compiled August 26, 2026. Extends the main comparison table dated August 25, 2026, using the same columns and conventions. Prices reflect vendor published list rates as of the compilation date and are subject to change; quote based products do not publish list prices. Sources: vendor pricing and product pages.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800"/>
        <w:gridCol w:w="1250"/>
        <w:gridCol w:w="2400"/>
        <w:gridCol w:w="1500"/>
        <w:gridCol w:w="2700"/>
        <w:gridCol w:w="2550"/>
      </w:tblGrid>
      <w:tr>
        <w:trPr>
          <w:tblHeader/>
        </w:trPr>
        <w:tc>
          <w:tcPr>
            <w:tcW w:type="dxa" w:w="115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Name</w:t>
            </w:r>
          </w:p>
        </w:tc>
        <w:tc>
          <w:tcPr>
            <w:tcW w:type="dxa" w:w="105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Website</w:t>
            </w:r>
          </w:p>
        </w:tc>
        <w:tc>
          <w:tcPr>
            <w:tcW w:type="dxa" w:w="180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Link</w:t>
            </w:r>
          </w:p>
        </w:tc>
        <w:tc>
          <w:tcPr>
            <w:tcW w:type="dxa" w:w="125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Publisher</w:t>
            </w:r>
          </w:p>
        </w:tc>
        <w:tc>
          <w:tcPr>
            <w:tcW w:type="dxa" w:w="240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Price</w:t>
            </w:r>
          </w:p>
        </w:tc>
        <w:tc>
          <w:tcPr>
            <w:tcW w:type="dxa" w:w="150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Availability</w:t>
            </w:r>
          </w:p>
        </w:tc>
        <w:tc>
          <w:tcPr>
            <w:tcW w:type="dxa" w:w="270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Notes</w:t>
            </w:r>
          </w:p>
        </w:tc>
        <w:tc>
          <w:tcPr>
            <w:tcW w:type="dxa" w:w="255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AI observability fit</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Zabbix</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zabbix.com</w:t>
            </w:r>
          </w:p>
        </w:tc>
        <w:tc>
          <w:tcPr>
            <w:tcW w:type="dxa" w:w="1800"/>
            <w:tcMar>
              <w:top w:type="dxa" w:w="50"/>
              <w:left w:type="dxa" w:w="80"/>
              <w:bottom w:type="dxa" w:w="50"/>
              <w:right w:type="dxa" w:w="80"/>
            </w:tcMar>
            <w:vAlign w:val="top"/>
          </w:tcPr>
          <w:p>
            <w:hyperlink w:history="1" r:id="rIdh2p3fbfjfgrr4a9_lh8xu">
              <w:r>
                <w:rPr>
                  <w:rFonts w:ascii="Calibri" w:cs="Calibri" w:eastAsia="Calibri" w:hAnsi="Calibri"/>
                  <w:color w:val="0563C1"/>
                  <w:sz w:val="16"/>
                  <w:szCs w:val="16"/>
                  <w:u w:val="single"/>
                </w:rPr>
                <w:t xml:space="preserve">www.zabbix.com/subscriptions</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Zabbix</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Open source with no license fee and unlimited hosts, metrics, users, and alerts. Commercial support subscriptions: Silver at USD 325 per month, Gold from USD 825 per month, with Platinum, Enterprise, and Global quoted (priced by covered Zabbix servers and proxies, not host count). Zabbix Cloud SaaS is priced by ingestion rate (new values per second) from USD 50 per month for the Nano tier.</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Self hosted on Linux or managed via Zabbix Cloud; agent based and agentless collection across servers, network devices, VMs, cloud, containers, and databases.</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Mature general purpose infrastructure and network monitoring with templates, autodiscovery, triggers, and dashboards, popular where budgets rule out commercial APM. No LLM specific capability; in AI stacks its role is watching the underlying hosts, network, and supporting services.</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Peripheral: </w:t>
            </w:r>
            <w:r>
              <w:rPr>
                <w:rFonts w:ascii="Calibri" w:cs="Calibri" w:eastAsia="Calibri" w:hAnsi="Calibri"/>
                <w:sz w:val="16"/>
                <w:szCs w:val="16"/>
              </w:rPr>
              <w:t xml:space="preserve">general infrastructure and network monitoring with no LLM specific tooling; watches the hosts and network under AI workloads, not the models, prompts, or agents.</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Microsoft SCOM</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microsoft.com</w:t>
            </w:r>
          </w:p>
        </w:tc>
        <w:tc>
          <w:tcPr>
            <w:tcW w:type="dxa" w:w="1800"/>
            <w:tcMar>
              <w:top w:type="dxa" w:w="50"/>
              <w:left w:type="dxa" w:w="80"/>
              <w:bottom w:type="dxa" w:w="50"/>
              <w:right w:type="dxa" w:w="80"/>
            </w:tcMar>
            <w:vAlign w:val="top"/>
          </w:tcPr>
          <w:p>
            <w:hyperlink w:history="1" r:id="rIdsjbea7hlrvbjukzrufjtt">
              <w:r>
                <w:rPr>
                  <w:rFonts w:ascii="Calibri" w:cs="Calibri" w:eastAsia="Calibri" w:hAnsi="Calibri"/>
                  <w:color w:val="0563C1"/>
                  <w:sz w:val="16"/>
                  <w:szCs w:val="16"/>
                  <w:u w:val="single"/>
                </w:rPr>
                <w:t xml:space="preserve">learn.microsoft.com/en-us/system-center/scom</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Microsoft</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Perpetual licensing through System Center 2025 Standard and Datacenter editions (differentiated by virtualization rights), licensed per physical core of managed server endpoints with client management licenses for user devices; prices rose 10 percent over System Center 2022 and vary by channel and agreement. No additional SQL license needed for customers with SQL Server Standard.</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On premises software; System Center 2025 is the current LTSC release aligned with Windows Server 2025, with mainstream support to 2029 and extended support to 2034.</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Operations Manager is the monitoring engine of the System Center suite: agent based and agentless health monitoring across Windows, Linux, Unix, network devices, and applications through management packs (SQL Server, Exchange, IIS, Active Directory, and hundreds of third party products). The 2025 release moves the Linux agent toward an OpenTelemetry aligned format, while Microsoft steers new investment toward Azure Arc and Azure Monitor.</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Peripheral: </w:t>
            </w:r>
            <w:r>
              <w:rPr>
                <w:rFonts w:ascii="Calibri" w:cs="Calibri" w:eastAsia="Calibri" w:hAnsi="Calibri"/>
                <w:sz w:val="16"/>
                <w:szCs w:val="16"/>
              </w:rPr>
              <w:t xml:space="preserve">datacenter monitoring for the servers under AI workloads at most; no LLM awareness, and Microsoft's AI observability investment sits in Azure Monitor and Foundry Observability instead.</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Catchpoint</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catchpoint.com</w:t>
            </w:r>
          </w:p>
        </w:tc>
        <w:tc>
          <w:tcPr>
            <w:tcW w:type="dxa" w:w="1800"/>
            <w:tcMar>
              <w:top w:type="dxa" w:w="50"/>
              <w:left w:type="dxa" w:w="80"/>
              <w:bottom w:type="dxa" w:w="50"/>
              <w:right w:type="dxa" w:w="80"/>
            </w:tcMar>
            <w:vAlign w:val="top"/>
          </w:tcPr>
          <w:p>
            <w:hyperlink w:history="1" r:id="rIdrhp7pkwzzd2n9wnmrkcqp">
              <w:r>
                <w:rPr>
                  <w:rFonts w:ascii="Calibri" w:cs="Calibri" w:eastAsia="Calibri" w:hAnsi="Calibri"/>
                  <w:color w:val="0563C1"/>
                  <w:sz w:val="16"/>
                  <w:szCs w:val="16"/>
                  <w:u w:val="single"/>
                </w:rPr>
                <w:t xml:space="preserve">www.catchpoint.com/pricing</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Catchpoint Systems, Inc. (acquired by LogicMonitor, December 2025)</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Expert plan from USD 11,988 per year (synthetic testing plus real user monitoring, unlimited users, SSO). Full Internet Performance Monitoring is quote based on a points and credits consumption model, with modules such as API monitoring and Internet Insights priced separately.</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SaaS backed by a global observability network of thousands of vantage points across dozens of countries, plus enterprise agents inside private networks; listed on the AWS Marketplace.</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Outside in Internet Performance Monitoring across the layers digital services depend on (DNS, CDN, BGP, SASE, WAN, APIs, SaaS), with synthetic tests, RUM, Internet Sonar outage detection, and AI assisted root cause analysis. Markets an AI Stack Resilience solution for monitoring the reachability and performance of AI services and endpoints.</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Partial fit: </w:t>
            </w:r>
            <w:r>
              <w:rPr>
                <w:rFonts w:ascii="Calibri" w:cs="Calibri" w:eastAsia="Calibri" w:hAnsi="Calibri"/>
                <w:sz w:val="16"/>
                <w:szCs w:val="16"/>
              </w:rPr>
              <w:t xml:space="preserve">strong for the availability, latency, and reachability of external LLM APIs and AI endpoints as users experience them; no tracing, prompt capture, or evaluation of model behavior.</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Prometheus</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prometheus.io</w:t>
            </w:r>
          </w:p>
        </w:tc>
        <w:tc>
          <w:tcPr>
            <w:tcW w:type="dxa" w:w="1800"/>
            <w:tcMar>
              <w:top w:type="dxa" w:w="50"/>
              <w:left w:type="dxa" w:w="80"/>
              <w:bottom w:type="dxa" w:w="50"/>
              <w:right w:type="dxa" w:w="80"/>
            </w:tcMar>
            <w:vAlign w:val="top"/>
          </w:tcPr>
          <w:p>
            <w:hyperlink w:history="1" r:id="rIdxrkfhdxphqat-qfao8wps">
              <w:r>
                <w:rPr>
                  <w:rFonts w:ascii="Calibri" w:cs="Calibri" w:eastAsia="Calibri" w:hAnsi="Calibri"/>
                  <w:color w:val="0563C1"/>
                  <w:sz w:val="16"/>
                  <w:szCs w:val="16"/>
                  <w:u w:val="single"/>
                </w:rPr>
                <w:t xml:space="preserve">prometheus.io</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Open source, CNCF graduated project</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Free and open source (Apache 2.0); costs are the infrastructure it runs on. Managed Prometheus compatible services (for example Azure Monitor managed Prometheus and Grafana Cloud) bill on usage.</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Self hosted anywhere, from a single binary to Kubernetes via the Prometheus Operator; the de facto metrics standard of the Kubernetes ecosystem, with managed options on the major clouds.</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Pull based metrics collection, time series storage, PromQL, and Alertmanager. For AI infrastructure it is the standard metrics layer: NVIDIA's DCGM exporter exposes GPU telemetry (utilization, memory, temperature) to Prometheus, and serving stacks such as vLLM and TGI publish native metrics endpoints covering queue depth, time per token, KV cache usage, and request latency, typically visualized in Grafana.</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Good fit for the metrics layer: </w:t>
            </w:r>
            <w:r>
              <w:rPr>
                <w:rFonts w:ascii="Calibri" w:cs="Calibri" w:eastAsia="Calibri" w:hAnsi="Calibri"/>
                <w:sz w:val="16"/>
                <w:szCs w:val="16"/>
              </w:rPr>
              <w:t xml:space="preserve">the default for GPU and inference serving metrics (DCGM exporter, vLLM, TGI), but metrics only; no tracing, prompt capture, or evaluation, so pair it with an LLM tracing platform.</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Rook</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rook.io</w:t>
            </w:r>
          </w:p>
        </w:tc>
        <w:tc>
          <w:tcPr>
            <w:tcW w:type="dxa" w:w="1800"/>
            <w:tcMar>
              <w:top w:type="dxa" w:w="50"/>
              <w:left w:type="dxa" w:w="80"/>
              <w:bottom w:type="dxa" w:w="50"/>
              <w:right w:type="dxa" w:w="80"/>
            </w:tcMar>
            <w:vAlign w:val="top"/>
          </w:tcPr>
          <w:p>
            <w:hyperlink w:history="1" r:id="rId8z_8k1epotaw7vjh40b2f">
              <w:r>
                <w:rPr>
                  <w:rFonts w:ascii="Calibri" w:cs="Calibri" w:eastAsia="Calibri" w:hAnsi="Calibri"/>
                  <w:color w:val="0563C1"/>
                  <w:sz w:val="16"/>
                  <w:szCs w:val="16"/>
                  <w:u w:val="single"/>
                </w:rPr>
                <w:t xml:space="preserve">rook.io</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Open source, CNCF graduated project</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Free and open source (Apache 2.0); costs are the Kubernetes and storage hardware it runs on, with commercial support available from third party vendors.</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Runs in any Kubernetes cluster as an operator, on premises or in cloud.</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Cloud native storage orchestrator: a Kubernetes operator that automates deployment, configuration, provisioning, scaling, upgrades, disaster recovery, monitoring, and resource management for Ceph, delivering block, file, and object storage to pods through CSI. Not a monitoring product; it manages the storage layer that data and AI pipelines sit on.</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Peripheral: </w:t>
            </w:r>
            <w:r>
              <w:rPr>
                <w:rFonts w:ascii="Calibri" w:cs="Calibri" w:eastAsia="Calibri" w:hAnsi="Calibri"/>
                <w:sz w:val="16"/>
                <w:szCs w:val="16"/>
              </w:rPr>
              <w:t xml:space="preserve">storage orchestration, not monitoring; its observability extends to disks, pools, and Ceph cluster health under AI data pipelines, with nothing AI specific.</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Confluent</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confluent.io</w:t>
            </w:r>
          </w:p>
        </w:tc>
        <w:tc>
          <w:tcPr>
            <w:tcW w:type="dxa" w:w="1800"/>
            <w:tcMar>
              <w:top w:type="dxa" w:w="50"/>
              <w:left w:type="dxa" w:w="80"/>
              <w:bottom w:type="dxa" w:w="50"/>
              <w:right w:type="dxa" w:w="80"/>
            </w:tcMar>
            <w:vAlign w:val="top"/>
          </w:tcPr>
          <w:p>
            <w:hyperlink w:history="1" r:id="rIdpw56lncq3ys7vhiuhncst">
              <w:r>
                <w:rPr>
                  <w:rFonts w:ascii="Calibri" w:cs="Calibri" w:eastAsia="Calibri" w:hAnsi="Calibri"/>
                  <w:color w:val="0563C1"/>
                  <w:sz w:val="16"/>
                  <w:szCs w:val="16"/>
                  <w:u w:val="single"/>
                </w:rPr>
                <w:t xml:space="preserve">www.confluent.io/product/streaming-agents</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Confluent, Inc.</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Confluent Cloud is consumption based, pay as you go with no upfront commitment, metered across independent dimensions (Kafka clusters, connectors, Flink stream processing, governance); self managed Confluent Platform is sold by subscription quote. Also purchasable through the AWS Marketplace AI Agents and Tools category.</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Fully managed Confluent Cloud on the major clouds, plus self managed Confluent Platform for on premises and hybrid deployments.</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Data streaming platform (Kafka, Flink, connectors, governance) rather than a monitoring tool; its AI relevance is as the real time data backbone. Streaming Agents, built on managed Flink, run event driven agents with LLM connections and MCP tool calling directly in pipelines, under RBAC and governed, traceable event flows; Kafka's replayable, immutable log lets teams rewind, debug, test, and audit agent behavior.</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Peripheral with an emerging angle: </w:t>
            </w:r>
            <w:r>
              <w:rPr>
                <w:rFonts w:ascii="Calibri" w:cs="Calibri" w:eastAsia="Calibri" w:hAnsi="Calibri"/>
                <w:sz w:val="16"/>
                <w:szCs w:val="16"/>
              </w:rPr>
              <w:t xml:space="preserve">not an observability tool, but the replayable log and stream lineage give Streaming Agents built in auditability, and the platform often carries the real time context AI systems consume.</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Zscaler</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zscaler.com</w:t>
            </w:r>
          </w:p>
        </w:tc>
        <w:tc>
          <w:tcPr>
            <w:tcW w:type="dxa" w:w="1800"/>
            <w:tcMar>
              <w:top w:type="dxa" w:w="50"/>
              <w:left w:type="dxa" w:w="80"/>
              <w:bottom w:type="dxa" w:w="50"/>
              <w:right w:type="dxa" w:w="80"/>
            </w:tcMar>
            <w:vAlign w:val="top"/>
          </w:tcPr>
          <w:p>
            <w:hyperlink w:history="1" r:id="rIdltplfc1g05i97n0zqjubf">
              <w:r>
                <w:rPr>
                  <w:rFonts w:ascii="Calibri" w:cs="Calibri" w:eastAsia="Calibri" w:hAnsi="Calibri"/>
                  <w:color w:val="0563C1"/>
                  <w:sz w:val="16"/>
                  <w:szCs w:val="16"/>
                  <w:u w:val="single"/>
                </w:rPr>
                <w:t xml:space="preserve">www.zscaler.com/pricing-and-plans</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Zscaler, Inc.</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No public list prices; per user per year subscriptions quoted by edition (Essentials, Business, Transformation) across ZIA, ZPA, and ZDX. Third party and marketplace analyses put ZIA at roughly USD 72 to 325 plus per user per year, ZPA at USD 140 to 375 plus, and the ZDX monitoring add on at about USD 2 to 5 per user per month; AWS Marketplace packaged editions run from USD 15,750 per year (Business, 50 users) to USD 312,000 per year (Transformation, 500 users).</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Cloud delivered SaaS on the Zero Trust Exchange, sold through sales contact and the AWS Marketplace, with client connector agents on user devices.</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Zero trust security platform (secure internet and SaaS access, private application access, data protection), not a monitoring product. Two adjacent capabilities matter here: ZDX, its digital experience monitoring module, traces user to application performance with AI assisted root cause analysis; and the AI Security suite (January 2026, extended by the SPLX acquisition and AI Protect) inventories AI apps, models, agents, and MCP servers across 2,900 plus AI apps, detects shadow AI, moderates prompts and responses inline, and adds automated red teaming and runtime guardrails.</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Peripheral: </w:t>
            </w:r>
            <w:r>
              <w:rPr>
                <w:rFonts w:ascii="Calibri" w:cs="Calibri" w:eastAsia="Calibri" w:hAnsi="Calibri"/>
                <w:sz w:val="16"/>
                <w:szCs w:val="16"/>
              </w:rPr>
              <w:t xml:space="preserve">governs and secures AI usage rather than observing AI system behavior; the AI asset inventory and shadow AI dashboards cover who uses what, and ZDX covers user experience of AI apps, but there is no tracing, cost, or quality telemetry for your own AI workloads.</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2p3fbfjfgrr4a9_lh8xu" Type="http://schemas.openxmlformats.org/officeDocument/2006/relationships/hyperlink" Target="https://www.zabbix.com/subscriptions" TargetMode="External"/><Relationship Id="rIdsjbea7hlrvbjukzrufjtt" Type="http://schemas.openxmlformats.org/officeDocument/2006/relationships/hyperlink" Target="https://learn.microsoft.com/en-us/system-center/scom/" TargetMode="External"/><Relationship Id="rIdrhp7pkwzzd2n9wnmrkcqp" Type="http://schemas.openxmlformats.org/officeDocument/2006/relationships/hyperlink" Target="https://www.catchpoint.com/pricing" TargetMode="External"/><Relationship Id="rIdxrkfhdxphqat-qfao8wps" Type="http://schemas.openxmlformats.org/officeDocument/2006/relationships/hyperlink" Target="https://prometheus.io" TargetMode="External"/><Relationship Id="rId8z_8k1epotaw7vjh40b2f" Type="http://schemas.openxmlformats.org/officeDocument/2006/relationships/hyperlink" Target="https://rook.io" TargetMode="External"/><Relationship Id="rIdpw56lncq3ys7vhiuhncst" Type="http://schemas.openxmlformats.org/officeDocument/2006/relationships/hyperlink" Target="https://www.confluent.io/product/streaming-agents/" TargetMode="External"/><Relationship Id="rIdltplfc1g05i97n0zqjubf" Type="http://schemas.openxmlformats.org/officeDocument/2006/relationships/hyperlink" Target="https://www.zscaler.com/pricing-and-plan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and Observability Tools and Platforms for AI Workflows: Addendum</dc:title>
  <dc:creator>Muntaser Syed</dc:creator>
  <cp:lastModifiedBy>Un-named</cp:lastModifiedBy>
  <cp:revision>1</cp:revision>
  <dcterms:created xsi:type="dcterms:W3CDTF">2026-08-26T18:08:49.136Z</dcterms:created>
  <dcterms:modified xsi:type="dcterms:W3CDTF">2026-08-26T18:08:49.151Z</dcterms:modified>
</cp:coreProperties>
</file>

<file path=docProps/custom.xml><?xml version="1.0" encoding="utf-8"?>
<Properties xmlns="http://schemas.openxmlformats.org/officeDocument/2006/custom-properties" xmlns:vt="http://schemas.openxmlformats.org/officeDocument/2006/docPropsVTypes"/>
</file>