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AWS Bedrock Model Deployment: Requirements</w:t>
      </w:r>
    </w:p>
    <w:p>
      <w:pPr>
        <w:pBdr>
          <w:bottom w:val="single" w:color="1F3864" w:sz="8" w:space="4"/>
        </w:pBdr>
        <w:spacing w:after="240"/>
      </w:pPr>
      <w:r>
        <w:rPr>
          <w:rFonts w:ascii="Calibri" w:cs="Calibri" w:eastAsia="Calibri" w:hAnsi="Calibri"/>
          <w:color w:val="595959"/>
          <w:sz w:val="22"/>
          <w:szCs w:val="22"/>
        </w:rPr>
        <w:t xml:space="preserve">Functional and non-functional requirements for the document extraction workload. Version 1.0, 26 August 2026</w:t>
      </w:r>
    </w:p>
    <w:p>
      <w:pPr>
        <w:keepNext/>
        <w:spacing w:after="60" w:before="80"/>
      </w:pPr>
      <w:r>
        <w:rPr>
          <w:rFonts w:ascii="Calibri" w:cs="Calibri" w:eastAsia="Calibri" w:hAnsi="Calibri"/>
          <w:b/>
          <w:bCs/>
          <w:sz w:val="18"/>
          <w:szCs w:val="1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Field</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Value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Ticket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Jira Service Desk: Outline the requirements and resource budgets needed to deploy models on AWS Bedrock. This document answers acceptance criterion 1 (functional and non-functional requirements).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Companion document</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Resource and Cost Budget with Constraints (answers acceptance criteria 2 and 3).</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Author</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Muntaser Syed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Version and status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1.0, draft for team review</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Date</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26 August 2026</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Fact basis</w:t>
            </w:r>
          </w:p>
        </w:tc>
        <w:tc>
          <w:tcPr>
            <w:tcW w:type="dxa" w:w="7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statement about Bedrock model availability, features, quotas and prices was checked against the AWS documentation and the AWS pricing feed on 26 August 2026. Section 9 lists the sources with their publication dates.</w:t>
            </w:r>
          </w:p>
        </w:tc>
      </w:tr>
    </w:tbl>
    <w:p>
      <w:pPr>
        <w:spacing w:after="120"/>
      </w:pPr>
    </w:p>
    <w:p>
      <w:pPr>
        <w:pStyle w:val="Heading1"/>
        <w:keepNext/>
        <w:spacing w:after="120" w:before="280"/>
      </w:pPr>
      <w:r>
        <w:rPr>
          <w:rFonts w:ascii="Calibri" w:cs="Calibri" w:eastAsia="Calibri" w:hAnsi="Calibri"/>
        </w:rPr>
        <w:t xml:space="preserve">1. Purpose and scope</w:t>
      </w:r>
    </w:p>
    <w:p>
      <w:pPr>
        <w:spacing w:after="120" w:before="0" w:line="264"/>
        <w:jc w:val="left"/>
      </w:pPr>
      <w:r>
        <w:rPr>
          <w:rFonts w:ascii="Calibri" w:cs="Calibri" w:eastAsia="Calibri" w:hAnsi="Calibri"/>
          <w:sz w:val="20"/>
          <w:szCs w:val="20"/>
        </w:rPr>
        <w:t xml:space="preserve">This document states what the Bedrock deployment must do and how well it must do it, so that the throughput mode, the capacity and the region can be chosen deliberately rather than reactively. It covers the model serving layer only: the Bedrock model, the inference routing, the invocation path from our LLM gateway, and the security, logging and governance controls around that path. Upstream ingestion (scanning, deduplication, the client side cache layers) and downstream posting into Agilink and Datafaction are out of scope, except where they impose a requirement on the model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 scope</w:t>
            </w:r>
          </w:p>
        </w:tc>
        <w:tc>
          <w:tcPr>
            <w:tcW w:type="dxa" w:w="46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Out of scope</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Selection criteria for the Bedrock model that performs the extraction</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Scanning hardware, image capture and pre-processing quality</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Inference routing (in-region, geographic and global inference profiles) and service tiers</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Redis and Kafka cache layers, except for their interaction with prompt caching</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Real-time and batch invocation paths and their capacity</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Agilink and Datafaction posting logic and reconciliation</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Security, data residency, logging, audit and model risk controls at the model layer</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Human review tooling for low confidence fields</w:t>
            </w:r>
          </w:p>
        </w:tc>
      </w:tr>
      <w:tr>
        <w:trPr>
          <w:cantSplit/>
        </w:trPr>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version pinning, lifecycle and change control</w:t>
            </w:r>
          </w:p>
        </w:tc>
        <w:tc>
          <w:tcPr>
            <w:tcW w:type="dxa" w:w="46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Pricing and quota arithmetic (covered in the companion budget document)</w:t>
            </w:r>
          </w:p>
        </w:tc>
      </w:tr>
    </w:tbl>
    <w:p>
      <w:pPr>
        <w:spacing w:after="120"/>
      </w:pPr>
    </w:p>
    <w:p>
      <w:pPr>
        <w:pStyle w:val="Heading1"/>
        <w:keepNext/>
        <w:spacing w:after="120" w:before="280"/>
      </w:pPr>
      <w:r>
        <w:rPr>
          <w:rFonts w:ascii="Calibri" w:cs="Calibri" w:eastAsia="Calibri" w:hAnsi="Calibri"/>
        </w:rPr>
        <w:t xml:space="preserve">2. Reference workload and working assumptions</w:t>
      </w:r>
    </w:p>
    <w:p>
      <w:pPr>
        <w:spacing w:after="120" w:before="0" w:line="264"/>
        <w:jc w:val="left"/>
      </w:pPr>
      <w:r>
        <w:rPr>
          <w:rFonts w:ascii="Calibri" w:cs="Calibri" w:eastAsia="Calibri" w:hAnsi="Calibri"/>
          <w:sz w:val="20"/>
          <w:szCs w:val="20"/>
        </w:rPr>
        <w:t xml:space="preserve">Requirements are written against the scanned invoice and receipt extraction workload because it is the workload the team is building now. Where a requirement is independent of the workload it is written that way, so the same document can be reused for the next Bedrock deployment. Every quantity below is a working assumption to be replaced with a measured value; the owner column names who confirms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2400"/>
        <w:gridCol w:w="18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Parameter</w:t>
            </w:r>
          </w:p>
        </w:tc>
        <w:tc>
          <w:tcPr>
            <w:tcW w:type="dxa" w:w="34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Working assumption</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Basis</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 to confirm</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Task</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Extract structured fields from scanned invoices and receipts into JSON for Agilink and Datafaction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Current pipeline design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 owner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Input unit</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One page image (JPEG or PNG) per model request; multi-page documents are split into per-page requests by the pipeline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Pipeline design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Output</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JSON document with field values and a per-field confidence value; about 1,000 output tokens per page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basis used in earlier benchmarking</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Fixed prompt</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System prompt plus extraction schema, about 800 text tokens per request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Estimate, to be measured with the count tokens API</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Monthly volume scenarios</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20,000 / 100,000 / 500,000 documents per month</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Planning scenarios, to be replaced with measured intake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 owner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Peak intake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 documents per minute during business hours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Planning scenario</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Traffic shape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Business-hours intake plus an overnight backlog and periodic reprocessing, which suits a mixed real-time plus batch design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Assumption</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Operations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Languages</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English and French at minimum; Spanish possible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Assumption based on the client base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Product owner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classification</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contain personal information and payment details (bank account numbers on invoices, truncated card numbers on receipts)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Nature of the documents</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Quality baseline</w:t>
            </w:r>
          </w:p>
        </w:tc>
        <w:tc>
          <w:tcPr>
            <w:tcW w:type="dxa" w:w="3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 Command A Vision results on the labeled invoice and receipt set</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Current quality ceiling model</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r>
    </w:tbl>
    <w:p>
      <w:pPr>
        <w:spacing w:after="120"/>
      </w:pPr>
    </w:p>
    <w:p>
      <w:pPr>
        <w:pStyle w:val="Heading1"/>
        <w:keepNext/>
        <w:spacing w:after="120" w:before="280"/>
      </w:pPr>
      <w:r>
        <w:rPr>
          <w:rFonts w:ascii="Calibri" w:cs="Calibri" w:eastAsia="Calibri" w:hAnsi="Calibri"/>
        </w:rPr>
        <w:t xml:space="preserve">3. Model availability finding that shapes the requirements</w:t>
      </w:r>
    </w:p>
    <w:p>
      <w:pPr>
        <w:spacing w:after="120" w:before="0" w:line="264"/>
        <w:jc w:val="left"/>
      </w:pPr>
      <w:r>
        <w:rPr>
          <w:rFonts w:ascii="Calibri" w:cs="Calibri" w:eastAsia="Calibri" w:hAnsi="Calibri"/>
          <w:sz w:val="20"/>
          <w:szCs w:val="20"/>
        </w:rPr>
        <w:t xml:space="preserve">The quality ceiling model used so far, Cohere Command A Vision, is not offered on Amazon Bedrock. As of 26 August 2026 the Bedrock model catalog lists six Cohere models: Rerank 3.5, Command R, Command R+, Embed English, Embed Multilingual and Embed v4. Command R and Command R+ are text only and are marked Legacy with an end of life date of 19 August 2026. Custom Model Import supports the Llama, multimodal Llama, Mistral, Mixtral, Flan, Qwen and OpenAI gpt-oss architectures; the Cohere architecture is not on that list, so importing the published Command A Vision weights is not a route either. The deployment therefore requires a Bedrock-native vision model. Every requirement in Sections 4 and 5 is written so that more than one candidate can satisfy it, and Section 7 records how each candidate scores.</w:t>
      </w:r>
    </w:p>
    <w:p>
      <w:pPr>
        <w:keepNext/>
        <w:spacing w:after="60" w:before="80"/>
      </w:pPr>
      <w:r>
        <w:rPr>
          <w:rFonts w:ascii="Calibri" w:cs="Calibri" w:eastAsia="Calibri" w:hAnsi="Calibri"/>
          <w:b/>
          <w:bCs/>
          <w:sz w:val="18"/>
          <w:szCs w:val="18"/>
        </w:rPr>
        <w:t xml:space="preserve">Table 3.1. Cohere models on Bedrock, status on 26 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900"/>
        <w:gridCol w:w="36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Image input</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Status on Bedrock</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Relevance to this deployment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Command A Vision</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 in the Bedrock catalog</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Cannot be deployed on Bedrock; remains available through the Cohere platform and other clouds, which is outside the scope of this ticket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Command R+</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end of life 19 August 2026 (us-east-1, us-west-2)</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usable: text only and retired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Command R</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Legacy, end of life 19 August 2026</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usable: text only and retired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 v4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Embedding model</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global, geo and in-region options</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Could support near-duplicate detection or retrieval, not extraction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Rerank 3.5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applicable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w:t>
            </w:r>
          </w:p>
        </w:tc>
        <w:tc>
          <w:tcPr>
            <w:tcW w:type="dxa" w:w="3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applicable</w:t>
            </w:r>
          </w:p>
        </w:tc>
      </w:tr>
    </w:tbl>
    <w:p>
      <w:pPr>
        <w:spacing w:after="120"/>
      </w:pPr>
    </w:p>
    <w:p>
      <w:pPr>
        <w:keepNext/>
        <w:spacing w:after="60" w:before="80"/>
      </w:pPr>
      <w:r>
        <w:rPr>
          <w:rFonts w:ascii="Calibri" w:cs="Calibri" w:eastAsia="Calibri" w:hAnsi="Calibri"/>
          <w:b/>
          <w:bCs/>
          <w:sz w:val="18"/>
          <w:szCs w:val="18"/>
        </w:rPr>
        <w:t xml:space="preserve">Table 3.2. Bedrock-native vision models considered (features verified on the AWS model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900"/>
        <w:gridCol w:w="1050"/>
        <w:gridCol w:w="600"/>
        <w:gridCol w:w="900"/>
        <w:gridCol w:w="1250"/>
        <w:gridCol w:w="12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Model ID (in-region form)</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Context / max output</w:t>
            </w:r>
          </w:p>
        </w:tc>
        <w:tc>
          <w:tcPr>
            <w:tcW w:type="dxa" w:w="10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Service tiers</w:t>
            </w:r>
          </w:p>
        </w:tc>
        <w:tc>
          <w:tcPr>
            <w:tcW w:type="dxa" w:w="6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Batch</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Structured outputs</w:t>
            </w:r>
          </w:p>
        </w:tc>
        <w:tc>
          <w:tcPr>
            <w:tcW w:type="dxa" w:w="12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Prompt caching</w:t>
            </w:r>
          </w:p>
        </w:tc>
        <w:tc>
          <w:tcPr>
            <w:tcW w:type="dxa" w:w="1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Lifecycle note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4.6 (Anthropic)</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anthropic.claude-sonnet-4-6</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64K</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 (1,024 token minimum per checkpoint)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17 Feb 2026, no EOL date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Haiku 4.5 (Anthropic)</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anthropic.claude-haiku-4-5-20251001-v1:0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200K / 64K</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Reserved</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model card states EOL no sooner than 1 Oct 2026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Claude Sonnet 5 (Anthropic)</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anthropic.claude-sonnet-5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128K</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only</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30 Jun 2026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2 Lite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amazon.nova-2-lite-v1:0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1M / 64K</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Cache read price published; not in the model card feature list</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launched 2 Dec 2025, no EOL date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Lite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amazon.nova-lite-v1:0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300K / 5K</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only</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model card states EOL no sooner than 4 Dec 2025, so retirement notice can arrive at any time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Pro</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amazon.nova-pro-v1:0</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300K / 5K</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Active; not offered from ca-central-1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Llama 4 Maverick and Scout (Meta)</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see model cards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see model cards</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Yes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 regions only in the pricing feed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Pixtral Large 25.02 (Mistral)</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see model card</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see model card</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w:t>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Not listed</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US regions only in the pricing feed</w:t>
            </w:r>
          </w:p>
        </w:tc>
      </w:tr>
    </w:tbl>
    <w:p>
      <w:pPr>
        <w:spacing w:after="120"/>
      </w:pPr>
    </w:p>
    <w:p>
      <w:pPr>
        <w:spacing w:after="120" w:before="0" w:line="264"/>
        <w:jc w:val="left"/>
      </w:pPr>
      <w:r>
        <w:rPr>
          <w:rFonts w:ascii="Calibri" w:cs="Calibri" w:eastAsia="Calibri" w:hAnsi="Calibri"/>
          <w:i/>
          <w:iCs/>
          <w:sz w:val="18"/>
          <w:szCs w:val="18"/>
        </w:rPr>
        <w:t xml:space="preserve">Structured outputs and prompt caching columns reflect the bedrock-runtime endpoint feature tables on each model card. Sonnet 5 lacks structured outputs on that endpoint, which matters for a JSON extraction workload.</w:t>
      </w:r>
    </w:p>
    <w:p>
      <w:pPr>
        <w:pStyle w:val="Heading1"/>
        <w:keepNext/>
        <w:spacing w:after="120" w:before="280"/>
      </w:pPr>
      <w:r>
        <w:rPr>
          <w:rFonts w:ascii="Calibri" w:cs="Calibri" w:eastAsia="Calibri" w:hAnsi="Calibri"/>
        </w:rPr>
        <w:t xml:space="preserve">4. Functional requirements</w:t>
      </w:r>
    </w:p>
    <w:p>
      <w:pPr>
        <w:spacing w:after="120" w:before="0" w:line="264"/>
        <w:jc w:val="left"/>
      </w:pPr>
      <w:r>
        <w:rPr>
          <w:rFonts w:ascii="Calibri" w:cs="Calibri" w:eastAsia="Calibri" w:hAnsi="Calibri"/>
          <w:sz w:val="20"/>
          <w:szCs w:val="20"/>
        </w:rPr>
        <w:t xml:space="preserve">Each requirement carries an identifier for traceability, a rationale, and the method by which the team will verify it before go-live. Priority uses the MoSCoW scale: Must, Should, Could.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400"/>
        <w:gridCol w:w="780"/>
        <w:gridCol w:w="2140"/>
        <w:gridCol w:w="2280"/>
      </w:tblGrid>
      <w:tr>
        <w:trPr>
          <w:cantSplit/>
          <w:tblHeader/>
        </w:trPr>
        <w:tc>
          <w:tcPr>
            <w:tcW w:type="dxa" w:w="7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ID</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Priority</w:t>
            </w:r>
          </w:p>
        </w:tc>
        <w:tc>
          <w:tcPr>
            <w:tcW w:type="dxa" w:w="214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Rationale</w:t>
            </w:r>
          </w:p>
        </w:tc>
        <w:tc>
          <w:tcPr>
            <w:tcW w:type="dxa" w:w="228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Verification</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FR-01</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accepts at least one page image (JPEG or PNG) plus a text instruction in a single request and returns text. The pipeline sends one page per request by default; the per-request image ceiling for the chosen model is confirmed and enforced in the gateway.</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workload is image-first; the Cohere model that handled it is not on Bedrock</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Integration test with representative scans at the sizes produced by the scanners</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returns a JSON object that validates against the extraction schema. Where the model supports Bedrock structured outputs (Sonnet 4.6, Haiku 4.5) the gateway uses that feature; otherwise it uses schema-constrained prompting plus strict validation and a bounded retry.</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Downstream posting into Agilink and Datafaction needs a stable contract</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Schema validation pass rate on the labeled set; target defined in NFR-12</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FR-03</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Each extracted field carries a confidence value that the existing calibration layer can consume. The gateway records the raw model confidence and the calibrated value separately.</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Verbalized confidence is a known calibration problem and drives the straight-through processing rate</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Reliability diagram on the labeled set before and after calibration</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FR-04</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 invocations go through the LLM gateway using the Bedrock Converse API so that the model is selected by configuration (model ID or inference profile ID) rather than by code.</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Allows a model swap without an application release; keeps one audit and cost choke point</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 review; swap test between two candidate models in a lower environment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FR-05</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supports the three routing options as configuration values: in-region model ID, geographic inference profile (us. prefix) and global inference profile (global. prefix), with a per-environment and per-data-class default.</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determines data residency, quota pool and price</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 test; CloudTrail shows the expected profile ARN per request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FR-06</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Two execution paths exist: a real-time path (Standard tier by default) for documents in the interactive flow, and an asynchronous batch path (Bedrock batch inference reading JSONL from S3) for backlog, reprocessing and evaluation runs.</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costs half of Standard for the candidates that support it and removes the backlog from the real-time quota pool</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End-to-end batch job on a 100 record sample; result file lands in the expected S3 prefix</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FR-07</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can set the service_tier parameter per request (default, priority, flex) for models that support the tier, and can route to a Reserved tier allocation if one is procured at the account level.</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Should</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Gives a latency and cost lever without changing model</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Request with each tier value; ResolvedServiceTier metric in CloudWatch matches</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FR-08</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IDs are pinned explicitly (no floating aliases). A model upgrade is a controlled change that passes the regression suite in FR-13 before promotion.</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Regulatory change control; reproducibility of results</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 is version controlled; release checklist includes the regression report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FR-09</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Prompt caching is enabled where the model supports it and where the fixed prefix reaches the minimum checkpoint size (1,024 tokens for the Claude candidates). The gateway reports cache read and cache write token counts.</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Should</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fixed prompt is repeated on every document; caching cuts input cost only when the prefix is long enough to qualify</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CacheReadInputTokens greater than zero in steady state; measured cost delta</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FR-10</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Guardrails are attached to the real-time path with the sensitive information filter on outputs and content filters on inputs and outputs, with the action (block or mask) agreed with information security.</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Should</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contain personal and payment data; outputs may be logged</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trace shows the expected action on seeded test documents</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FR-11</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Every request is logged with a correlation ID, model or profile ID, service tier, token counts, latency and outcome. Prompt and response content is logged only to an encrypted, access-controlled store with a retention period set by the records policy.</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Audit, cost attribution and incident analysis</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Log schema review; sample of records reconciled against CloudTrail and CloudWatch</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FR-12</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gateway retries throttling, model-not-ready and 5xx errors with exponential backoff and jitter, treats requests as idempotent by document ID, routes exhausted retries to a dead-letter queue, and can fail over to a secondary model or profile when the primary is unhealthy.</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Cross-region profiles and quotas can throttle; the pipeline must not lose documents</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Fault injection test: throttling and forced errors; no document lost or duplicated</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FR-13</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 evaluation suite scores every candidate model against the Command A Vision baseline on the labeled invoice and receipt set (field accuracy, schema validity, calibration, latency, cost per document) and produces a report that gates the model choice and every later model upgrade.</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choice is a model risk decision and needs evidence</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Report produced for at least three candidates before go-live</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FR-14</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Extraction works for English and French documents at minimum; Spanish is tested and reported.</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Must</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Client document mix</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Per-language accuracy in the evaluation report</w:t>
            </w:r>
          </w:p>
        </w:tc>
      </w:tr>
      <w:tr>
        <w:trPr>
          <w:cantSplit/>
        </w:trPr>
        <w:tc>
          <w:tcPr>
            <w:tcW w:type="dxa" w:w="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FR-15</w:t>
            </w:r>
          </w:p>
        </w:tc>
        <w:tc>
          <w:tcPr>
            <w:tcW w:type="dxa" w:w="3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Per-request token counts (input, output, cache read, cache write) and the resolved service tier are recorded and attributed to a cost center through tags on an application inference profile.</w:t>
            </w:r>
          </w:p>
        </w:tc>
        <w:tc>
          <w:tcPr>
            <w:tcW w:type="dxa" w:w="7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Should</w:t>
            </w:r>
          </w:p>
        </w:tc>
        <w:tc>
          <w:tcPr>
            <w:tcW w:type="dxa" w:w="21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is a tracked KPI and the budget document depends on it</w:t>
            </w:r>
          </w:p>
        </w:tc>
        <w:tc>
          <w:tcPr>
            <w:tcW w:type="dxa" w:w="228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allocation report shows the tag; monthly reconciliation against the invoice</w:t>
            </w:r>
          </w:p>
        </w:tc>
      </w:tr>
    </w:tbl>
    <w:p>
      <w:pPr>
        <w:spacing w:after="120"/>
      </w:pPr>
    </w:p>
    <w:p>
      <w:pPr>
        <w:pStyle w:val="Heading1"/>
        <w:keepNext/>
        <w:spacing w:after="120" w:before="280"/>
      </w:pPr>
      <w:r>
        <w:rPr>
          <w:rFonts w:ascii="Calibri" w:cs="Calibri" w:eastAsia="Calibri" w:hAnsi="Calibri"/>
        </w:rPr>
        <w:t xml:space="preserve">5. Non-functional requirements</w:t>
      </w:r>
    </w:p>
    <w:p>
      <w:pPr>
        <w:spacing w:after="120" w:before="0" w:line="264"/>
        <w:jc w:val="left"/>
      </w:pPr>
      <w:r>
        <w:rPr>
          <w:rFonts w:ascii="Calibri" w:cs="Calibri" w:eastAsia="Calibri" w:hAnsi="Calibri"/>
          <w:sz w:val="20"/>
          <w:szCs w:val="20"/>
        </w:rPr>
        <w:t xml:space="preserve">Targets marked proposed are starting points for the evaluation suite, not measured facts. They are to be confirmed or revised from the bake-off results and the measured intake before the budget is finalized.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2900"/>
        <w:gridCol w:w="206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ID</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Category</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Target</w:t>
            </w:r>
          </w:p>
        </w:tc>
        <w:tc>
          <w:tcPr>
            <w:tcW w:type="dxa" w:w="20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Measurement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Latency (real-time path)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Time from gateway request to validated JSON for one page image on the Standard tier</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Proposed: p50 at or below 8 s, p95 at or below 20 s; Priority tier evaluated if p95 is missed</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InvocationLatency metric plus gateway timing; measured in the bake-off per model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(real-time path)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Sustain the peak intake without throttling and with headroom against the on-demand quota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300 documents per minute peak, which is 300 requests per minute and about 1.0M tokens per minute for a Claude candidate; keep steady-state use below 60 percent of quota</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ThrottledRequests metric equals zero at peak; quota utilization dashboard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(batch path)</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Clear a backlog of one month of volume within an agreed window</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Proposed: 100,000 documents within 24 hours of submission</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Batch job timestamps; job count and size within the quotas listed in the budget document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Availability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availability of the extraction path</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Bedrock offers a 99.9 percent monthly uptime SLA per region; proposed application target 99.5 percent for the end to end extraction service; Reserved tier targets 99.5 percent for model response if procured</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Synthetic probe every minute; monthly availability report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Resilience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Survive the loss of one destination region and one model</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or global inference profile so that a single region failure does not stop processing; secondary model configured per FR-12</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Game day exercise; failover time recorded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Scalability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Grow from 20,000 to 500,000 documents per month without an architecture change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Quota increase requests filed when steady-state use passes 60 percent of any quota; batch path absorbs growth first</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Capacity review each month against the quota table in the budget document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NFR-07</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Security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in transit and at rest is protected and access is least privilege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TLS for all calls; PrivateLink VPC endpoints for bedrock-runtime and bedrock; IAM policies scoped to the approved model and profile ARNs; KMS customer managed keys for S3, logs and any Bedrock feature that stores data; no content in application logs by default</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Security review sign-off; IAM Access Analyzer; configuration scan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residency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Documents are processed only in approved regions for their data class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option chosen per data class; the geographic profile called from ca-central-1 can route to us-east-1, us-east-2 and us-west-2 as well as ca-central-1, so Canadian-origin data on that profile must be approved for US processing; SCPs can restrict destination regions but blocking any destination region of a profile makes requests on that profile fail</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CloudTrail destination region analysis; SCP and IAM policy review</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Privacy and retention</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retention of prompts and responses by the platform beyond what the records policy allows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Rely on the Bedrock default of zero data retention and zero operator access; exclude models with retention exceptions (Claude Fable 5 retains traffic for up to 30 days with mandatory opt-in; OpenAI GPT-5.x models retain classifier-flagged traffic for up to 30 days); our own content logs follow the records schedule</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allow list review; retention settings on log stores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Compliance evidence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deployment is supportable in front of OSFI, OCC and Federal Reserve examiners</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Artifact reports (SOC 2, ISO 27001, 27017, 27018) on file; third-party risk record for Bedrock and for each model provider per OSFI Guideline B-10; technology and cyber controls mapped to OSFI Guideline B-13; model documentation, validation and monitoring per OSFI Guideline E-23 (2027) and the Federal Reserve and OCC model risk management guidance (SR 11-7 / OCC 2011-12)</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Compliance checklist completed before production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Observability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Operators can see health, capacity and cost in near real time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CloudWatch dashboards for Invocations, InvocationLatency, InputTokenCount, OutputTokenCount, ThrottledRequests, ServiceTier and ResolvedServiceTier per model ID; alarms at 60 and 80 percent of quota and on error rate</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Dashboard walkthrough; alarm test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Quality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Extraction quality is at least as good as the current baseline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Field-level accuracy no worse than the Command A Vision baseline on the labeled set; schema validity at or above 99 percent; straight-through processing at or above 70 percent at six months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suite report (FR-13); monthly production sample audit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governance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Spend is predictable and attributable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AWS Budgets alarm at 80 and 100 percent of the monthly envelope from the budget document; cost per document reported weekly; no Provisioned Throughput or Reserved tier purchase without a written break-even analysis</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Finance review each month</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lifecycle</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 production surprise from a model retirement</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IDs pinned; EOL dates tracked (Haiku 4.5 is not guaranteed beyond 1 October 2026; Nova Lite has passed its no-sooner-than date); migration plan started at least 60 days before any announced EOL</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Quarterly lifecycle review</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Maintainability</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The model can be replaced without code changes and every change is reproducible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Configuration in version control; regression suite runs in CI; runbooks for quota increase, failover and model swap</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Runbook review; successful swap in a lower environment</w:t>
            </w:r>
          </w:p>
        </w:tc>
      </w:tr>
    </w:tbl>
    <w:p>
      <w:pPr>
        <w:spacing w:after="120"/>
      </w:pPr>
    </w:p>
    <w:p>
      <w:pPr>
        <w:pStyle w:val="Heading1"/>
        <w:keepNext/>
        <w:spacing w:after="120" w:before="280"/>
      </w:pPr>
      <w:r>
        <w:rPr>
          <w:rFonts w:ascii="Calibri" w:cs="Calibri" w:eastAsia="Calibri" w:hAnsi="Calibri"/>
        </w:rPr>
        <w:t xml:space="preserve">6. Traceability to the ticket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Acceptance criterion</w:t>
            </w:r>
          </w:p>
        </w:tc>
        <w:tc>
          <w:tcPr>
            <w:tcW w:type="dxa" w:w="53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Where it is answered</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Define functional and non-functional requirements for the deployment (latency, throughput, availability)</w:t>
            </w:r>
          </w:p>
        </w:tc>
        <w:tc>
          <w:tcPr>
            <w:tcW w:type="dxa" w:w="5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Section 4 (FR-01 to FR-15) and Section 5 (NFR-01 to NFR-15); latency NFR-01, throughput NFR-02 and NFR-03, availability NFR-04 and NFR-05</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Estimate resource and cost budgets (on-demand versus Provisioned Throughput cost, quota and capacity needs)</w:t>
            </w:r>
          </w:p>
        </w:tc>
        <w:tc>
          <w:tcPr>
            <w:tcW w:type="dxa" w:w="5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Companion document: Sections 3 to 7</w:t>
            </w:r>
          </w:p>
        </w:tc>
      </w:tr>
      <w:tr>
        <w:trPr>
          <w:cantSplit/>
        </w:trPr>
        <w:tc>
          <w:tcPr>
            <w:tcW w:type="dxa" w:w="4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Capture constraints (region, compliance, quota limits) that affect the budget</w:t>
            </w:r>
          </w:p>
        </w:tc>
        <w:tc>
          <w:tcPr>
            <w:tcW w:type="dxa" w:w="5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Companion document: Section 9; the same constraints appear here as NFR-08, NFR-09, NFR-10 and NFR-14</w:t>
            </w:r>
          </w:p>
        </w:tc>
      </w:tr>
    </w:tbl>
    <w:p>
      <w:pPr>
        <w:spacing w:after="120"/>
      </w:pPr>
    </w:p>
    <w:p>
      <w:pPr>
        <w:pStyle w:val="Heading1"/>
        <w:keepNext/>
        <w:spacing w:after="120" w:before="280"/>
      </w:pPr>
      <w:r>
        <w:rPr>
          <w:rFonts w:ascii="Calibri" w:cs="Calibri" w:eastAsia="Calibri" w:hAnsi="Calibri"/>
        </w:rPr>
        <w:t xml:space="preserve">7. Candidate model fit against the requirements</w:t>
      </w:r>
    </w:p>
    <w:p>
      <w:pPr>
        <w:spacing w:after="120" w:before="0" w:line="264"/>
        <w:jc w:val="left"/>
      </w:pPr>
      <w:r>
        <w:rPr>
          <w:rFonts w:ascii="Calibri" w:cs="Calibri" w:eastAsia="Calibri" w:hAnsi="Calibri"/>
          <w:sz w:val="20"/>
          <w:szCs w:val="20"/>
        </w:rPr>
        <w:t xml:space="preserve">The matrix scores each candidate against the requirements that discriminate between them. It is a screening aid, not the decision: the decision waits for the evaluation report required by FR-13. Y means the model card confirms support, N means it does not, and P means partial or conditional.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340"/>
        <w:gridCol w:w="1340"/>
        <w:gridCol w:w="1340"/>
        <w:gridCol w:w="1340"/>
        <w:gridCol w:w="1340"/>
      </w:tblGrid>
      <w:tr>
        <w:trPr>
          <w:cantSplit/>
          <w:tblHeader/>
        </w:trPr>
        <w:tc>
          <w:tcPr>
            <w:tcW w:type="dxa" w:w="26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Requirement</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Sonnet 4.6</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Haiku 4.5</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Claude Sonnet 5</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Nova 2 Lite</w:t>
            </w:r>
          </w:p>
        </w:tc>
        <w:tc>
          <w:tcPr>
            <w:tcW w:type="dxa" w:w="134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Nova Lite</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FR-01 image input</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FR-02 structured outputs on bedrock-runtime</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 (prompting plus validation)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 (prompting plus validation)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FR-06 batch inference</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FR-07 Priority and Flex tiers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 (Standard, Reserved)</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 (Standard, Reserved)</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 (Standard only)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FR-09 prompt caching</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FR-10 Guardrails on bedrock-runtime</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 callable from ca-central-1</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 (geo and global profiles)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 (geo and global profiles)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 (geo and global profiles)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 (geo and global profiles)</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 (geo profile only)</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NFR-08 in-region option in ca-central-1</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NFR-09 default zero data retention</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NFR-14 no EOL notice pending</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 (no sooner than 1 Oct 2026)</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Y</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 (past its no-sooner-than date)</w:t>
            </w:r>
          </w:p>
        </w:tc>
      </w:tr>
      <w:tr>
        <w:trPr>
          <w:cantSplit/>
        </w:trPr>
        <w:tc>
          <w:tcPr>
            <w:tcW w:type="dxa" w:w="26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Cost per document, Standard tier (from budget document)</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Highest of the five</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Middle</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Middle</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w:t>
            </w:r>
          </w:p>
        </w:tc>
        <w:tc>
          <w:tcPr>
            <w:tcW w:type="dxa" w:w="134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Lowest</w:t>
            </w:r>
          </w:p>
        </w:tc>
      </w:tr>
    </w:tbl>
    <w:p>
      <w:pPr>
        <w:spacing w:after="120"/>
      </w:pPr>
    </w:p>
    <w:p>
      <w:pPr>
        <w:spacing w:after="120" w:before="0" w:line="264"/>
        <w:jc w:val="left"/>
      </w:pPr>
      <w:r>
        <w:rPr>
          <w:rFonts w:ascii="Calibri" w:cs="Calibri" w:eastAsia="Calibri" w:hAnsi="Calibri"/>
          <w:sz w:val="20"/>
          <w:szCs w:val="20"/>
        </w:rPr>
        <w:t xml:space="preserve">Two candidates warrant the full bake-off first: Claude Haiku 4.5 (meets every functional requirement, with a lifecycle caveat) and Amazon Nova 2 Lite (lowest cost among the models that support batch and the service tiers, with JSON validity handled in the gateway). Claude Sonnet 4.6 is the quality fallback if neither reaches the baseline; Claude Sonnet 5 is excluded until batch and structured outputs are available on Bedrock; Nova Lite is excluded because of its lifecycle status and its 5K output limit.</w:t>
      </w:r>
    </w:p>
    <w:p>
      <w:pPr>
        <w:pStyle w:val="Heading1"/>
        <w:keepNext/>
        <w:spacing w:after="120" w:before="280"/>
      </w:pPr>
      <w:r>
        <w:rPr>
          <w:rFonts w:ascii="Calibri" w:cs="Calibri" w:eastAsia="Calibri" w:hAnsi="Calibri"/>
        </w:rPr>
        <w:t xml:space="preserve">8.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1700"/>
        <w:gridCol w:w="1400"/>
        <w:gridCol w:w="13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Decision</w:t>
            </w:r>
          </w:p>
        </w:tc>
        <w:tc>
          <w:tcPr>
            <w:tcW w:type="dxa" w:w="32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Options</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Input needed</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Owner</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Needed before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Source region for the deployment</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ca-central-1 (Canadian-origin data stays in Canada at rest and in transit to the endpoint, but the geographic profile may process in US regions); us-east-1 (widest catalog, lowest price)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Data residency ruling per client data class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 and privacy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sign-off</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policy</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Geographic (us.) profile; global profile (lowest price for some models, no residency limits); in-region (not available for any vision candidate in ca-central-1)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Same ruling as above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Architecture sign-off</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Primary and secondary model</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Haiku 4.5 primary with Nova 2 Lite secondary; Nova 2 Lite primary with Haiku 4.5 secondary; Sonnet 4.6 for the hardest documents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Evaluation report (FR-13)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Throughput mode</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on-demand for the real-time path plus batch for backlog (recommended baseline); Priority tier for interactive documents; Reserved tier only if guaranteed capacity is a hard requirement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Measured intake and latency results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Engineering and finance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Budget approval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Guardrail actions</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Mask versus block for detected personal and payment data in outputs</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 policy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Information security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Content logging</w:t>
            </w:r>
          </w:p>
        </w:tc>
        <w:tc>
          <w:tcPr>
            <w:tcW w:type="dxa" w:w="3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Metadata only versus full prompt and response logging to an encrypted store</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Records policy and examiner expectations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Compliance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Go-live</w:t>
            </w:r>
          </w:p>
        </w:tc>
      </w:tr>
    </w:tbl>
    <w:p>
      <w:pPr>
        <w:spacing w:after="120"/>
      </w:pPr>
    </w:p>
    <w:p>
      <w:pPr>
        <w:pStyle w:val="Heading1"/>
        <w:keepNext/>
        <w:spacing w:after="120" w:before="280"/>
      </w:pPr>
      <w:r>
        <w:rPr>
          <w:rFonts w:ascii="Calibri" w:cs="Calibri" w:eastAsia="Calibri" w:hAnsi="Calibri"/>
        </w:rPr>
        <w:t xml:space="preserve">9. Sources and verification</w:t>
      </w:r>
    </w:p>
    <w:p>
      <w:pPr>
        <w:spacing w:after="120" w:before="0" w:line="264"/>
        <w:jc w:val="left"/>
      </w:pPr>
      <w:r>
        <w:rPr>
          <w:rFonts w:ascii="Calibri" w:cs="Calibri" w:eastAsia="Calibri" w:hAnsi="Calibri"/>
          <w:sz w:val="20"/>
          <w:szCs w:val="20"/>
        </w:rPr>
        <w:t xml:space="preserve">All sources below were retrieved on 26 August 2026. Prices and quotas change; the budget document records the publication dates of the pricing feed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Source</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Used for</w:t>
            </w:r>
          </w:p>
        </w:tc>
        <w:tc>
          <w:tcPr>
            <w:tcW w:type="dxa" w:w="316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vAlign w:val="center"/>
          </w:tcPr>
          <w:p>
            <w:pPr>
              <w:spacing w:after="0" w:line="240"/>
            </w:pPr>
            <w:r>
              <w:rPr>
                <w:rFonts w:ascii="Calibri" w:cs="Calibri" w:eastAsia="Calibri" w:hAnsi="Calibri"/>
                <w:b/>
                <w:bCs/>
                <w:sz w:val="18"/>
                <w:szCs w:val="18"/>
              </w:rPr>
              <w:t xml:space="preserve">URL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models at a glance and per-model cards (Claude Sonnet 4.6, Claude Haiku 4.5, Claude Sonnet 5, Nova 2 Lite, Nova Lite, Nova Pro)</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Model IDs, inference profile IDs, feature support, service tiers, lifecycle dates, regional availability and destination regions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https://docs.aws.amazon.com/bedrock/latest/userguide/model-cards.html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Regional availability by models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In-region, geographic and global options per model; Cohere Command R and R+ end of life</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https://docs.aws.amazon.com/bedrock/latest/userguide/models-region-compatibility.html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Supported Regions and models for inference profiles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Routing behavior, SCP and IAM interaction, application inference profile regions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https://docs.aws.amazon.com/bedrock/latest/userguide/inference-profiles-support.html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Service tiers for optimizing performance and cost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Standard, Priority, Flex and Reserved definitions and minimums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https://docs.aws.amazon.com/bedrock/latest/userguide/service-tiers-inference.html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abuse detection and data protection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Zero data retention and zero operator access defaults; model-specific retention exceptions; model deployment accounts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https://docs.aws.amazon.com/bedrock/latest/userguide/abuse-detection.html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pricing page and Custom Model Import section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Supported import architectures; batch discount statement</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https://aws.amazon.com/bedrock/pricing/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Service Level Agreement</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99.9 percent monthly uptime commitment per region</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https://aws.amazon.com/bedrock/sla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Bedrock endpoints and quotas</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On-demand, cross-region, batch and Provisioned Throughput quotas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https://docs.aws.amazon.com/general/latest/gr/bedrock.html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Anthropic vision documentation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Image token formula (width times height divided by 750) and the 1,568 pixel and about 1,600 token ceiling for standard-tier Claude models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https://docs.anthropic.com/en/docs/vision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Amazon Nova multimodal documentation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Nova 2 Lite flat 230 token image billing; Nova Lite image token table</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https://docs.aws.amazon.com/nova/latest/nova2-userguide/using-multimodal-models.html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Cohere Command A Vision model documentation</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Confirms the model is a Cohere platform and other-cloud offering</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https://docs.cohere.com/docs/command-a-vision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OSFI Guidelines B-10, B-13 and E-23 (2027)</w:t>
            </w:r>
          </w:p>
        </w:tc>
        <w:tc>
          <w:tcPr>
            <w:tcW w:type="dxa" w:w="3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Third-party risk, technology and cyber risk, and model risk expectations</w:t>
            </w:r>
          </w:p>
        </w:tc>
        <w:tc>
          <w:tcPr>
            <w:tcW w:type="dxa" w:w="3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0" w:line="240"/>
            </w:pPr>
            <w:r>
              <w:rPr>
                <w:rFonts w:ascii="Calibri" w:cs="Calibri" w:eastAsia="Calibri" w:hAnsi="Calibri"/>
                <w:sz w:val="18"/>
                <w:szCs w:val="18"/>
              </w:rPr>
              <w:t xml:space="preserve">https://www.osfi-bsif.gc.ca/en/guidance</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AWS Bedrock Model Deployment: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Bedrock Model Deployment: Requirements</dc:title>
  <dc:creator>M. Syed</dc:creator>
  <cp:lastModifiedBy>Un-named</cp:lastModifiedBy>
  <cp:revision>1</cp:revision>
  <dcterms:created xsi:type="dcterms:W3CDTF">2026-08-27T16:52:33.779Z</dcterms:created>
  <dcterms:modified xsi:type="dcterms:W3CDTF">2026-08-27T16:52:33.779Z</dcterms:modified>
</cp:coreProperties>
</file>

<file path=docProps/custom.xml><?xml version="1.0" encoding="utf-8"?>
<Properties xmlns="http://schemas.openxmlformats.org/officeDocument/2006/custom-properties" xmlns:vt="http://schemas.openxmlformats.org/officeDocument/2006/docPropsVTypes"/>
</file>