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AWS Bedrock Model Deployment: Resource and Cost Budget with Constraints</w:t>
      </w:r>
    </w:p>
    <w:p>
      <w:pPr>
        <w:pBdr>
          <w:bottom w:val="single" w:color="1F3864" w:sz="8" w:space="4"/>
        </w:pBdr>
        <w:spacing w:after="240"/>
      </w:pPr>
      <w:r>
        <w:rPr>
          <w:rFonts w:ascii="Calibri" w:cs="Calibri" w:eastAsia="Calibri" w:hAnsi="Calibri"/>
          <w:color w:val="595959"/>
          <w:sz w:val="22"/>
          <w:szCs w:val="22"/>
        </w:rPr>
        <w:t xml:space="preserve">On-demand, batch, Reserved tier and Provisioned Throughput costs, capacity and quota needs, and the region, compliance and quota constraints that shape them. Version 1.0, 26 August 2026</w:t>
      </w:r>
    </w:p>
    <w:p>
      <w:pPr>
        <w:keepNext/>
        <w:spacing w:after="60" w:before="80"/>
      </w:pPr>
      <w:r>
        <w:rPr>
          <w:rFonts w:ascii="Calibri" w:cs="Calibri" w:eastAsia="Calibri" w:hAnsi="Calibri"/>
          <w:b/>
          <w:bCs/>
          <w:sz w:val="18"/>
          <w:szCs w:val="1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Field</w:t>
            </w:r>
          </w:p>
        </w:tc>
        <w:tc>
          <w:tcPr>
            <w:tcW w:type="dxa" w:w="71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Value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Ticket</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Jira Service Desk: Outline the requirements and resource budgets needed to deploy models on AWS Bedrock. This document answers acceptance criterion 2 (resource and cost budgets) and acceptance criterion 3 (constraints that affect the budget).</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Companion document</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Bedrock Model Deployment: Requirements (answers acceptance criterion 1).</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Author</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Muntaser Syed</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Version and status</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 draft for team review</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Date</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26 August 2026</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Price basis</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pricing feeds for Bedrock foundation models (published 14 August 2026) and Bedrock (published 25 August 2026), read on 26 August 2026. Quotas from the AWS General Reference on the same date. All amounts are USD list prices before any enterprise discount program.</w:t>
            </w:r>
          </w:p>
        </w:tc>
      </w:tr>
    </w:tbl>
    <w:p>
      <w:pPr>
        <w:spacing w:after="120"/>
      </w:pPr>
    </w:p>
    <w:p>
      <w:pPr>
        <w:pStyle w:val="Heading1"/>
        <w:keepNext/>
        <w:spacing w:after="120" w:before="280"/>
      </w:pPr>
      <w:r>
        <w:rPr>
          <w:rFonts w:ascii="Calibri" w:cs="Calibri" w:eastAsia="Calibri" w:hAnsi="Calibri"/>
        </w:rPr>
        <w:t xml:space="preserve">1. Purpose and how to read this document</w:t>
      </w:r>
    </w:p>
    <w:p>
      <w:pPr>
        <w:spacing w:after="120" w:before="0" w:line="264"/>
        <w:jc w:val="left"/>
      </w:pPr>
      <w:r>
        <w:rPr>
          <w:rFonts w:ascii="Calibri" w:cs="Calibri" w:eastAsia="Calibri" w:hAnsi="Calibri"/>
          <w:sz w:val="20"/>
          <w:szCs w:val="20"/>
        </w:rPr>
        <w:t xml:space="preserve">This document turns the requirements in the companion document into a costed capacity plan. It answers three questions: what one document costs on each candidate model and throughput mode, what a month costs at three volume scenarios, and which constraints (region, compliance, quota) change those numbers or rule options out. Every figure is derived from list prices and quotas that were read from AWS sources on 26 August 2026; the arithmetic is shown so that the team can rerun it when the assumptions in Section 2 are replaced by measurements.</w:t>
      </w:r>
    </w:p>
    <w:p>
      <w:pPr>
        <w:spacing w:after="120" w:before="0" w:line="264"/>
        <w:jc w:val="left"/>
      </w:pPr>
      <w:r>
        <w:rPr>
          <w:rFonts w:ascii="Calibri" w:cs="Calibri" w:eastAsia="Calibri" w:hAnsi="Calibri"/>
          <w:sz w:val="20"/>
          <w:szCs w:val="20"/>
        </w:rPr>
        <w:t xml:space="preserve">The short version: at the planned volumes, on-demand Standard tier plus batch is the correct throughput mode for every candidate. Reserved tier and Provisioned Throughput buy guaranteed capacity, not lower unit cost, and their minimum commitments exceed the whole on-demand bill at 500,000 documents per month by a wide margin. The region decision is a data residency decision rather than a cost decision, because no vision model offers an in-region option in ca-central-1 and the geographic profile from Canada may process in US regions.</w:t>
      </w:r>
    </w:p>
    <w:p>
      <w:pPr>
        <w:pStyle w:val="Heading1"/>
        <w:keepNext/>
        <w:spacing w:after="120" w:before="280"/>
      </w:pPr>
      <w:r>
        <w:rPr>
          <w:rFonts w:ascii="Calibri" w:cs="Calibri" w:eastAsia="Calibri" w:hAnsi="Calibri"/>
        </w:rPr>
        <w:t xml:space="preserve">2. Cost basis and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4260"/>
      </w:tblGrid>
      <w:tr>
        <w:trPr>
          <w:cantSplit/>
          <w:tblHeader/>
        </w:trPr>
        <w:tc>
          <w:tcPr>
            <w:tcW w:type="dxa" w:w="2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Parameter</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Value used</w:t>
            </w:r>
          </w:p>
        </w:tc>
        <w:tc>
          <w:tcPr>
            <w:tcW w:type="dxa" w:w="42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Basis</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Fixed text prompt per request</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800 tokens</w:t>
            </w:r>
          </w:p>
        </w:tc>
        <w:tc>
          <w:tcPr>
            <w:tcW w:type="dxa" w:w="4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Estimate for system prompt plus schema; to be measured with the count tokens API</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Output per document</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1,000 tokens</w:t>
            </w:r>
          </w:p>
        </w:tc>
        <w:tc>
          <w:tcPr>
            <w:tcW w:type="dxa" w:w="4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Earlier cost basis for the extraction JSON</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tokens per page, Claude models</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1,600 tokens</w:t>
            </w:r>
          </w:p>
        </w:tc>
        <w:tc>
          <w:tcPr>
            <w:tcW w:type="dxa" w:w="4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 vision documentation: tokens equal width times height divided by 750, capped at about 1,600 tokens and 1,568 pixels on the long edge for standard-tier models; a full page scan is resized to that cap</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tokens per page, Nova 2 Lite</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230 tokens</w:t>
            </w:r>
          </w:p>
        </w:tc>
        <w:tc>
          <w:tcPr>
            <w:tcW w:type="dxa" w:w="4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Nova 2 documentation: images are billed at a flat 230 tokens regardless of resolution</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tokens per page, Nova Lite</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1,800 tokens</w:t>
            </w:r>
          </w:p>
        </w:tc>
        <w:tc>
          <w:tcPr>
            <w:tcW w:type="dxa" w:w="4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Nova documentation table: about 1,800 tokens for a 1400 by 900 image</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Monthly volume scenarios</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20,000 / 100,000 / 500,000 documents</w:t>
            </w:r>
          </w:p>
        </w:tc>
        <w:tc>
          <w:tcPr>
            <w:tcW w:type="dxa" w:w="4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Planning scenarios from the requirements document</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Peak intake</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300 documents per minute</w:t>
            </w:r>
          </w:p>
        </w:tc>
        <w:tc>
          <w:tcPr>
            <w:tcW w:type="dxa" w:w="4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Planning scenario from the requirements document</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Hours per month</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730</w:t>
            </w:r>
          </w:p>
        </w:tc>
        <w:tc>
          <w:tcPr>
            <w:tcW w:type="dxa" w:w="4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Used for hourly reservations; AWS pricing examples use 24 hours times 31 days, which gives 744</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Retries and reprocessing</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included in unit costs; a 25 percent contingency is applied in the budget envelope (Section 10)</w:t>
            </w:r>
          </w:p>
        </w:tc>
        <w:tc>
          <w:tcPr>
            <w:tcW w:type="dxa" w:w="4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Assumption</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Prompt caching</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included; the 800 token prompt is below the 1,024 token minimum checkpoint for the Claude models, so caching only pays once the fixed prefix is enlarged</w:t>
            </w:r>
          </w:p>
        </w:tc>
        <w:tc>
          <w:tcPr>
            <w:tcW w:type="dxa" w:w="4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card caching minimums</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Enterprise discounts and credits</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included</w:t>
            </w:r>
          </w:p>
        </w:tc>
        <w:tc>
          <w:tcPr>
            <w:tcW w:type="dxa" w:w="4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List prices only</w:t>
            </w:r>
          </w:p>
        </w:tc>
      </w:tr>
    </w:tbl>
    <w:p>
      <w:pPr>
        <w:spacing w:after="120"/>
      </w:pPr>
    </w:p>
    <w:p>
      <w:pPr>
        <w:pStyle w:val="Heading1"/>
        <w:keepNext/>
        <w:spacing w:after="120" w:before="280"/>
      </w:pPr>
      <w:r>
        <w:rPr>
          <w:rFonts w:ascii="Calibri" w:cs="Calibri" w:eastAsia="Calibri" w:hAnsi="Calibri"/>
        </w:rPr>
        <w:t xml:space="preserve">3. Verified price reference</w:t>
      </w:r>
    </w:p>
    <w:p>
      <w:pPr>
        <w:spacing w:after="120" w:before="0" w:line="264"/>
        <w:jc w:val="left"/>
      </w:pPr>
      <w:r>
        <w:rPr>
          <w:rFonts w:ascii="Calibri" w:cs="Calibri" w:eastAsia="Calibri" w:hAnsi="Calibri"/>
          <w:sz w:val="20"/>
          <w:szCs w:val="20"/>
        </w:rPr>
        <w:t xml:space="preserve">Bedrock prices depend on the model, the routing option and the service tier. Global cross-region routing carries the lowest per-token price for the Anthropic and Nova 2 models; geographic (us. prefix) and in-region routing carry a 10 percent premium for those models. The tables below are the exact figures from the pricing feed for a us-east-1 source region; Canada Central source-region differences are listed in Section 9.</w:t>
      </w:r>
    </w:p>
    <w:p>
      <w:pPr>
        <w:keepNext/>
        <w:spacing w:after="60" w:before="80"/>
      </w:pPr>
      <w:r>
        <w:rPr>
          <w:rFonts w:ascii="Calibri" w:cs="Calibri" w:eastAsia="Calibri" w:hAnsi="Calibri"/>
          <w:b/>
          <w:bCs/>
          <w:sz w:val="18"/>
          <w:szCs w:val="18"/>
        </w:rPr>
        <w:t xml:space="preserve">Table 3.1. Standard tier on-demand prices, USD per 1M tokens, us-east-1 source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100"/>
        <w:gridCol w:w="1300"/>
        <w:gridCol w:w="1300"/>
        <w:gridCol w:w="1230"/>
        <w:gridCol w:w="1230"/>
      </w:tblGrid>
      <w:tr>
        <w:trPr>
          <w:cantSplit/>
          <w:tblHeader/>
        </w:trPr>
        <w:tc>
          <w:tcPr>
            <w:tcW w:type="dxa" w:w="2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Model</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Global: input</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Global: output</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Geo or in-region: input</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Geo or in-region: output</w:t>
            </w:r>
          </w:p>
        </w:tc>
        <w:tc>
          <w:tcPr>
            <w:tcW w:type="dxa" w:w="123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Batch (global): input</w:t>
            </w:r>
          </w:p>
        </w:tc>
        <w:tc>
          <w:tcPr>
            <w:tcW w:type="dxa" w:w="123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Batch (global): output</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Haiku 4.5</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$5.00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$1.10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$5.50</w:t>
            </w:r>
          </w:p>
        </w:tc>
        <w:tc>
          <w:tcPr>
            <w:tcW w:type="dxa" w:w="12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$0.50</w:t>
            </w:r>
          </w:p>
        </w:tc>
        <w:tc>
          <w:tcPr>
            <w:tcW w:type="dxa" w:w="12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$2.50</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4.6</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$15.00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$3.30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$16.50</w:t>
            </w:r>
          </w:p>
        </w:tc>
        <w:tc>
          <w:tcPr>
            <w:tcW w:type="dxa" w:w="12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$1.50</w:t>
            </w:r>
          </w:p>
        </w:tc>
        <w:tc>
          <w:tcPr>
            <w:tcW w:type="dxa" w:w="12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$7.50</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5</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$10.00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$2.20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$11.00</w:t>
            </w:r>
          </w:p>
        </w:tc>
        <w:tc>
          <w:tcPr>
            <w:tcW w:type="dxa" w:w="12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not offered</w:t>
            </w:r>
          </w:p>
        </w:tc>
        <w:tc>
          <w:tcPr>
            <w:tcW w:type="dxa" w:w="12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not offered</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Opus 4.8</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$5.00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$25.00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$5.50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$27.50</w:t>
            </w:r>
          </w:p>
        </w:tc>
        <w:tc>
          <w:tcPr>
            <w:tcW w:type="dxa" w:w="12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not offered</w:t>
            </w:r>
          </w:p>
        </w:tc>
        <w:tc>
          <w:tcPr>
            <w:tcW w:type="dxa" w:w="12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not offered</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2 Lite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$0.30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$2.50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$0.33</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$2.75</w:t>
            </w:r>
          </w:p>
        </w:tc>
        <w:tc>
          <w:tcPr>
            <w:tcW w:type="dxa" w:w="12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$0.15</w:t>
            </w:r>
          </w:p>
        </w:tc>
        <w:tc>
          <w:tcPr>
            <w:tcW w:type="dxa" w:w="12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$1.25</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Lite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no global profile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no global profile</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$0.06</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$0.24</w:t>
            </w:r>
          </w:p>
        </w:tc>
        <w:tc>
          <w:tcPr>
            <w:tcW w:type="dxa" w:w="12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$0.03</w:t>
            </w:r>
          </w:p>
        </w:tc>
        <w:tc>
          <w:tcPr>
            <w:tcW w:type="dxa" w:w="12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$0.12</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Pro</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no global profile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no global profile</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$0.80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$3.20</w:t>
            </w:r>
          </w:p>
        </w:tc>
        <w:tc>
          <w:tcPr>
            <w:tcW w:type="dxa" w:w="12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$0.40</w:t>
            </w:r>
          </w:p>
        </w:tc>
        <w:tc>
          <w:tcPr>
            <w:tcW w:type="dxa" w:w="12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$1.60</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Llama 4 Maverick 17B</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$0.24</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$0.97</w:t>
            </w:r>
          </w:p>
        </w:tc>
        <w:tc>
          <w:tcPr>
            <w:tcW w:type="dxa" w:w="12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$0.12</w:t>
            </w:r>
          </w:p>
        </w:tc>
        <w:tc>
          <w:tcPr>
            <w:tcW w:type="dxa" w:w="12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$0.485</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Llama 4 Scout 17B</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$0.17</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$0.66</w:t>
            </w:r>
          </w:p>
        </w:tc>
        <w:tc>
          <w:tcPr>
            <w:tcW w:type="dxa" w:w="12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$0.085</w:t>
            </w:r>
          </w:p>
        </w:tc>
        <w:tc>
          <w:tcPr>
            <w:tcW w:type="dxa" w:w="12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$0.33</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Pixtral Large 25.02</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$2.00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$6.00</w:t>
            </w:r>
          </w:p>
        </w:tc>
        <w:tc>
          <w:tcPr>
            <w:tcW w:type="dxa" w:w="12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not offered</w:t>
            </w:r>
          </w:p>
        </w:tc>
        <w:tc>
          <w:tcPr>
            <w:tcW w:type="dxa" w:w="12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not offered</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Qwen3 VL 235B A22B</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$0.53</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$2.66</w:t>
            </w:r>
          </w:p>
        </w:tc>
        <w:tc>
          <w:tcPr>
            <w:tcW w:type="dxa" w:w="12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50 percent of Standard</w:t>
            </w:r>
          </w:p>
        </w:tc>
        <w:tc>
          <w:tcPr>
            <w:tcW w:type="dxa" w:w="12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50 percent of Standard</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NVIDIA Nemotron Nano 2 VL</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$0.20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$0.60</w:t>
            </w:r>
          </w:p>
        </w:tc>
        <w:tc>
          <w:tcPr>
            <w:tcW w:type="dxa" w:w="12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50 percent of Standard</w:t>
            </w:r>
          </w:p>
        </w:tc>
        <w:tc>
          <w:tcPr>
            <w:tcW w:type="dxa" w:w="12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50 percent of Standard</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Writer Palmyra Vision 7B</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$0.15</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$0.60</w:t>
            </w:r>
          </w:p>
        </w:tc>
        <w:tc>
          <w:tcPr>
            <w:tcW w:type="dxa" w:w="12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see pricing page</w:t>
            </w:r>
          </w:p>
        </w:tc>
        <w:tc>
          <w:tcPr>
            <w:tcW w:type="dxa" w:w="12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see pricing page</w:t>
            </w:r>
          </w:p>
        </w:tc>
      </w:tr>
    </w:tbl>
    <w:p>
      <w:pPr>
        <w:spacing w:after="120"/>
      </w:pPr>
    </w:p>
    <w:p>
      <w:pPr>
        <w:spacing w:after="120" w:before="0" w:line="264"/>
        <w:jc w:val="left"/>
      </w:pPr>
      <w:r>
        <w:rPr>
          <w:rFonts w:ascii="Calibri" w:cs="Calibri" w:eastAsia="Calibri" w:hAnsi="Calibri"/>
          <w:i/>
          <w:iCs/>
          <w:sz w:val="18"/>
          <w:szCs w:val="18"/>
        </w:rPr>
        <w:t xml:space="preserve">Batch geo prices for the Anthropic models are 10 percent above the global batch prices ($0.55 / $2.75 for Haiku 4.5 and $1.65 / $8.25 for Sonnet 4.6). Prompt cache read prices: Haiku 4.5 $0.10, Sonnet 4.6 $0.30, Sonnet 5 $0.20 (global), Nova 2 Lite $0.075, Nova Lite $0.015 per 1M tokens.</w:t>
      </w:r>
    </w:p>
    <w:p>
      <w:pPr>
        <w:keepNext/>
        <w:spacing w:after="60" w:before="80"/>
      </w:pPr>
      <w:r>
        <w:rPr>
          <w:rFonts w:ascii="Calibri" w:cs="Calibri" w:eastAsia="Calibri" w:hAnsi="Calibri"/>
          <w:b/>
          <w:bCs/>
          <w:sz w:val="18"/>
          <w:szCs w:val="18"/>
        </w:rPr>
        <w:t xml:space="preserve">Table 3.2. Service tier prices where the tier is offered, USD per 1M tokens (input / output), us-east-1 source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1250"/>
        <w:gridCol w:w="1150"/>
        <w:gridCol w:w="1150"/>
        <w:gridCol w:w="1150"/>
        <w:gridCol w:w="1000"/>
        <w:gridCol w:w="101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Model</w:t>
            </w:r>
          </w:p>
        </w:tc>
        <w:tc>
          <w:tcPr>
            <w:tcW w:type="dxa" w:w="11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Standard (geo)</w:t>
            </w:r>
          </w:p>
        </w:tc>
        <w:tc>
          <w:tcPr>
            <w:tcW w:type="dxa" w:w="12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Priority (geo)</w:t>
            </w:r>
          </w:p>
        </w:tc>
        <w:tc>
          <w:tcPr>
            <w:tcW w:type="dxa" w:w="11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Flex (geo)</w:t>
            </w:r>
          </w:p>
        </w:tc>
        <w:tc>
          <w:tcPr>
            <w:tcW w:type="dxa" w:w="11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Standard (global)</w:t>
            </w:r>
          </w:p>
        </w:tc>
        <w:tc>
          <w:tcPr>
            <w:tcW w:type="dxa" w:w="11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Priority (global)</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Flex (global)</w:t>
            </w:r>
          </w:p>
        </w:tc>
        <w:tc>
          <w:tcPr>
            <w:tcW w:type="dxa" w:w="101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Reserved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2 Lite</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$0.33 / $2.75</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$0.5775 / $4.8125</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$0.165 / $1.375</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$0.30 / $2.50</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$0.525 / $4.375</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$0.15 / $1.25</w:t>
            </w:r>
          </w:p>
        </w:tc>
        <w:tc>
          <w:tcPr>
            <w:tcW w:type="dxa" w:w="10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offered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Pro</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$0.80 / $3.20</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$1.40 / $5.60</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$0.40 / $1.60</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global profile</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global profile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global profile</w:t>
            </w:r>
          </w:p>
        </w:tc>
        <w:tc>
          <w:tcPr>
            <w:tcW w:type="dxa" w:w="10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offered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Haiku 4.5</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$1.10 / $5.50</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offered</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offered</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$1.00 / $5.00</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offered</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offered</w:t>
            </w:r>
          </w:p>
        </w:tc>
        <w:tc>
          <w:tcPr>
            <w:tcW w:type="dxa" w:w="10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offered (Table 3.3)</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4.6</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$3.30 / $16.50</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offered</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offered</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$3.00 / $15.00</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offered</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offered</w:t>
            </w:r>
          </w:p>
        </w:tc>
        <w:tc>
          <w:tcPr>
            <w:tcW w:type="dxa" w:w="10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offered (Table 3.3)</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5</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$2.20 / $11.00</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offered</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offered</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$2.00 / $10.00</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offered</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offered</w:t>
            </w:r>
          </w:p>
        </w:tc>
        <w:tc>
          <w:tcPr>
            <w:tcW w:type="dxa" w:w="10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offered</w:t>
            </w:r>
          </w:p>
        </w:tc>
      </w:tr>
    </w:tbl>
    <w:p>
      <w:pPr>
        <w:spacing w:after="120"/>
      </w:pPr>
    </w:p>
    <w:p>
      <w:pPr>
        <w:spacing w:after="120" w:before="0" w:line="264"/>
        <w:jc w:val="left"/>
      </w:pPr>
      <w:r>
        <w:rPr>
          <w:rFonts w:ascii="Calibri" w:cs="Calibri" w:eastAsia="Calibri" w:hAnsi="Calibri"/>
          <w:i/>
          <w:iCs/>
          <w:sz w:val="18"/>
          <w:szCs w:val="18"/>
        </w:rPr>
        <w:t xml:space="preserve">Priority is a 75 percent premium and Flex a 50 percent discount on Standard for the models that offer them. The on-demand quota is shared across Standard, Priority and Flex; Reserved capacity is separate.</w:t>
      </w:r>
    </w:p>
    <w:p>
      <w:pPr>
        <w:keepNext/>
        <w:spacing w:after="60" w:before="80"/>
      </w:pPr>
      <w:r>
        <w:rPr>
          <w:rFonts w:ascii="Calibri" w:cs="Calibri" w:eastAsia="Calibri" w:hAnsi="Calibri"/>
          <w:b/>
          <w:bCs/>
          <w:sz w:val="18"/>
          <w:szCs w:val="18"/>
        </w:rPr>
        <w:t xml:space="preserve">Table 3.3. Reserved tier prices, USD per hour per 1K tokens per minute of reserved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900"/>
        <w:gridCol w:w="900"/>
        <w:gridCol w:w="2000"/>
        <w:gridCol w:w="1860"/>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Model and routing</w:t>
            </w:r>
          </w:p>
        </w:tc>
        <w:tc>
          <w:tcPr>
            <w:tcW w:type="dxa" w:w="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Input, 1-month</w:t>
            </w:r>
          </w:p>
        </w:tc>
        <w:tc>
          <w:tcPr>
            <w:tcW w:type="dxa" w:w="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Output, 1-month</w:t>
            </w:r>
          </w:p>
        </w:tc>
        <w:tc>
          <w:tcPr>
            <w:tcW w:type="dxa" w:w="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Input, 3-month</w:t>
            </w:r>
          </w:p>
        </w:tc>
        <w:tc>
          <w:tcPr>
            <w:tcW w:type="dxa" w:w="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Output, 3-month</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Minimum reservation (100K input TPM plus 10K output TPM) per month, 1-month term</w:t>
            </w:r>
          </w:p>
        </w:tc>
        <w:tc>
          <w:tcPr>
            <w:tcW w:type="dxa" w:w="18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Same, 3-month term</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Haiku 4.5, global</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$0.060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$0.300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$0.0540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$0.270</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$9.00 per hour = $6,570</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$8.10 per hour = $5,913</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Haiku 4.5, geo or in-region</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$0.066</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$0.330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$0.0594</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$0.297</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$9.90 per hour = $7,227</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$8.91 per hour = $6,504</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4.6, global</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$0.180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$0.900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$0.1620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$0.810</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$27.00 per hour = $19,710</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$24.30 per hour = $17,739</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4.6, geo or in-region</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$0.198</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$0.990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$0.1782</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$0.891</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$29.70 per hour = $21,681</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$26.73 per hour = $19,513</w:t>
            </w:r>
          </w:p>
        </w:tc>
      </w:tr>
    </w:tbl>
    <w:p>
      <w:pPr>
        <w:spacing w:after="120"/>
      </w:pPr>
    </w:p>
    <w:p>
      <w:pPr>
        <w:spacing w:after="120" w:before="0" w:line="264"/>
        <w:jc w:val="left"/>
      </w:pPr>
      <w:r>
        <w:rPr>
          <w:rFonts w:ascii="Calibri" w:cs="Calibri" w:eastAsia="Calibri" w:hAnsi="Calibri"/>
          <w:i/>
          <w:iCs/>
          <w:sz w:val="18"/>
          <w:szCs w:val="18"/>
        </w:rPr>
        <w:t xml:space="preserve">Reserved tier minimums are 100,000 input tokens per minute and 10,000 output tokens per minute; terms are 1 or 3 months; the tier targets 99.5 percent uptime for model response and overflows to Standard when demand exceeds the reservation. The 1-month Reserved price equals the Standard per-token price at 100 percent utilization (for example $0.06 per hour buys 6,000,000 input tokens per hour, which is $1.00 per 1M tokens); the 3-month term is 10 percent below Standard at 100 percent utilization. Reserved capacity is enabled at the account level through the AWS account team.</w:t>
      </w:r>
    </w:p>
    <w:p>
      <w:pPr>
        <w:keepNext/>
        <w:spacing w:after="60" w:before="80"/>
      </w:pPr>
      <w:r>
        <w:rPr>
          <w:rFonts w:ascii="Calibri" w:cs="Calibri" w:eastAsia="Calibri" w:hAnsi="Calibri"/>
          <w:b/>
          <w:bCs/>
          <w:sz w:val="18"/>
          <w:szCs w:val="18"/>
        </w:rPr>
        <w:t xml:space="preserve">Table 3.4. Provisioned Throughput prices, USD per hour per model unit, us-east-1 (not offered from ca-central-1)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700"/>
        <w:gridCol w:w="156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Model</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No commitment</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1-month commitment</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6-month commitment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1 model unit per month, 1-month term (730 hours)</w:t>
            </w:r>
          </w:p>
        </w:tc>
        <w:tc>
          <w:tcPr>
            <w:tcW w:type="dxa" w:w="15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1 model unit per month, 6-month term</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2 Lite</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$60.50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$55.00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$30.25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$40,150</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$22,083</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Lite</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$60.50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$55.00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$30.25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$40,150</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$22,083</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Pro</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$60.50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$55.00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$30.25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$40,150</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$22,083</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4.6, Haiku 4.5, Sonnet 5</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not offered (Reserved tier replaces it)</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not offered</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not offered</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r>
    </w:tbl>
    <w:p>
      <w:pPr>
        <w:spacing w:after="120"/>
      </w:pPr>
    </w:p>
    <w:p>
      <w:pPr>
        <w:spacing w:after="120" w:before="0" w:line="264"/>
        <w:jc w:val="left"/>
      </w:pPr>
      <w:r>
        <w:rPr>
          <w:rFonts w:ascii="Calibri" w:cs="Calibri" w:eastAsia="Calibri" w:hAnsi="Calibri"/>
          <w:i/>
          <w:iCs/>
          <w:sz w:val="18"/>
          <w:szCs w:val="18"/>
        </w:rPr>
        <w:t xml:space="preserve">AWS does not publish the tokens per minute that one model unit delivers; the figure comes from the account team. The default quota for model units is zero for every model (Section 9), so a quota increase precedes any purchase.</w:t>
      </w:r>
    </w:p>
    <w:p>
      <w:pPr>
        <w:pStyle w:val="Heading1"/>
        <w:keepNext/>
        <w:spacing w:after="120" w:before="280"/>
      </w:pPr>
      <w:r>
        <w:rPr>
          <w:rFonts w:ascii="Calibri" w:cs="Calibri" w:eastAsia="Calibri" w:hAnsi="Calibri"/>
        </w:rPr>
        <w:t xml:space="preserve">4. Cost per document</w:t>
      </w:r>
    </w:p>
    <w:p>
      <w:pPr>
        <w:spacing w:after="120" w:before="0" w:line="264"/>
        <w:jc w:val="left"/>
      </w:pPr>
      <w:r>
        <w:rPr>
          <w:rFonts w:ascii="Calibri" w:cs="Calibri" w:eastAsia="Calibri" w:hAnsi="Calibri"/>
          <w:sz w:val="20"/>
          <w:szCs w:val="20"/>
        </w:rPr>
        <w:t xml:space="preserve">Cost per document equals input tokens (image plus fixed prompt) times the input price plus output tokens times the output price. Input tokens per document are 2,400 for the Claude models, 1,030 for Nova 2 Lite and 2,600 for Nova Lite; output is 1,000 tokens in every case.</w:t>
      </w:r>
    </w:p>
    <w:p>
      <w:pPr>
        <w:keepNext/>
        <w:spacing w:after="60" w:before="80"/>
      </w:pPr>
      <w:r>
        <w:rPr>
          <w:rFonts w:ascii="Calibri" w:cs="Calibri" w:eastAsia="Calibri" w:hAnsi="Calibri"/>
          <w:b/>
          <w:bCs/>
          <w:sz w:val="18"/>
          <w:szCs w:val="18"/>
        </w:rPr>
        <w:t xml:space="preserve">Table 4.1. Cost per document by model and throughput mode,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100"/>
        <w:gridCol w:w="1250"/>
        <w:gridCol w:w="1050"/>
        <w:gridCol w:w="1050"/>
        <w:gridCol w:w="1050"/>
        <w:gridCol w:w="1060"/>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Model</w:t>
            </w:r>
          </w:p>
        </w:tc>
        <w:tc>
          <w:tcPr>
            <w:tcW w:type="dxa" w:w="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Input tokens</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Standard, global</w:t>
            </w:r>
          </w:p>
        </w:tc>
        <w:tc>
          <w:tcPr>
            <w:tcW w:type="dxa" w:w="12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Standard, geo or in-region</w:t>
            </w:r>
          </w:p>
        </w:tc>
        <w:tc>
          <w:tcPr>
            <w:tcW w:type="dxa" w:w="10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Batch, global</w:t>
            </w:r>
          </w:p>
        </w:tc>
        <w:tc>
          <w:tcPr>
            <w:tcW w:type="dxa" w:w="10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Batch, geo</w:t>
            </w:r>
          </w:p>
        </w:tc>
        <w:tc>
          <w:tcPr>
            <w:tcW w:type="dxa" w:w="10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Flex, global</w:t>
            </w:r>
          </w:p>
        </w:tc>
        <w:tc>
          <w:tcPr>
            <w:tcW w:type="dxa" w:w="10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Priority, global</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Haiku 4.5</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2,400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$0.00740</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$0.00814</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$0.00370</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$0.00407</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4.6</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2,400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$0.02220</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$0.02442</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$0.01110</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$0.01221</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5</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2,400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$0.01480</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$0.01628</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2 Lite</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1,030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$0.00281</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$0.00309</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$0.00140</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$0.00154</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$0.00140</w:t>
            </w:r>
          </w:p>
        </w:tc>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$0.00492</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Lite (US source)</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2,600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$0.00040</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$0.00020</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c>
          <w:tcPr>
            <w:tcW w:type="dxa" w:w="1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r>
    </w:tbl>
    <w:p>
      <w:pPr>
        <w:spacing w:after="120"/>
      </w:pPr>
    </w:p>
    <w:p>
      <w:pPr>
        <w:spacing w:after="120" w:before="0" w:line="264"/>
        <w:jc w:val="left"/>
      </w:pPr>
      <w:r>
        <w:rPr>
          <w:rFonts w:ascii="Calibri" w:cs="Calibri" w:eastAsia="Calibri" w:hAnsi="Calibri"/>
          <w:i/>
          <w:iCs/>
          <w:sz w:val="18"/>
          <w:szCs w:val="18"/>
        </w:rPr>
        <w:t xml:space="preserve">Nova Lite has no global profile, so its Standard column is the us. profile price and its batch column is the US batch price. Sonnet 5 is not offered in batch. Output tokens dominate every Claude figure: at 1,000 output tokens the output share of the Haiku 4.5 Standard cost is 68 percent, which is why shortening the JSON (dropping nulls, shortening keys) is the strongest cost lever after model choice.</w:t>
      </w:r>
    </w:p>
    <w:p>
      <w:pPr>
        <w:pStyle w:val="Heading1"/>
        <w:keepNext/>
        <w:spacing w:after="120" w:before="280"/>
      </w:pPr>
      <w:r>
        <w:rPr>
          <w:rFonts w:ascii="Calibri" w:cs="Calibri" w:eastAsia="Calibri" w:hAnsi="Calibri"/>
        </w:rPr>
        <w:t xml:space="preserve">5. Monthly cost by volume scenario</w:t>
      </w:r>
    </w:p>
    <w:p>
      <w:pPr>
        <w:spacing w:after="120" w:before="0" w:line="264"/>
        <w:jc w:val="left"/>
      </w:pPr>
      <w:r>
        <w:rPr>
          <w:rFonts w:ascii="Calibri" w:cs="Calibri" w:eastAsia="Calibri" w:hAnsi="Calibri"/>
          <w:sz w:val="20"/>
          <w:szCs w:val="20"/>
        </w:rPr>
        <w:t xml:space="preserve">Model inference only, list prices, no contingency. Batch and Flex rows assume the whole volume runs through the discounted path; the production mix will sit between the Standard and the Batch rows.</w:t>
      </w:r>
    </w:p>
    <w:p>
      <w:pPr>
        <w:keepNext/>
        <w:spacing w:after="60" w:before="80"/>
      </w:pPr>
      <w:r>
        <w:rPr>
          <w:rFonts w:ascii="Calibri" w:cs="Calibri" w:eastAsia="Calibri" w:hAnsi="Calibri"/>
          <w:b/>
          <w:bCs/>
          <w:sz w:val="18"/>
          <w:szCs w:val="18"/>
        </w:rPr>
        <w:t xml:space="preserve">Table 5.1. Claude Haiku 4.5, monthly inference cost,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820"/>
        <w:gridCol w:w="1820"/>
        <w:gridCol w:w="1820"/>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Per document</w:t>
            </w:r>
          </w:p>
        </w:tc>
        <w:tc>
          <w:tcPr>
            <w:tcW w:type="dxa" w:w="182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20,000 per month</w:t>
            </w:r>
          </w:p>
        </w:tc>
        <w:tc>
          <w:tcPr>
            <w:tcW w:type="dxa" w:w="182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100,000 per month</w:t>
            </w:r>
          </w:p>
        </w:tc>
        <w:tc>
          <w:tcPr>
            <w:tcW w:type="dxa" w:w="182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500,000 per month</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global</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$0.00740</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$148</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$740</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$3,700</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geo or in-region</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$0.00814</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$163</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$814</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$4,070</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global</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$0.00370</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$74</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$370</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$1,850</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geo</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$0.00407</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$81</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$407</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$2,035</w:t>
            </w:r>
          </w:p>
        </w:tc>
      </w:tr>
    </w:tbl>
    <w:p>
      <w:pPr>
        <w:spacing w:after="120"/>
      </w:pPr>
    </w:p>
    <w:p>
      <w:pPr>
        <w:keepNext/>
        <w:spacing w:after="60" w:before="80"/>
      </w:pPr>
      <w:r>
        <w:rPr>
          <w:rFonts w:ascii="Calibri" w:cs="Calibri" w:eastAsia="Calibri" w:hAnsi="Calibri"/>
          <w:b/>
          <w:bCs/>
          <w:sz w:val="18"/>
          <w:szCs w:val="18"/>
        </w:rPr>
        <w:t xml:space="preserve">Table 5.2. Claude Sonnet 4.6, monthly inference cost,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820"/>
        <w:gridCol w:w="1820"/>
        <w:gridCol w:w="1820"/>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Per document</w:t>
            </w:r>
          </w:p>
        </w:tc>
        <w:tc>
          <w:tcPr>
            <w:tcW w:type="dxa" w:w="182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20,000 per month</w:t>
            </w:r>
          </w:p>
        </w:tc>
        <w:tc>
          <w:tcPr>
            <w:tcW w:type="dxa" w:w="182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100,000 per month</w:t>
            </w:r>
          </w:p>
        </w:tc>
        <w:tc>
          <w:tcPr>
            <w:tcW w:type="dxa" w:w="182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500,000 per month</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global</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$0.02220</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$444</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$2,220</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$11,100</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geo or in-region</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$0.02442</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$488</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$2,442</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$12,210</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global</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$0.01110</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$222</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$1,110</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$5,550</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geo</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$0.01221</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$244</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$1,221</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$6,105</w:t>
            </w:r>
          </w:p>
        </w:tc>
      </w:tr>
    </w:tbl>
    <w:p>
      <w:pPr>
        <w:spacing w:after="120"/>
      </w:pPr>
    </w:p>
    <w:p>
      <w:pPr>
        <w:keepNext/>
        <w:spacing w:after="60" w:before="80"/>
      </w:pPr>
      <w:r>
        <w:rPr>
          <w:rFonts w:ascii="Calibri" w:cs="Calibri" w:eastAsia="Calibri" w:hAnsi="Calibri"/>
          <w:b/>
          <w:bCs/>
          <w:sz w:val="18"/>
          <w:szCs w:val="18"/>
        </w:rPr>
        <w:t xml:space="preserve">Table 5.3. Claude Sonnet 5, monthly inference cost,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820"/>
        <w:gridCol w:w="1820"/>
        <w:gridCol w:w="1820"/>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Per document</w:t>
            </w:r>
          </w:p>
        </w:tc>
        <w:tc>
          <w:tcPr>
            <w:tcW w:type="dxa" w:w="182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20,000 per month</w:t>
            </w:r>
          </w:p>
        </w:tc>
        <w:tc>
          <w:tcPr>
            <w:tcW w:type="dxa" w:w="182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100,000 per month</w:t>
            </w:r>
          </w:p>
        </w:tc>
        <w:tc>
          <w:tcPr>
            <w:tcW w:type="dxa" w:w="182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500,000 per month</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global</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$0.01480</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$296</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$1,480</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$7,400</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geo or in-region</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$0.01628</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$326</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$1,628</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$8,140</w:t>
            </w:r>
          </w:p>
        </w:tc>
      </w:tr>
    </w:tbl>
    <w:p>
      <w:pPr>
        <w:spacing w:after="120"/>
      </w:pPr>
    </w:p>
    <w:p>
      <w:pPr>
        <w:keepNext/>
        <w:spacing w:after="60" w:before="80"/>
      </w:pPr>
      <w:r>
        <w:rPr>
          <w:rFonts w:ascii="Calibri" w:cs="Calibri" w:eastAsia="Calibri" w:hAnsi="Calibri"/>
          <w:b/>
          <w:bCs/>
          <w:sz w:val="18"/>
          <w:szCs w:val="18"/>
        </w:rPr>
        <w:t xml:space="preserve">Table 5.4. Amazon Nova 2 Lite, monthly inference cost,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820"/>
        <w:gridCol w:w="1820"/>
        <w:gridCol w:w="1820"/>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Per document</w:t>
            </w:r>
          </w:p>
        </w:tc>
        <w:tc>
          <w:tcPr>
            <w:tcW w:type="dxa" w:w="182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20,000 per month</w:t>
            </w:r>
          </w:p>
        </w:tc>
        <w:tc>
          <w:tcPr>
            <w:tcW w:type="dxa" w:w="182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100,000 per month</w:t>
            </w:r>
          </w:p>
        </w:tc>
        <w:tc>
          <w:tcPr>
            <w:tcW w:type="dxa" w:w="182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500,000 per month</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global</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$0.00281</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$56</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$281</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$1,405</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geo or in-region</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$0.00309</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$62</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$309</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$1,545</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global</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$0.00140</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$28</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$140</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$702</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geo</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$0.00154</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$31</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$154</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$772</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Flex, global</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$0.00140</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$28</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$140</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$702</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Priority, global</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$0.00492</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$98</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$492</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$2,458</w:t>
            </w:r>
          </w:p>
        </w:tc>
      </w:tr>
    </w:tbl>
    <w:p>
      <w:pPr>
        <w:spacing w:after="120"/>
      </w:pPr>
    </w:p>
    <w:p>
      <w:pPr>
        <w:keepNext/>
        <w:spacing w:after="60" w:before="80"/>
      </w:pPr>
      <w:r>
        <w:rPr>
          <w:rFonts w:ascii="Calibri" w:cs="Calibri" w:eastAsia="Calibri" w:hAnsi="Calibri"/>
          <w:b/>
          <w:bCs/>
          <w:sz w:val="18"/>
          <w:szCs w:val="18"/>
        </w:rPr>
        <w:t xml:space="preserve">Table 5.5. Amazon Nova Lite (US source), monthly inference cost,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820"/>
        <w:gridCol w:w="1820"/>
        <w:gridCol w:w="1820"/>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Per document</w:t>
            </w:r>
          </w:p>
        </w:tc>
        <w:tc>
          <w:tcPr>
            <w:tcW w:type="dxa" w:w="182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20,000 per month</w:t>
            </w:r>
          </w:p>
        </w:tc>
        <w:tc>
          <w:tcPr>
            <w:tcW w:type="dxa" w:w="182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100,000 per month</w:t>
            </w:r>
          </w:p>
        </w:tc>
        <w:tc>
          <w:tcPr>
            <w:tcW w:type="dxa" w:w="182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500,000 per month</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geo or in-region</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$0.00040</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$8</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$40</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$198</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geo</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$0.00020</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$4</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$20</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$99</w:t>
            </w:r>
          </w:p>
        </w:tc>
      </w:tr>
    </w:tbl>
    <w:p>
      <w:pPr>
        <w:spacing w:after="120"/>
      </w:pPr>
    </w:p>
    <w:p>
      <w:pPr>
        <w:keepNext/>
        <w:spacing w:after="60" w:before="80"/>
      </w:pPr>
      <w:r>
        <w:rPr>
          <w:rFonts w:ascii="Calibri" w:cs="Calibri" w:eastAsia="Calibri" w:hAnsi="Calibri"/>
          <w:b/>
          <w:bCs/>
          <w:sz w:val="18"/>
          <w:szCs w:val="18"/>
        </w:rPr>
        <w:t xml:space="preserve">Table 5.6. Side by side, Standard global versus Batch global, USD per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10"/>
        <w:gridCol w:w="1210"/>
        <w:gridCol w:w="1210"/>
        <w:gridCol w:w="1210"/>
        <w:gridCol w:w="1210"/>
        <w:gridCol w:w="1210"/>
      </w:tblGrid>
      <w:tr>
        <w:trPr>
          <w:cantSplit/>
          <w:tblHeader/>
        </w:trPr>
        <w:tc>
          <w:tcPr>
            <w:tcW w:type="dxa" w:w="2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Model</w:t>
            </w:r>
          </w:p>
        </w:tc>
        <w:tc>
          <w:tcPr>
            <w:tcW w:type="dxa" w:w="121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20,000 Standard</w:t>
            </w:r>
          </w:p>
        </w:tc>
        <w:tc>
          <w:tcPr>
            <w:tcW w:type="dxa" w:w="121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20,000 Batch</w:t>
            </w:r>
          </w:p>
        </w:tc>
        <w:tc>
          <w:tcPr>
            <w:tcW w:type="dxa" w:w="121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100,000 Standard</w:t>
            </w:r>
          </w:p>
        </w:tc>
        <w:tc>
          <w:tcPr>
            <w:tcW w:type="dxa" w:w="121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100,000 Batch</w:t>
            </w:r>
          </w:p>
        </w:tc>
        <w:tc>
          <w:tcPr>
            <w:tcW w:type="dxa" w:w="121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500,000 Standard</w:t>
            </w:r>
          </w:p>
        </w:tc>
        <w:tc>
          <w:tcPr>
            <w:tcW w:type="dxa" w:w="121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500,000 Batch</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Haiku 4.5</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$148</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$74</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$740</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$370</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$3,700</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$1,850</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4.6</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$444</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$222</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$2,220</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$1,110</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$11,100</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$5,550</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5</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$296</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$1,480</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$7,400</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n/a</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2 Lite</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$56</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$28</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$281</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$140</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$1,405</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$702</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Lite (US source)</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$8</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$4</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$40</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$20</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$198</w:t>
            </w:r>
          </w:p>
        </w:tc>
        <w:tc>
          <w:tcPr>
            <w:tcW w:type="dxa" w:w="12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$99</w:t>
            </w:r>
          </w:p>
        </w:tc>
      </w:tr>
    </w:tbl>
    <w:p>
      <w:pPr>
        <w:spacing w:after="120"/>
      </w:pPr>
    </w:p>
    <w:p>
      <w:pPr>
        <w:pStyle w:val="Heading1"/>
        <w:keepNext/>
        <w:spacing w:after="120" w:before="280"/>
      </w:pPr>
      <w:r>
        <w:rPr>
          <w:rFonts w:ascii="Calibri" w:cs="Calibri" w:eastAsia="Calibri" w:hAnsi="Calibri"/>
        </w:rPr>
        <w:t xml:space="preserve">6. Throughput mode comparison and break-even</w:t>
      </w:r>
    </w:p>
    <w:p>
      <w:pPr>
        <w:spacing w:after="120" w:before="0" w:line="264"/>
        <w:jc w:val="left"/>
      </w:pPr>
      <w:r>
        <w:rPr>
          <w:rFonts w:ascii="Calibri" w:cs="Calibri" w:eastAsia="Calibri" w:hAnsi="Calibri"/>
          <w:sz w:val="20"/>
          <w:szCs w:val="20"/>
        </w:rPr>
        <w:t xml:space="preserve">The ticket asks for on-demand versus Provisioned Throughput. On Bedrock today that comparison has four parts: Standard on-demand, batch (and the Flex tier where offered), the Reserved tier (the successor to Provisioned Throughput for current Anthropic models) and classic Provisioned Throughput (still offered for the Nova models and for custom models). The comparison below uses the Haiku 4.5 and Nova 2 Lite unit costs from Table 4.1.</w:t>
      </w:r>
    </w:p>
    <w:p>
      <w:pPr>
        <w:keepNext/>
        <w:spacing w:after="60" w:before="80"/>
      </w:pPr>
      <w:r>
        <w:rPr>
          <w:rFonts w:ascii="Calibri" w:cs="Calibri" w:eastAsia="Calibri" w:hAnsi="Calibri"/>
          <w:b/>
          <w:bCs/>
          <w:sz w:val="18"/>
          <w:szCs w:val="18"/>
        </w:rPr>
        <w:t xml:space="preserve">Table 6.1. Reserved tier sized two ways, Claude Haiku 4.5 and Claude Sonnet 4.6, global routing, 1-month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900"/>
        <w:gridCol w:w="1200"/>
        <w:gridCol w:w="1200"/>
        <w:gridCol w:w="15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Sizing</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Reserved input TPM</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Reserved output TPM</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Documents per minute the reservation covers</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Monthly cost, Haiku 4.5</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Monthly cost, Sonnet 4.6</w:t>
            </w:r>
          </w:p>
        </w:tc>
        <w:tc>
          <w:tcPr>
            <w:tcW w:type="dxa" w:w="15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On-demand Standard cost of the same volume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Minimum reservation</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100,000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10,000</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10.0 (output bound); 438,000 per month at 100 percent utilization</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$6,570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$19,710</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$3,241 (Haiku) / $9,724 (Sonnet 4.6)</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Sized for the 300 per minute peak</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720,000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300,000</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300 sustained around the clock, which is 13,140,000 per month</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$97,236</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$291,708</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$3,700 (Haiku) / $11,100 (Sonnet 4.6) for the 500,000 scenario</w:t>
            </w:r>
          </w:p>
        </w:tc>
      </w:tr>
    </w:tbl>
    <w:p>
      <w:pPr>
        <w:spacing w:after="120"/>
      </w:pPr>
    </w:p>
    <w:p>
      <w:pPr>
        <w:spacing w:after="120" w:before="0" w:line="264"/>
        <w:jc w:val="left"/>
      </w:pPr>
      <w:r>
        <w:rPr>
          <w:rFonts w:ascii="Calibri" w:cs="Calibri" w:eastAsia="Calibri" w:hAnsi="Calibri"/>
          <w:sz w:val="20"/>
          <w:szCs w:val="20"/>
        </w:rPr>
        <w:t xml:space="preserve">Reading the table: a reservation is priced as if every reserved token were consumed every minute of the month, for input and output separately. At 2,400 input and 1,000 output tokens per document the 10,000 output TPM floor binds first, so the minimum reservation covers 10 documents per minute (438,000 per month) while its input side idles at 24 percent. Those documents cost $3,241 on Standard against $6,570 for the reservation on Haiku 4.5. Sizing the reservation for the 300 per minute peak costs $97,236 per month on Haiku 4.5 against $3,700 for the entire 500,000 document scenario on Standard. Reserved is therefore a capacity guarantee for a workload that consumes its reserved input and output tokens continuously; it is cost neutral only near 100 percent utilization of both on a 1-month term, or near 90 percent on a 3-month term. For a business-hours workload with an overnight batch it is not the right mode.</w:t>
      </w:r>
    </w:p>
    <w:p>
      <w:pPr>
        <w:keepNext/>
        <w:spacing w:after="60" w:before="80"/>
      </w:pPr>
      <w:r>
        <w:rPr>
          <w:rFonts w:ascii="Calibri" w:cs="Calibri" w:eastAsia="Calibri" w:hAnsi="Calibri"/>
          <w:b/>
          <w:bCs/>
          <w:sz w:val="18"/>
          <w:szCs w:val="18"/>
        </w:rPr>
        <w:t xml:space="preserve">Table 6.2. Provisioned Throughput break-even, Amazon Nova 2 Lite, us-east-1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900"/>
        <w:gridCol w:w="27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Term</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Cost of one model unit per month</w:t>
            </w:r>
          </w:p>
        </w:tc>
        <w:tc>
          <w:tcPr>
            <w:tcW w:type="dxa" w:w="2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Documents per month that the same money buys on Standard global</w:t>
            </w:r>
          </w:p>
        </w:tc>
        <w:tc>
          <w:tcPr>
            <w:tcW w:type="dxa" w:w="27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Same, on Batch or Flex</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commitment</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$44,165</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15,722,677</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31,445,354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1-month</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$40,150</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14,293,343</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28,586,686</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6-month</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$22,083</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7,861,339</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15,722,677</w:t>
            </w:r>
          </w:p>
        </w:tc>
      </w:tr>
    </w:tbl>
    <w:p>
      <w:pPr>
        <w:spacing w:after="120"/>
      </w:pPr>
    </w:p>
    <w:p>
      <w:pPr>
        <w:spacing w:after="120" w:before="0" w:line="264"/>
        <w:jc w:val="left"/>
      </w:pPr>
      <w:r>
        <w:rPr>
          <w:rFonts w:ascii="Calibri" w:cs="Calibri" w:eastAsia="Calibri" w:hAnsi="Calibri"/>
          <w:sz w:val="20"/>
          <w:szCs w:val="20"/>
        </w:rPr>
        <w:t xml:space="preserve">One model unit of Nova 2 Lite on a 1-month commitment costs as much as about 14 million documents per month on Standard global pricing. Because AWS does not publish the tokens per minute per model unit, the break-even cannot be completed from public data, but no plausible throughput per unit closes a gap of that size at the planned volumes. Provisioned Throughput is only worth pricing with the account team if the workload grows by two orders of magnitude or if a custom (fine-tuned) Nova model is adopted, since custom models require it.</w:t>
      </w:r>
    </w:p>
    <w:p>
      <w:pPr>
        <w:keepNext/>
        <w:spacing w:after="60" w:before="80"/>
      </w:pPr>
      <w:r>
        <w:rPr>
          <w:rFonts w:ascii="Calibri" w:cs="Calibri" w:eastAsia="Calibri" w:hAnsi="Calibri"/>
          <w:b/>
          <w:bCs/>
          <w:sz w:val="18"/>
          <w:szCs w:val="18"/>
        </w:rPr>
        <w:t xml:space="preserve">Table 6.3. Throughput mode decision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150"/>
        <w:gridCol w:w="1800"/>
        <w:gridCol w:w="1810"/>
      </w:tblGrid>
      <w:tr>
        <w:trPr>
          <w:cantSplit/>
          <w:tblHeader/>
        </w:trPr>
        <w:tc>
          <w:tcPr>
            <w:tcW w:type="dxa" w:w="16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Unit cost</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Capacity guarantee</w:t>
            </w:r>
          </w:p>
        </w:tc>
        <w:tc>
          <w:tcPr>
            <w:tcW w:type="dxa" w:w="11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Latency</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Fits this workload</w:t>
            </w:r>
          </w:p>
        </w:tc>
        <w:tc>
          <w:tcPr>
            <w:tcW w:type="dxa" w:w="181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Decision</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on-demand</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List price</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Shared quota pool; throttling possible above quota</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Normal</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Real-time path</w:t>
            </w:r>
          </w:p>
        </w:tc>
        <w:tc>
          <w:tcPr>
            <w:tcW w:type="dxa" w:w="18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Baseline for the real-time path</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inference</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50 percent of Standard for the candidates that offer it</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Asynchronous; jobs queue; results in S3</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Hours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Backlog, reprocessing, evaluation runs</w:t>
            </w:r>
          </w:p>
        </w:tc>
        <w:tc>
          <w:tcPr>
            <w:tcW w:type="dxa" w:w="18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Adopt for all non-interactive volume</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Flex tier (Nova 2 Lite, Nova Pro)</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50 percent of Standard</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Lower priority than Standard; same quota pool</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Longer than Standard</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Non-interactive documents that still need a synchronous call</w:t>
            </w:r>
          </w:p>
        </w:tc>
        <w:tc>
          <w:tcPr>
            <w:tcW w:type="dxa" w:w="18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Adopt for Nova 2 Lite if it is the chosen model</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Priority tier (Nova 2 Lite, Nova Pro)</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175 percent of Standard</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Prioritized over Standard and Flex; same quota pool</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Fastest</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Interactive documents where NFR-01 is missed on Standard</w:t>
            </w:r>
          </w:p>
        </w:tc>
        <w:tc>
          <w:tcPr>
            <w:tcW w:type="dxa" w:w="18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Hold in reserve; enable per request only if latency targets fail</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Reserved tier (Claude Sonnet 4.6, Haiku 4.5)</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Equal to Standard at full utilization on 1-month; 10 percent below on 3-month</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Dedicated prioritized capacity, 99.5 percent target</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Prioritized</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Continuous workloads near the reserved rate</w:t>
            </w:r>
          </w:p>
        </w:tc>
        <w:tc>
          <w:tcPr>
            <w:tcW w:type="dxa" w:w="18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 not purchase for this workload; revisit if a hard capacity guarantee becomes a requirement</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Provisioned Throughput (Nova models, custom models)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Fixed hourly per model unit</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Dedicated model units</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Consistent</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Very high sustained volume or fine-tuned models</w:t>
            </w:r>
          </w:p>
        </w:tc>
        <w:tc>
          <w:tcPr>
            <w:tcW w:type="dxa" w:w="181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 not purchase; default quota is zero anyway</w:t>
            </w:r>
          </w:p>
        </w:tc>
      </w:tr>
    </w:tbl>
    <w:p>
      <w:pPr>
        <w:spacing w:after="120"/>
      </w:pPr>
    </w:p>
    <w:p>
      <w:pPr>
        <w:pStyle w:val="Heading1"/>
        <w:keepNext/>
        <w:spacing w:after="120" w:before="280"/>
      </w:pPr>
      <w:r>
        <w:rPr>
          <w:rFonts w:ascii="Calibri" w:cs="Calibri" w:eastAsia="Calibri" w:hAnsi="Calibri"/>
        </w:rPr>
        <w:t xml:space="preserve">7. Capacity and quota budget</w:t>
      </w:r>
    </w:p>
    <w:p>
      <w:pPr>
        <w:spacing w:after="120" w:before="0" w:line="264"/>
        <w:jc w:val="left"/>
      </w:pPr>
      <w:r>
        <w:rPr>
          <w:rFonts w:ascii="Calibri" w:cs="Calibri" w:eastAsia="Calibri" w:hAnsi="Calibri"/>
          <w:sz w:val="20"/>
          <w:szCs w:val="20"/>
        </w:rPr>
        <w:t xml:space="preserve">Quota need is derived from the 300 documents per minute peak. Requests per minute equal documents per minute; tokens per minute include input and output. Default quotas are the account defaults published on 26 August 2026; the adjustable column states whether AWS accepts an increase request through Service Quotas.</w:t>
      </w:r>
    </w:p>
    <w:p>
      <w:pPr>
        <w:keepNext/>
        <w:spacing w:after="60" w:before="80"/>
      </w:pPr>
      <w:r>
        <w:rPr>
          <w:rFonts w:ascii="Calibri" w:cs="Calibri" w:eastAsia="Calibri" w:hAnsi="Calibri"/>
          <w:b/>
          <w:bCs/>
          <w:sz w:val="18"/>
          <w:szCs w:val="18"/>
        </w:rPr>
        <w:t xml:space="preserve">Table 7.1. Peak demand at 300 documents per minute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cantSplit/>
          <w:tblHeader/>
        </w:trPr>
        <w:tc>
          <w:tcPr>
            <w:tcW w:type="dxa" w:w="3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Model</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Requests per minute</w:t>
            </w:r>
          </w:p>
        </w:tc>
        <w:tc>
          <w:tcPr>
            <w:tcW w:type="dxa" w:w="33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Tokens per minute (input plus output)</w:t>
            </w:r>
          </w:p>
        </w:tc>
      </w:tr>
      <w:tr>
        <w:trPr>
          <w:cantSplit/>
        </w:trPr>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Haiku 4.5</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300</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1,020,000</w:t>
            </w:r>
          </w:p>
        </w:tc>
      </w:tr>
      <w:tr>
        <w:trPr>
          <w:cantSplit/>
        </w:trPr>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4.6</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300</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1,020,000</w:t>
            </w:r>
          </w:p>
        </w:tc>
      </w:tr>
      <w:tr>
        <w:trPr>
          <w:cantSplit/>
        </w:trPr>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5</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300</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1,020,000</w:t>
            </w:r>
          </w:p>
        </w:tc>
      </w:tr>
      <w:tr>
        <w:trPr>
          <w:cantSplit/>
        </w:trPr>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2 Lite</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300</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609,000</w:t>
            </w:r>
          </w:p>
        </w:tc>
      </w:tr>
      <w:tr>
        <w:trPr>
          <w:cantSplit/>
        </w:trPr>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Lite (US source)</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300</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1,080,000</w:t>
            </w:r>
          </w:p>
        </w:tc>
      </w:tr>
    </w:tbl>
    <w:p>
      <w:pPr>
        <w:spacing w:after="120"/>
      </w:pPr>
    </w:p>
    <w:p>
      <w:pPr>
        <w:keepNext/>
        <w:spacing w:after="60" w:before="80"/>
      </w:pPr>
      <w:r>
        <w:rPr>
          <w:rFonts w:ascii="Calibri" w:cs="Calibri" w:eastAsia="Calibri" w:hAnsi="Calibri"/>
          <w:b/>
          <w:bCs/>
          <w:sz w:val="18"/>
          <w:szCs w:val="18"/>
        </w:rPr>
        <w:t xml:space="preserve">Table 7.2. Default on-demand quotas versus peak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1000"/>
        <w:gridCol w:w="1000"/>
        <w:gridCol w:w="1000"/>
        <w:gridCol w:w="2360"/>
      </w:tblGrid>
      <w:tr>
        <w:trPr>
          <w:cantSplit/>
          <w:tblHeader/>
        </w:trPr>
        <w:tc>
          <w:tcPr>
            <w:tcW w:type="dxa" w:w="16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Model</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Quota (cross-region profiles)</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Default</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Adjustable</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Peak demand</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Utilization at peak</w:t>
            </w:r>
          </w:p>
        </w:tc>
        <w:tc>
          <w:tcPr>
            <w:tcW w:type="dxa" w:w="23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Action</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4.6</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Requests per minute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300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3 percent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4.6</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Tokens per minute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6,000,000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1,020,000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17 percent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Haiku 4.5</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Requests per minute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300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3 percent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Haiku 4.5</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Tokens per minute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5,000,000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1,020,000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20 percent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5</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Tokens per minute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6,000,000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1,020,000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17 percent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2 Lite</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Requests per minute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300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15 percent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 but the quota is fixed: 2,000 per minute is the hard ceiling</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2 Lite</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Tokens per minute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8,000,000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609,000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8 percent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Lite, us-east-1 source</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Requests per minute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300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8 percent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Lite, us-east-1 source</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Tokens per minute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8,000,000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1,080,000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14 percent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None</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Lite, ca-central-1 source</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Requests per minute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300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75 percent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Exceeds the 60 percent threshold in NFR-02</w:t>
            </w:r>
          </w:p>
        </w:tc>
      </w:tr>
      <w:tr>
        <w:trPr>
          <w:cantSplit/>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Lite, ca-central-1 source</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Tokens per minute</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400,000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1,080,000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270 percent</w:t>
            </w:r>
          </w:p>
        </w:tc>
        <w:tc>
          <w:tcPr>
            <w:tcW w:type="dxa" w:w="2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Throttles at peak; quota increase or another model required</w:t>
            </w:r>
          </w:p>
        </w:tc>
      </w:tr>
    </w:tbl>
    <w:p>
      <w:pPr>
        <w:spacing w:after="120"/>
      </w:pPr>
    </w:p>
    <w:p>
      <w:pPr>
        <w:spacing w:after="120" w:before="0" w:line="264"/>
        <w:jc w:val="left"/>
      </w:pPr>
      <w:r>
        <w:rPr>
          <w:rFonts w:ascii="Calibri" w:cs="Calibri" w:eastAsia="Calibri" w:hAnsi="Calibri"/>
          <w:i/>
          <w:iCs/>
          <w:sz w:val="18"/>
          <w:szCs w:val="18"/>
        </w:rPr>
        <w:t xml:space="preserve">In-region on-demand quotas are lower where they exist (for example Claude Sonnet 4.6: 5,000 requests and 3,000,000 tokens per minute, not adjustable), but in-region invocation is not available for any vision candidate in ca-central-1 and is not available for Sonnet 4.6 or Haiku 4.5 in us-east-1 either; both are invoked through the us. or global. profiles.</w:t>
      </w:r>
    </w:p>
    <w:p>
      <w:pPr>
        <w:keepNext/>
        <w:spacing w:after="60" w:before="80"/>
      </w:pPr>
      <w:r>
        <w:rPr>
          <w:rFonts w:ascii="Calibri" w:cs="Calibri" w:eastAsia="Calibri" w:hAnsi="Calibri"/>
          <w:b/>
          <w:bCs/>
          <w:sz w:val="18"/>
          <w:szCs w:val="18"/>
        </w:rPr>
        <w:t xml:space="preserve">Table 7.3. Batch inference quotas and what they mean for image workloads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100"/>
        <w:gridCol w:w="4960"/>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Quota (per model, per region)</w:t>
            </w:r>
          </w:p>
        </w:tc>
        <w:tc>
          <w:tcPr>
            <w:tcW w:type="dxa" w:w="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Default</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Adjustable</w:t>
            </w:r>
          </w:p>
        </w:tc>
        <w:tc>
          <w:tcPr>
            <w:tcW w:type="dxa" w:w="49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Implication</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Minimum records per batch job</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4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Small reprocessing runs below 100 documents must use the real-time path</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Maximum records per batch job</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100,000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4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the binding limit for images (see file size)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Maximum records per input file</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100,000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4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Input file size</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 GB</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4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With a 250 KB JPEG page embedded as base64 (about 339 KB per record) one file holds about 3,093 records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Cumulative job size</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 GB</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4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About 15,465 records per job at the same page size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In-progress plus submitted jobs</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4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100,000 documents need about 7 jobs and 500,000 need about 33; within the default, but the job scheduler must respect it</w:t>
            </w:r>
          </w:p>
        </w:tc>
      </w:tr>
    </w:tbl>
    <w:p>
      <w:pPr>
        <w:spacing w:after="120"/>
      </w:pPr>
    </w:p>
    <w:p>
      <w:pPr>
        <w:spacing w:after="120" w:before="0" w:line="264"/>
        <w:jc w:val="left"/>
      </w:pPr>
      <w:r>
        <w:rPr>
          <w:rFonts w:ascii="Calibri" w:cs="Calibri" w:eastAsia="Calibri" w:hAnsi="Calibri"/>
          <w:i/>
          <w:iCs/>
          <w:sz w:val="18"/>
          <w:szCs w:val="18"/>
        </w:rPr>
        <w:t xml:space="preserve">Record size assumes the page image is embedded in the JSONL record. Compressing pages to the 1,568 pixel long edge that the Claude models use anyway (about 1.15 megapixels) keeps the JPEG near or below 250 KB and increases records per file.</w:t>
      </w:r>
    </w:p>
    <w:p>
      <w:pPr>
        <w:pStyle w:val="Heading1"/>
        <w:keepNext/>
        <w:spacing w:after="120" w:before="280"/>
      </w:pPr>
      <w:r>
        <w:rPr>
          <w:rFonts w:ascii="Calibri" w:cs="Calibri" w:eastAsia="Calibri" w:hAnsi="Calibri"/>
        </w:rPr>
        <w:t xml:space="preserve">8. Ancillary AWS costs</w:t>
      </w:r>
    </w:p>
    <w:p>
      <w:pPr>
        <w:spacing w:after="120" w:before="0" w:line="264"/>
        <w:jc w:val="left"/>
      </w:pPr>
      <w:r>
        <w:rPr>
          <w:rFonts w:ascii="Calibri" w:cs="Calibri" w:eastAsia="Calibri" w:hAnsi="Calibri"/>
          <w:sz w:val="20"/>
          <w:szCs w:val="20"/>
        </w:rPr>
        <w:t xml:space="preserve">Model inference is the largest line but not the only one. Guardrails are priced per text unit of 1,000 characters and per image; the other lines are small at these volumes and are left for the AWS Pricing Calculator once the architecture is fixed.</w:t>
      </w:r>
    </w:p>
    <w:p>
      <w:pPr>
        <w:keepNext/>
        <w:spacing w:after="60" w:before="80"/>
      </w:pPr>
      <w:r>
        <w:rPr>
          <w:rFonts w:ascii="Calibri" w:cs="Calibri" w:eastAsia="Calibri" w:hAnsi="Calibri"/>
          <w:b/>
          <w:bCs/>
          <w:sz w:val="18"/>
          <w:szCs w:val="18"/>
        </w:rPr>
        <w:t xml:space="preserve">Table 8.1. Guardrails cost per document (real-time path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900"/>
        <w:gridCol w:w="1500"/>
        <w:gridCol w:w="1660"/>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Filter</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Price</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Units per document (assumption)</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Cost per document</w:t>
            </w:r>
          </w:p>
        </w:tc>
        <w:tc>
          <w:tcPr>
            <w:tcW w:type="dxa" w:w="16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Cost at 100,000 documents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Content filters, text (input and output)</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$0.15 per 1,000 text units</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 input plus 4 output text units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$0.00120</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$120</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Content filter, image</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$0.00075 per image</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 image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$0.00075</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$75</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Sensitive information filter (output)</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$0.10 per 1,000 text units</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 output text units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$0.00040</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$40</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Sensitive information filter, regular expression</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Free</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n/a</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$0.00000</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Total if all three paid filters are enabled</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$0.00235</w:t>
            </w:r>
          </w:p>
        </w:tc>
        <w:tc>
          <w:tcPr>
            <w:tcW w:type="dxa" w:w="1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$235</w:t>
            </w:r>
          </w:p>
        </w:tc>
      </w:tr>
    </w:tbl>
    <w:p>
      <w:pPr>
        <w:spacing w:after="120"/>
      </w:pPr>
    </w:p>
    <w:p>
      <w:pPr>
        <w:spacing w:after="120" w:before="0" w:line="264"/>
        <w:jc w:val="left"/>
      </w:pPr>
      <w:r>
        <w:rPr>
          <w:rFonts w:ascii="Calibri" w:cs="Calibri" w:eastAsia="Calibri" w:hAnsi="Calibri"/>
          <w:i/>
          <w:iCs/>
          <w:sz w:val="18"/>
          <w:szCs w:val="18"/>
        </w:rPr>
        <w:t xml:space="preserve">Text units are estimated from the token counts at about four characters per token (800 tokens is about 3,200 characters, which rounds up to 4 units). Guardrails per document cost more than a Nova 2 Lite inference at these settings, so the filter set must be chosen deliberately: the sensitive information filter on outputs is the one that protects downstream logs.</w:t>
      </w:r>
    </w:p>
    <w:p>
      <w:pPr>
        <w:keepNext/>
        <w:spacing w:after="60" w:before="80"/>
      </w:pPr>
      <w:r>
        <w:rPr>
          <w:rFonts w:ascii="Calibri" w:cs="Calibri" w:eastAsia="Calibri" w:hAnsi="Calibri"/>
          <w:b/>
          <w:bCs/>
          <w:sz w:val="18"/>
          <w:szCs w:val="18"/>
        </w:rPr>
        <w:t xml:space="preserve">Table 8.2. Other lines to price in the AWS Pricing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Line</w:t>
            </w:r>
          </w:p>
        </w:tc>
        <w:tc>
          <w:tcPr>
            <w:tcW w:type="dxa" w:w="36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Driver</w:t>
            </w:r>
          </w:p>
        </w:tc>
        <w:tc>
          <w:tcPr>
            <w:tcW w:type="dxa" w:w="35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Note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S3</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input and output files; content logs if enabled</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Volume small relative to inference; lifecycle rules to the records schedule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CloudWatch</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Metrics, dashboards, alarms, invocation logs</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Enable metadata-only invocation logging by default</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PrivateLink</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Interface endpoints for bedrock-runtime and bedrock per VPC and availability zone, plus data processing</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Required by NFR-07</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KMS</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Customer managed keys for S3, logs and Guardrails</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Per key per month plus requests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Application inference profiles</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charge; used for cost allocation tags</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Supported in us-east-1 and ca-central-1</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Evaluation runs</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Bake-off inference on the labeled set for three to four candidates</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One-off; size it as one batch job per candidate</w:t>
            </w:r>
          </w:p>
        </w:tc>
      </w:tr>
    </w:tbl>
    <w:p>
      <w:pPr>
        <w:spacing w:after="120"/>
      </w:pPr>
    </w:p>
    <w:p>
      <w:pPr>
        <w:pStyle w:val="Heading1"/>
        <w:keepNext/>
        <w:spacing w:after="120" w:before="280"/>
      </w:pPr>
      <w:r>
        <w:rPr>
          <w:rFonts w:ascii="Calibri" w:cs="Calibri" w:eastAsia="Calibri" w:hAnsi="Calibri"/>
        </w:rPr>
        <w:t xml:space="preserve">9. Constraints that affect the budget</w:t>
      </w:r>
    </w:p>
    <w:p>
      <w:pPr>
        <w:pStyle w:val="Heading2"/>
        <w:keepNext/>
        <w:spacing w:after="100" w:before="200"/>
      </w:pPr>
      <w:r>
        <w:rPr>
          <w:rFonts w:ascii="Calibri" w:cs="Calibri" w:eastAsia="Calibri" w:hAnsi="Calibri"/>
        </w:rPr>
        <w:t xml:space="preserve">9.1 Region and data residency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6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Constraint</w:t>
            </w:r>
          </w:p>
        </w:tc>
        <w:tc>
          <w:tcPr>
            <w:tcW w:type="dxa" w:w="4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Detail (verified 26 August 2026)</w:t>
            </w:r>
          </w:p>
        </w:tc>
        <w:tc>
          <w:tcPr>
            <w:tcW w:type="dxa" w:w="28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Budget or design effect</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in-region vision model in ca-central-1</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4.6, Haiku 4.5, Sonnet 5, Nova 2 Lite and Nova Lite are all listed as not supported in-region for ca-central-1; only embedding and rerank models are in-region there</w:t>
            </w:r>
          </w:p>
        </w:tc>
        <w:tc>
          <w:tcPr>
            <w:tcW w:type="dxa" w:w="2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Canadian source region always uses a cross-region profile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Geographic profile from Canada includes US regions</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For Sonnet 4.6, Haiku 4.5, Sonnet 5 and Nova 2 Lite the us. profile called from ca-central-1 routes to ca-central-1, us-east-1, us-east-2 and us-west-2</w:t>
            </w:r>
          </w:p>
        </w:tc>
        <w:tc>
          <w:tcPr>
            <w:tcW w:type="dxa" w:w="2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Canadian-origin documents may be processed in the United States; requires a data residency ruling before the region choice is final</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Global profile routes worldwide</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global. profiles for the Claude models and Nova 2 Lite list every commercial region as a destination</w:t>
            </w:r>
          </w:p>
        </w:tc>
        <w:tc>
          <w:tcPr>
            <w:tcW w:type="dxa" w:w="2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Lowest price but no residency control; prompts and outputs may also be stored in opt-in regions for abuse detection purposes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Service control policies</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SCPs can restrict destination regions, but if any destination region of a profile is blocked, requests on that profile fail</w:t>
            </w:r>
          </w:p>
        </w:tc>
        <w:tc>
          <w:tcPr>
            <w:tcW w:type="dxa" w:w="2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Residency enforcement by SCP means choosing a profile whose full destination list is approved</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Canada Central price premium</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Nova 2 Lite from ca-central-1: $0.32 / $2.67 global and $0.352 / $2.97 geo, against $0.30 / $2.50 and $0.33 / $2.75 from us-east-1; Nova Lite $0.064 / $0.256 against $0.06 / $0.24; the Anthropic models resolve to the same prices from both source regions</w:t>
            </w:r>
          </w:p>
        </w:tc>
        <w:tc>
          <w:tcPr>
            <w:tcW w:type="dxa" w:w="2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About 7 percent higher Nova cost from a Canadian source region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Catalog gaps in Canada</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Nova Pro, Nova Premier, Llama 4 Maverick and Scout, Pixtral Large and Nova Provisioned Throughput return no price for a Canada Central source region</w:t>
            </w:r>
          </w:p>
        </w:tc>
        <w:tc>
          <w:tcPr>
            <w:tcW w:type="dxa" w:w="2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Those options require a US source region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Nova Lite quotas from Canada</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400 requests and 400,000 tokens per minute cross-region, against 4,000 and 8,000,000 from us-east-1</w:t>
            </w:r>
          </w:p>
        </w:tc>
        <w:tc>
          <w:tcPr>
            <w:tcW w:type="dxa" w:w="2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Nova Lite cannot meet the 300 per minute peak from ca-central-1 without a quota increase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Inference profile availability</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Application inference profiles (for tagging and cost allocation) can be created in both us-east-1 and ca-central-1</w:t>
            </w:r>
          </w:p>
        </w:tc>
        <w:tc>
          <w:tcPr>
            <w:tcW w:type="dxa" w:w="2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constraint</w:t>
            </w:r>
          </w:p>
        </w:tc>
      </w:tr>
    </w:tbl>
    <w:p>
      <w:pPr>
        <w:spacing w:after="120"/>
      </w:pPr>
    </w:p>
    <w:p>
      <w:pPr>
        <w:pStyle w:val="Heading2"/>
        <w:keepNext/>
        <w:spacing w:after="100" w:before="200"/>
      </w:pPr>
      <w:r>
        <w:rPr>
          <w:rFonts w:ascii="Calibri" w:cs="Calibri" w:eastAsia="Calibri" w:hAnsi="Calibri"/>
        </w:rPr>
        <w:t xml:space="preserve">9.2 Compliance and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6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Constraint</w:t>
            </w:r>
          </w:p>
        </w:tc>
        <w:tc>
          <w:tcPr>
            <w:tcW w:type="dxa" w:w="4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Detail (verified 26 August 2026)</w:t>
            </w:r>
          </w:p>
        </w:tc>
        <w:tc>
          <w:tcPr>
            <w:tcW w:type="dxa" w:w="28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Budget or design effect</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Platform data handling</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 applies zero data retention and zero operator access by default; model providers have no access to prompts or completions because models run in AWS-operated deployment accounts</w:t>
            </w:r>
          </w:p>
        </w:tc>
        <w:tc>
          <w:tcPr>
            <w:tcW w:type="dxa" w:w="2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Supports the third-party risk file; no cost</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Model-specific retention exceptions</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Fable 5 retains inputs and outputs for up to 30 days with mandatory opt-in to sharing with Anthropic; OpenAI GPT-5.x models retain classifier-flagged traffic for up to 30 days; retained data is stored in the destination region</w:t>
            </w:r>
          </w:p>
        </w:tc>
        <w:tc>
          <w:tcPr>
            <w:tcW w:type="dxa" w:w="2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Exclude these models from the allow list for this workload</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Certifications and reports</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 is in scope for SOC, ISO and CSA STAR programs, is HIPAA eligible, supports PCI workloads, and is FedRAMP High authorized in AWS GovCloud (US-West); reports are downloaded from AWS Artifact</w:t>
            </w:r>
          </w:p>
        </w:tc>
        <w:tc>
          <w:tcPr>
            <w:tcW w:type="dxa" w:w="2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Evidence gathering time only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Payment card data</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Receipts can carry truncated card numbers; full numbers must not be accepted by the pipeline or the deployment enters PCI DSS scope</w:t>
            </w:r>
          </w:p>
        </w:tc>
        <w:tc>
          <w:tcPr>
            <w:tcW w:type="dxa" w:w="2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 sensitive information filter and an upstream check; possible cost per document in Table 8.1</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Canadian supervisory expectations</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OSFI Guideline B-13 (technology and cyber risk, in force since 1 January 2024), Guideline B-10 (third-party risk, in force since 1 May 2024) and Guideline E-23 (2027) on model risk management, which covers externally sourced models and data</w:t>
            </w:r>
          </w:p>
        </w:tc>
        <w:tc>
          <w:tcPr>
            <w:tcW w:type="dxa" w:w="2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Third-party risk record for AWS Bedrock and each model provider; model inventory entry, validation report and monitoring plan for the chosen model; these are effort, not AWS cost</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 supervisory expectations</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Federal Reserve and OCC model risk management guidance (SR 11-7 / OCC 2011-12) and third-party risk management expectations</w:t>
            </w:r>
          </w:p>
        </w:tc>
        <w:tc>
          <w:tcPr>
            <w:tcW w:type="dxa" w:w="2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 evidence set, reused</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Network and encryption</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PrivateLink endpoints, KMS customer managed keys and IAM policies scoped to approved model and profile ARNs are required by NFR-07</w:t>
            </w:r>
          </w:p>
        </w:tc>
        <w:tc>
          <w:tcPr>
            <w:tcW w:type="dxa" w:w="2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PrivateLink and KMS lines in Table 8.2</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Content logging</w:t>
            </w:r>
          </w:p>
        </w:tc>
        <w:tc>
          <w:tcPr>
            <w:tcW w:type="dxa" w:w="4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 model invocation logging can write prompts and responses to S3 or CloudWatch; the records policy decides whether content is logged at all</w:t>
            </w:r>
          </w:p>
        </w:tc>
        <w:tc>
          <w:tcPr>
            <w:tcW w:type="dxa" w:w="2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Storage and KMS cost scale with content logging; metadata-only logging is the default</w:t>
            </w:r>
          </w:p>
        </w:tc>
      </w:tr>
    </w:tbl>
    <w:p>
      <w:pPr>
        <w:spacing w:after="120"/>
      </w:pPr>
    </w:p>
    <w:p>
      <w:pPr>
        <w:pStyle w:val="Heading2"/>
        <w:keepNext/>
        <w:spacing w:after="100" w:before="200"/>
      </w:pPr>
      <w:r>
        <w:rPr>
          <w:rFonts w:ascii="Calibri" w:cs="Calibri" w:eastAsia="Calibri" w:hAnsi="Calibri"/>
        </w:rPr>
        <w:t xml:space="preserve">9.3 Quota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200"/>
        <w:gridCol w:w="3360"/>
      </w:tblGrid>
      <w:tr>
        <w:trPr>
          <w:cantSplit/>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Quota</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Default</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Adjustable</w:t>
            </w:r>
          </w:p>
        </w:tc>
        <w:tc>
          <w:tcPr>
            <w:tcW w:type="dxa" w:w="33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Effect on the plan</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units for no-commitment Provisioned Throughput, base models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Any Provisioned Throughput purchase starts with a quota request</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units per provisioned model, Nova 2 Lite 256K</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Reserved tier minimum capacity</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100,000 input TPM and 10,000 output TPM</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a quota; a floor</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Sets the minimum monthly cost in Table 3.3</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Cross-region requests per minute, Nova 2 Lite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2,000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Hard ceiling of 2,000 documents per minute per region for that model</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Cross-region tokens per minute, Claude Haiku 4.5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5,000,000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About 1,470 documents per minute at 3,400 tokens each; request an increase before sustained use passes 60 percent</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input file size and job size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 GB and 5 GB</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Drives the job count in Table 7.3</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Concurrent model import jobs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3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relevant; the Cohere architecture is not importable</w:t>
            </w:r>
          </w:p>
        </w:tc>
      </w:tr>
    </w:tbl>
    <w:p>
      <w:pPr>
        <w:spacing w:after="120"/>
      </w:pPr>
    </w:p>
    <w:p>
      <w:pPr>
        <w:pStyle w:val="Heading2"/>
        <w:keepNext/>
        <w:spacing w:after="100" w:before="200"/>
      </w:pPr>
      <w:r>
        <w:rPr>
          <w:rFonts w:ascii="Calibri" w:cs="Calibri" w:eastAsia="Calibri" w:hAnsi="Calibri"/>
        </w:rPr>
        <w:t xml:space="preserve">9.4 Model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Model</w:t>
            </w:r>
          </w:p>
        </w:tc>
        <w:tc>
          <w:tcPr>
            <w:tcW w:type="dxa" w:w="3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Lifecycle status on the model card</w:t>
            </w:r>
          </w:p>
        </w:tc>
        <w:tc>
          <w:tcPr>
            <w:tcW w:type="dxa" w:w="35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Effect on the plan</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Haiku 4.5</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1 October 2026</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 retirement notice could arrive five weeks after this document; keep a second model qualified</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4.6</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no EOL date</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Safe fallback</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5</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launched 30 June 2026; no batch and no structured outputs yet</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Re-evaluate when batch is offered; it would then be the cheapest Claude at Standard</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2 Lite</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no EOL date</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Safe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Lite</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EOL no sooner than 4 December 2025 (date passed)</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 not build on it</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Cohere Command R and R+</w:t>
            </w:r>
          </w:p>
        </w:tc>
        <w:tc>
          <w:tcPr>
            <w:tcW w:type="dxa" w:w="3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Legacy; EOL 19 August 2026</w:t>
            </w:r>
          </w:p>
        </w:tc>
        <w:tc>
          <w:tcPr>
            <w:tcW w:type="dxa" w:w="3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Confirms that no Cohere text model is available on Bedrock going forward</w:t>
            </w:r>
          </w:p>
        </w:tc>
      </w:tr>
    </w:tbl>
    <w:p>
      <w:pPr>
        <w:spacing w:after="120"/>
      </w:pPr>
    </w:p>
    <w:p>
      <w:pPr>
        <w:pStyle w:val="Heading1"/>
        <w:keepNext/>
        <w:spacing w:after="120" w:before="280"/>
      </w:pPr>
      <w:r>
        <w:rPr>
          <w:rFonts w:ascii="Calibri" w:cs="Calibri" w:eastAsia="Calibri" w:hAnsi="Calibri"/>
        </w:rPr>
        <w:t xml:space="preserve">10. Deployment decisions and recommended budget envelope</w:t>
      </w:r>
    </w:p>
    <w:p>
      <w:pPr>
        <w:keepNext/>
        <w:spacing w:after="60" w:before="80"/>
      </w:pPr>
      <w:r>
        <w:rPr>
          <w:rFonts w:ascii="Calibri" w:cs="Calibri" w:eastAsia="Calibri" w:hAnsi="Calibri"/>
          <w:b/>
          <w:bCs/>
          <w:sz w:val="18"/>
          <w:szCs w:val="18"/>
        </w:rPr>
        <w:t xml:space="preserve">Table 10.1. The three decisions the ticket asks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Decision</w:t>
            </w:r>
          </w:p>
        </w:tc>
        <w:tc>
          <w:tcPr>
            <w:tcW w:type="dxa" w:w="5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Recommendation</w:t>
            </w:r>
          </w:p>
        </w:tc>
        <w:tc>
          <w:tcPr>
            <w:tcW w:type="dxa" w:w="28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Condition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Throughput mode</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on-demand for the real-time path; Bedrock batch for backlog and reprocessing; Flex tier for Nova 2 Lite non-interactive calls; Priority tier held in reserve; no Reserved tier or Provisioned Throughput purchase</w:t>
            </w:r>
          </w:p>
        </w:tc>
        <w:tc>
          <w:tcPr>
            <w:tcW w:type="dxa" w:w="2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Revisit Reserved only if a written capacity guarantee becomes a requirement</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Capacity</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quota increases needed for the Claude candidates or Nova 2 Lite at 300 documents per minute from a US source region; file increases when steady-state use passes 60 percent of any quota; size batch jobs at about 15,465 records</w:t>
            </w:r>
          </w:p>
        </w:tc>
        <w:tc>
          <w:tcPr>
            <w:tcW w:type="dxa" w:w="2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Peak intake of 300 per minute confirmed by measurement</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Region</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us-east-1 source with the us. profile if the data residency ruling permits US processing of all documents; ca-central-1 source with the us. profile if Canadian-origin data must originate in Canada, accepting that processing may still occur in US regions; global profiles only for data classes with no residency requirement</w:t>
            </w:r>
          </w:p>
        </w:tc>
        <w:tc>
          <w:tcPr>
            <w:tcW w:type="dxa" w:w="2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residency ruling from information security and privacy</w:t>
            </w:r>
          </w:p>
        </w:tc>
      </w:tr>
    </w:tbl>
    <w:p>
      <w:pPr>
        <w:spacing w:after="120"/>
      </w:pPr>
    </w:p>
    <w:p>
      <w:pPr>
        <w:keepNext/>
        <w:spacing w:after="60" w:before="80"/>
      </w:pPr>
      <w:r>
        <w:rPr>
          <w:rFonts w:ascii="Calibri" w:cs="Calibri" w:eastAsia="Calibri" w:hAnsi="Calibri"/>
          <w:b/>
          <w:bCs/>
          <w:sz w:val="18"/>
          <w:szCs w:val="18"/>
        </w:rPr>
        <w:t xml:space="preserve">Table 10.2. Recommended monthly budget envelope, USD (inference at list price plus 25 percent contingency for retries, multi-page documents and reprocessing, plus Guardrails at Table 8.1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820"/>
        <w:gridCol w:w="1820"/>
        <w:gridCol w:w="1820"/>
      </w:tblGrid>
      <w:tr>
        <w:trPr>
          <w:cantSplit/>
          <w:tblHeader/>
        </w:trPr>
        <w:tc>
          <w:tcPr>
            <w:tcW w:type="dxa" w:w="3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Configuration</w:t>
            </w:r>
          </w:p>
        </w:tc>
        <w:tc>
          <w:tcPr>
            <w:tcW w:type="dxa" w:w="182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20,000 per month</w:t>
            </w:r>
          </w:p>
        </w:tc>
        <w:tc>
          <w:tcPr>
            <w:tcW w:type="dxa" w:w="182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100,000 per month</w:t>
            </w:r>
          </w:p>
        </w:tc>
        <w:tc>
          <w:tcPr>
            <w:tcW w:type="dxa" w:w="182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500,000 per month</w:t>
            </w:r>
          </w:p>
        </w:tc>
      </w:tr>
      <w:tr>
        <w:trPr>
          <w:cantSplit/>
        </w:trPr>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Haiku 4.5, all Standard global</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$232</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$1,160</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$5,800</w:t>
            </w:r>
          </w:p>
        </w:tc>
      </w:tr>
      <w:tr>
        <w:trPr>
          <w:cantSplit/>
        </w:trPr>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Haiku 4.5, all Standard geo</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$250</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$1,253</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$6,263</w:t>
            </w:r>
          </w:p>
        </w:tc>
      </w:tr>
      <w:tr>
        <w:trPr>
          <w:cantSplit/>
        </w:trPr>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Haiku 4.5, all Batch global</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$140</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$698</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$3,488</w:t>
            </w:r>
          </w:p>
        </w:tc>
      </w:tr>
      <w:tr>
        <w:trPr>
          <w:cantSplit/>
        </w:trPr>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4.6, all Standard global</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$602</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$3,010</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$15,050</w:t>
            </w:r>
          </w:p>
        </w:tc>
      </w:tr>
      <w:tr>
        <w:trPr>
          <w:cantSplit/>
        </w:trPr>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4.6, all Batch global</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$324</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$1,622</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$8,112</w:t>
            </w:r>
          </w:p>
        </w:tc>
      </w:tr>
      <w:tr>
        <w:trPr>
          <w:cantSplit/>
        </w:trPr>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2 Lite, all Standard global</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$117</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$586</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$2,931</w:t>
            </w:r>
          </w:p>
        </w:tc>
      </w:tr>
      <w:tr>
        <w:trPr>
          <w:cantSplit/>
        </w:trPr>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2 Lite, all Flex or Batch global</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$82</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$411</w:t>
            </w:r>
          </w:p>
        </w:tc>
        <w:tc>
          <w:tcPr>
            <w:tcW w:type="dxa" w:w="18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jc w:val="right"/>
            </w:pPr>
            <w:r>
              <w:rPr>
                <w:rFonts w:ascii="Calibri" w:cs="Calibri" w:eastAsia="Calibri" w:hAnsi="Calibri"/>
                <w:sz w:val="18"/>
                <w:szCs w:val="18"/>
              </w:rPr>
              <w:t xml:space="preserve">$2,053</w:t>
            </w:r>
          </w:p>
        </w:tc>
      </w:tr>
    </w:tbl>
    <w:p>
      <w:pPr>
        <w:spacing w:after="120"/>
      </w:pPr>
    </w:p>
    <w:p>
      <w:pPr>
        <w:spacing w:after="120" w:before="0" w:line="264"/>
        <w:jc w:val="left"/>
      </w:pPr>
      <w:r>
        <w:rPr>
          <w:rFonts w:ascii="Calibri" w:cs="Calibri" w:eastAsia="Calibri" w:hAnsi="Calibri"/>
          <w:sz w:val="20"/>
          <w:szCs w:val="20"/>
        </w:rPr>
        <w:t xml:space="preserve">A budget request should carry the Standard global row of the primary model as the monthly ceiling and the Batch row as the floor, with the difference explained by the real-time share of volume. Before the request goes to finance, three inputs replace the assumptions: the measured prompt token count, the measured output token count on the chosen JSON schema, and the measured intake profile from the last three months of scanning.</w:t>
      </w:r>
    </w:p>
    <w:p>
      <w:pPr>
        <w:pStyle w:val="Heading1"/>
        <w:keepNext/>
        <w:spacing w:after="120" w:before="280"/>
      </w:pPr>
      <w:r>
        <w:rPr>
          <w:rFonts w:ascii="Calibri" w:cs="Calibri" w:eastAsia="Calibri" w:hAnsi="Calibri"/>
        </w:rPr>
        <w:t xml:space="preserve">11. Sources and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cantSplit/>
          <w:tblHeader/>
        </w:trPr>
        <w:tc>
          <w:tcPr>
            <w:tcW w:type="dxa" w:w="3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Source</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Used for</w:t>
            </w:r>
          </w:p>
        </w:tc>
        <w:tc>
          <w:tcPr>
            <w:tcW w:type="dxa" w:w="31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URL</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pricing feed, Bedrock foundation models (published 14 August 2026) and Bedrock (published 25 August 2026), resolved from the Bedrock pricing page</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All token, tier, Reserved and Provisioned Throughput prices in Sections 3 to 6 and 9</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https://aws.amazon.com/bedrock/pricing/</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Bedrock endpoints and quotas (AWS General Reference)</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All quotas in Sections 7 and 9</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https://docs.aws.amazon.com/general/latest/gr/bedrock.html</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Service tiers for optimizing performance and cost</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Reserved tier minimums, terms, overflow and uptime target; Priority and Flex behavior</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https://docs.aws.amazon.com/bedrock/latest/userguide/service-tiers-inference.html</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Per-model cards: Claude Sonnet 4.6, Claude Haiku 4.5, Claude Sonnet 5, Nova 2 Lite, Nova Lite, Nova Pro</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Tiers per model, batch support, structured outputs, caching minimums, lifecycle dates, source and destination regions</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https://docs.aws.amazon.com/bedrock/latest/userguide/model-cards.html</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Regional availability by models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geographic and global availability; Cohere Command R and R+ end of life</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https://docs.aws.amazon.com/bedrock/latest/userguide/models-region-compatibility.html</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Supported Regions and models for inference profiles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SCP behavior; application inference profile regions</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https://docs.aws.amazon.com/bedrock/latest/userguide/inference-profiles-support.html</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Bedrock abuse detection</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Zero data retention and zero operator access; model-specific retention exceptions</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https://docs.aws.amazon.com/bedrock/latest/userguide/abuse-detection.html</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Bedrock data protection</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deployment accounts and provider access</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https://docs.aws.amazon.com/bedrock/latest/userguide/data-protection.html</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Bedrock security and compliance page</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Compliance programs in scope, HIPAA eligibility, FedRAMP High in GovCloud (US-West)</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https://aws.amazon.com/bedrock/security-compliance</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Bedrock Service Level Agreement</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99.9 percent monthly uptime commitment and credit schedule</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https://aws.amazon.com/bedrock/sla</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 vision documentation</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token formula and the standard-tier ceiling</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https://docs.anthropic.com/en/docs/vision</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2 and Nova user guides, multimodal sections</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Flat 230 token image billing for Nova 2 Lite; Nova Lite image token table; 25 MB payload limit</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https://docs.aws.amazon.com/nova/latest/nova2-userguide/using-multimodal-models.html</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Bedrock pricing page, Guardrails section</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Guardrails prices per text unit and per image</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https://aws.amazon.com/bedrock/pricing/</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OSFI Guidelines B-10, B-13 and E-23 (2027)</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Supervisory expectations listed in Section 9.2</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https://www.osfi-bsif.gc.ca/en/guidance</w:t>
            </w:r>
          </w:p>
        </w:tc>
      </w:tr>
    </w:tbl>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AWS Bedrock Model Deployment: Resource and Cost Budget with Constraints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4B5"/>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Bedrock Model Deployment: Resource and Cost Budget with Constraints</dc:title>
  <dc:creator>M. Syed</dc:creator>
  <cp:lastModifiedBy>Un-named</cp:lastModifiedBy>
  <cp:revision>1</cp:revision>
  <dcterms:created xsi:type="dcterms:W3CDTF">2026-08-27T16:52:17.460Z</dcterms:created>
  <dcterms:modified xsi:type="dcterms:W3CDTF">2026-08-27T16:52:17.460Z</dcterms:modified>
</cp:coreProperties>
</file>

<file path=docProps/custom.xml><?xml version="1.0" encoding="utf-8"?>
<Properties xmlns="http://schemas.openxmlformats.org/officeDocument/2006/custom-properties" xmlns:vt="http://schemas.openxmlformats.org/officeDocument/2006/docPropsVTypes"/>
</file>