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2"/>
          <w:szCs w:val="32"/>
        </w:rPr>
        <w:t xml:space="preserve">Monitoring and Observability Tools and Platforms for AI Workflows: Addendum 2</w:t>
      </w:r>
    </w:p>
    <w:p>
      <w:pPr>
        <w:spacing w:after="200"/>
      </w:pPr>
      <w:r>
        <w:rPr>
          <w:rFonts w:ascii="Calibri" w:cs="Calibri" w:eastAsia="Calibri" w:hAnsi="Calibri"/>
          <w:i/>
          <w:iCs/>
          <w:color w:val="444444"/>
          <w:sz w:val="18"/>
          <w:szCs w:val="18"/>
        </w:rPr>
        <w:t xml:space="preserve">Compiled September 1, 2026. Second supplement to the main comparison table dated August 25, 2026 and the addendum dated August 26, 2026, using the same columns and conventions. Prices reflect vendor published list rates as of the compilation date and are subject to change; quote based products do not publish list prices. Sources: vendor pricing and product pages.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1800"/>
        <w:gridCol w:w="1250"/>
        <w:gridCol w:w="2400"/>
        <w:gridCol w:w="1500"/>
        <w:gridCol w:w="2700"/>
        <w:gridCol w:w="2550"/>
      </w:tblGrid>
      <w:tr>
        <w:trPr>
          <w:tblHeader/>
        </w:trPr>
        <w:tc>
          <w:tcPr>
            <w:tcW w:type="dxa" w:w="11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Name</w:t>
            </w:r>
          </w:p>
        </w:tc>
        <w:tc>
          <w:tcPr>
            <w:tcW w:type="dxa" w:w="10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Website</w:t>
            </w:r>
          </w:p>
        </w:tc>
        <w:tc>
          <w:tcPr>
            <w:tcW w:type="dxa" w:w="18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Link</w:t>
            </w:r>
          </w:p>
        </w:tc>
        <w:tc>
          <w:tcPr>
            <w:tcW w:type="dxa" w:w="12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Publisher</w:t>
            </w:r>
          </w:p>
        </w:tc>
        <w:tc>
          <w:tcPr>
            <w:tcW w:type="dxa" w:w="24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Price</w:t>
            </w:r>
          </w:p>
        </w:tc>
        <w:tc>
          <w:tcPr>
            <w:tcW w:type="dxa" w:w="15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Availability</w:t>
            </w:r>
          </w:p>
        </w:tc>
        <w:tc>
          <w:tcPr>
            <w:tcW w:type="dxa" w:w="270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Notes</w:t>
            </w:r>
          </w:p>
        </w:tc>
        <w:tc>
          <w:tcPr>
            <w:tcW w:type="dxa" w:w="2550"/>
            <w:shd w:fill="D9D9D9" w:color="auto" w:val="clear"/>
            <w:tcMar>
              <w:top w:type="dxa" w:w="50"/>
              <w:left w:type="dxa" w:w="80"/>
              <w:bottom w:type="dxa" w:w="50"/>
              <w:right w:type="dxa" w:w="80"/>
            </w:tcMar>
            <w:vAlign w:val="top"/>
          </w:tcPr>
          <w:p>
            <w:pPr>
              <w:jc w:val="left"/>
            </w:pPr>
            <w:r>
              <w:rPr>
                <w:rFonts w:ascii="Calibri" w:cs="Calibri" w:eastAsia="Calibri" w:hAnsi="Calibri"/>
                <w:b/>
                <w:bCs/>
                <w:sz w:val="17"/>
                <w:szCs w:val="17"/>
              </w:rPr>
              <w:t xml:space="preserve">AI observability fit</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OpenAI Evals</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openai.com</w:t>
            </w:r>
          </w:p>
        </w:tc>
        <w:tc>
          <w:tcPr>
            <w:tcW w:type="dxa" w:w="1800"/>
            <w:tcMar>
              <w:top w:type="dxa" w:w="50"/>
              <w:left w:type="dxa" w:w="80"/>
              <w:bottom w:type="dxa" w:w="50"/>
              <w:right w:type="dxa" w:w="80"/>
            </w:tcMar>
            <w:vAlign w:val="top"/>
          </w:tcPr>
          <w:p>
            <w:hyperlink w:history="1" r:id="rIdbu4odtvsx_afnjm5o7a0e">
              <w:r>
                <w:rPr>
                  <w:rFonts w:ascii="Calibri" w:cs="Calibri" w:eastAsia="Calibri" w:hAnsi="Calibri"/>
                  <w:color w:val="0563C1"/>
                  <w:sz w:val="16"/>
                  <w:szCs w:val="16"/>
                  <w:u w:val="single"/>
                </w:rPr>
                <w:t xml:space="preserve">developers.openai.com/api/docs/guides/graders</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OpenAI</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No separate product fee published; sampling and grading consume model tokens at standard API rates (model graders bill as ordinary inference), and eval workloads qualify for the Batch tier's 50 percent discount. The open source Evals framework and its oaieval CLI are free to use.</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Hosted Evals API and dashboard inside the OpenAI developer platform; the open source framework runs locally or in CI. Centered on OpenAI models and Agents SDK traces, with documented support for evaluating external models.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Reusable evals (a dataset schema plus testing criteria) executed as runs and scored by four grader types: string check, text similarity, model grader (LLM as a judge), and Python grader. Trace grading scores end to end agent traces (model calls, tool calls, guardrails, handoffs) to surface regressions at scale, and stored production outputs can be graded retroactively without a second model call. The 2026 open source release adds multi-turn trace recording, tool call grading, and pass rate dashboards across agent versions, built for per pull request and nightly CI runs.</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Good fit for evaluation: </w:t>
            </w:r>
            <w:r>
              <w:rPr>
                <w:rFonts w:ascii="Calibri" w:cs="Calibri" w:eastAsia="Calibri" w:hAnsi="Calibri"/>
                <w:sz w:val="16"/>
                <w:szCs w:val="16"/>
              </w:rPr>
              <w:t xml:space="preserve">measures output and agent quality with regression testing built in, but it is not observability: no infrastructure metrics, tracing only through the Agents SDK, and the hosted platform is centered on OpenAI traffic, so on a Bedrock centered estate it covers the OpenAI slice only.</w:t>
            </w:r>
          </w:p>
        </w:tc>
      </w:tr>
      <w:tr>
        <w:tc>
          <w:tcPr>
            <w:tcW w:type="dxa" w:w="1150"/>
            <w:tcMar>
              <w:top w:type="dxa" w:w="50"/>
              <w:left w:type="dxa" w:w="80"/>
              <w:bottom w:type="dxa" w:w="50"/>
              <w:right w:type="dxa" w:w="80"/>
            </w:tcMar>
            <w:vAlign w:val="top"/>
          </w:tcPr>
          <w:p>
            <w:pPr>
              <w:jc w:val="left"/>
            </w:pPr>
            <w:r>
              <w:rPr>
                <w:rFonts w:ascii="Calibri" w:cs="Calibri" w:eastAsia="Calibri" w:hAnsi="Calibri"/>
                <w:b/>
                <w:bCs/>
                <w:sz w:val="16"/>
                <w:szCs w:val="16"/>
              </w:rPr>
              <w:t xml:space="preserve">Pantheon (pantheon.io)</w:t>
            </w:r>
          </w:p>
        </w:tc>
        <w:tc>
          <w:tcPr>
            <w:tcW w:type="dxa" w:w="10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pantheon.io</w:t>
            </w:r>
          </w:p>
        </w:tc>
        <w:tc>
          <w:tcPr>
            <w:tcW w:type="dxa" w:w="1800"/>
            <w:tcMar>
              <w:top w:type="dxa" w:w="50"/>
              <w:left w:type="dxa" w:w="80"/>
              <w:bottom w:type="dxa" w:w="50"/>
              <w:right w:type="dxa" w:w="80"/>
            </w:tcMar>
            <w:vAlign w:val="top"/>
          </w:tcPr>
          <w:p>
            <w:hyperlink w:history="1" r:id="rId-vf157zwllqckhayyrnop">
              <w:r>
                <w:rPr>
                  <w:rFonts w:ascii="Calibri" w:cs="Calibri" w:eastAsia="Calibri" w:hAnsi="Calibri"/>
                  <w:color w:val="0563C1"/>
                  <w:sz w:val="16"/>
                  <w:szCs w:val="16"/>
                  <w:u w:val="single"/>
                </w:rPr>
                <w:t xml:space="preserve">pantheon.io/plans/pricing</w:t>
              </w:r>
            </w:hyperlink>
          </w:p>
        </w:tc>
        <w:tc>
          <w:tcPr>
            <w:tcW w:type="dxa" w:w="125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Pantheon Systems, Inc.</w:t>
            </w:r>
          </w:p>
        </w:tc>
        <w:tc>
          <w:tcPr>
            <w:tcW w:type="dxa" w:w="24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Published tiers Basic, Performance, and Elite: Basic from USD 41 per month prepaid annually, Performance priced by resource level, Elite and enterprise workspaces quoted. Traffic is metered on site visits and pages served, with one month of overage protection on annual Performance and Elite plans. Median negotiated contract about USD 35,600 per year (Vendr, 106 purchases). Free trial, with a paid site plan required to go live.</w:t>
            </w:r>
          </w:p>
        </w:tc>
        <w:tc>
          <w:tcPr>
            <w:tcW w:type="dxa" w:w="15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SaaS WebOps platform built on Google Cloud Platform, with Dev, Test, Live, and Multidev environments per site; regional data and job workers on annual plans.</w:t>
            </w:r>
          </w:p>
        </w:tc>
        <w:tc>
          <w:tcPr>
            <w:tcW w:type="dxa" w:w="2700"/>
            <w:tcMar>
              <w:top w:type="dxa" w:w="50"/>
              <w:left w:type="dxa" w:w="80"/>
              <w:bottom w:type="dxa" w:w="50"/>
              <w:right w:type="dxa" w:w="80"/>
            </w:tcMar>
            <w:vAlign w:val="top"/>
          </w:tcPr>
          <w:p>
            <w:pPr>
              <w:jc w:val="left"/>
            </w:pPr>
            <w:r>
              <w:rPr>
                <w:rFonts w:ascii="Calibri" w:cs="Calibri" w:eastAsia="Calibri" w:hAnsi="Calibri"/>
                <w:b w:val="false"/>
                <w:bCs w:val="false"/>
                <w:sz w:val="16"/>
                <w:szCs w:val="16"/>
              </w:rPr>
              <w:t xml:space="preserve">Hosting and workflow platform for Drupal, WordPress, and Next.js sites: Git based deploys, automated backups, CDN, Solr search, and over a million platform checks a day for performance issues. New Relic APM Pro is included at no charge on every site (APM, browser monitoring, 10,000 synthetic checks per month, alerts) across all environments, though the bundled account excludes New Relic Logs. Content Publisher pushes content from Google Docs and Word straight to sites.</w:t>
            </w:r>
          </w:p>
        </w:tc>
        <w:tc>
          <w:tcPr>
            <w:tcW w:type="dxa" w:w="2550"/>
            <w:tcMar>
              <w:top w:type="dxa" w:w="50"/>
              <w:left w:type="dxa" w:w="80"/>
              <w:bottom w:type="dxa" w:w="50"/>
              <w:right w:type="dxa" w:w="80"/>
            </w:tcMar>
            <w:vAlign w:val="top"/>
          </w:tcPr>
          <w:p>
            <w:r>
              <w:rPr>
                <w:rFonts w:ascii="Calibri" w:cs="Calibri" w:eastAsia="Calibri" w:hAnsi="Calibri"/>
                <w:b/>
                <w:bCs/>
                <w:sz w:val="16"/>
                <w:szCs w:val="16"/>
              </w:rPr>
              <w:t xml:space="preserve">Good fit for the pages it serves: </w:t>
            </w:r>
            <w:r>
              <w:rPr>
                <w:rFonts w:ascii="Calibri" w:cs="Calibri" w:eastAsia="Calibri" w:hAnsi="Calibri"/>
                <w:sz w:val="16"/>
                <w:szCs w:val="16"/>
              </w:rPr>
              <w:t xml:space="preserve">hosts the customer facing pages where AI features and AI authored content reach users, with bundled New Relic APM, browser, and synthetic monitoring for that delivery layer; it is not model or prompt aware, so upstream AI telemetry must come from the platforms in the main table.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u4odtvsx_afnjm5o7a0e" Type="http://schemas.openxmlformats.org/officeDocument/2006/relationships/hyperlink" Target="https://developers.openai.com/api/docs/guides/graders" TargetMode="External"/><Relationship Id="rId-vf157zwllqckhayyrnop" Type="http://schemas.openxmlformats.org/officeDocument/2006/relationships/hyperlink" Target="https://pantheon.io/plans/pricing"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Observability Tools and Platforms for AI Workflows: Addendum 2</dc:title>
  <dc:creator>Muntaser Syed</dc:creator>
  <cp:lastModifiedBy>Un-named</cp:lastModifiedBy>
  <cp:revision>1</cp:revision>
  <dcterms:created xsi:type="dcterms:W3CDTF">2026-09-01T13:19:55.109Z</dcterms:created>
  <dcterms:modified xsi:type="dcterms:W3CDTF">2026-09-01T13:19:55.120Z</dcterms:modified>
</cp:coreProperties>
</file>

<file path=docProps/custom.xml><?xml version="1.0" encoding="utf-8"?>
<Properties xmlns="http://schemas.openxmlformats.org/officeDocument/2006/custom-properties" xmlns:vt="http://schemas.openxmlformats.org/officeDocument/2006/docPropsVTypes"/>
</file>