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D0EE8" w14:textId="2F208867" w:rsidR="005A56D4" w:rsidRDefault="00256435">
      <w:r>
        <w:t>Jennifer DeVore</w:t>
      </w:r>
    </w:p>
    <w:p w14:paraId="0E1DA5CC" w14:textId="7217F6D6" w:rsidR="00256435" w:rsidRDefault="00256435">
      <w:r>
        <w:t>14 March 2020</w:t>
      </w:r>
    </w:p>
    <w:p w14:paraId="1C655233" w14:textId="054C8FC0" w:rsidR="00256435" w:rsidRDefault="00256435">
      <w:r>
        <w:t>CIS 435L</w:t>
      </w:r>
    </w:p>
    <w:p w14:paraId="65335C57" w14:textId="258A085E" w:rsidR="00256435" w:rsidRDefault="00256435" w:rsidP="00256435">
      <w:pPr>
        <w:jc w:val="center"/>
        <w:rPr>
          <w:b/>
          <w:bCs/>
          <w:u w:val="single"/>
        </w:rPr>
      </w:pPr>
      <w:r w:rsidRPr="00256435">
        <w:rPr>
          <w:b/>
          <w:bCs/>
          <w:u w:val="single"/>
        </w:rPr>
        <w:t>Unit 2 Lab Assignment 2: Coding Subqueries</w:t>
      </w:r>
    </w:p>
    <w:p w14:paraId="05EE5D46" w14:textId="5B0D83E6" w:rsidR="00256435" w:rsidRDefault="00256435" w:rsidP="00256435">
      <w:pPr>
        <w:rPr>
          <w:b/>
          <w:bCs/>
        </w:rPr>
      </w:pPr>
      <w:r>
        <w:rPr>
          <w:b/>
          <w:bCs/>
        </w:rPr>
        <w:t>Terms:</w:t>
      </w:r>
    </w:p>
    <w:p w14:paraId="3089FCA0" w14:textId="5DD7EFF7" w:rsidR="00256435" w:rsidRDefault="00256435" w:rsidP="002564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Subquery</w:t>
      </w:r>
    </w:p>
    <w:p w14:paraId="401DC58D" w14:textId="15F23C99" w:rsidR="00256435" w:rsidRPr="00256435" w:rsidRDefault="00543794" w:rsidP="00256435">
      <w:r>
        <w:t>According to SQLServerTutorial.Net, “</w:t>
      </w:r>
      <w:r w:rsidRPr="00543794">
        <w:t>A subquery is a query nested inside another statement such as SELECT, INSERT, UPDATE, or DELETE</w:t>
      </w:r>
      <w:sdt>
        <w:sdtPr>
          <w:id w:val="-461346175"/>
          <w:citation/>
        </w:sdtPr>
        <w:sdtEndPr/>
        <w:sdtContent>
          <w:r>
            <w:fldChar w:fldCharType="begin"/>
          </w:r>
          <w:r>
            <w:instrText xml:space="preserve"> CITATION SQL202 \l 1033 </w:instrText>
          </w:r>
          <w:r>
            <w:fldChar w:fldCharType="separate"/>
          </w:r>
          <w:r>
            <w:rPr>
              <w:noProof/>
            </w:rPr>
            <w:t xml:space="preserve"> (SQLServerTutorial.Net, 2020)</w:t>
          </w:r>
          <w:r>
            <w:fldChar w:fldCharType="end"/>
          </w:r>
        </w:sdtContent>
      </w:sdt>
      <w:r w:rsidRPr="00543794">
        <w:t>.</w:t>
      </w:r>
      <w:r>
        <w:t>”</w:t>
      </w:r>
    </w:p>
    <w:p w14:paraId="4C486EE8" w14:textId="40BC11C0" w:rsidR="00256435" w:rsidRDefault="00256435" w:rsidP="002564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Subquery search condition</w:t>
      </w:r>
    </w:p>
    <w:p w14:paraId="0A01D9DB" w14:textId="43FDBC9A" w:rsidR="00256435" w:rsidRPr="00256435" w:rsidRDefault="00DF18DD" w:rsidP="00256435">
      <w:r>
        <w:t xml:space="preserve">According to Vertica, </w:t>
      </w:r>
      <w:r w:rsidR="001B2BE9">
        <w:t>“</w:t>
      </w:r>
      <w:r w:rsidR="001B2BE9" w:rsidRPr="001B2BE9">
        <w:t>Subqueries are used as search conditions in order to filter results. They specify the conditions for the rows returned from the containing query's select-list, a query expression, or the subquery itself. The operation evaluates to TRUE, FALSE, or UNKNOWN (NULL)</w:t>
      </w:r>
      <w:sdt>
        <w:sdtPr>
          <w:id w:val="888232379"/>
          <w:citation/>
        </w:sdtPr>
        <w:sdtEndPr/>
        <w:sdtContent>
          <w:r>
            <w:fldChar w:fldCharType="begin"/>
          </w:r>
          <w:r>
            <w:instrText xml:space="preserve"> CITATION Ver20 \l 1033 </w:instrText>
          </w:r>
          <w:r>
            <w:fldChar w:fldCharType="separate"/>
          </w:r>
          <w:r>
            <w:rPr>
              <w:noProof/>
            </w:rPr>
            <w:t xml:space="preserve"> (Vertica, 2020)</w:t>
          </w:r>
          <w:r>
            <w:fldChar w:fldCharType="end"/>
          </w:r>
        </w:sdtContent>
      </w:sdt>
      <w:r w:rsidR="001B2BE9" w:rsidRPr="001B2BE9">
        <w:t>.</w:t>
      </w:r>
      <w:r w:rsidR="001B2BE9">
        <w:t>”</w:t>
      </w:r>
    </w:p>
    <w:p w14:paraId="45D71336" w14:textId="3C387CCF" w:rsidR="00256435" w:rsidRDefault="00256435" w:rsidP="002564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Four ways to introduce a subquery in a SELECT statement</w:t>
      </w:r>
    </w:p>
    <w:p w14:paraId="5E18E03F" w14:textId="07BB1958" w:rsidR="00256435" w:rsidRPr="00256435" w:rsidRDefault="00D43CC8" w:rsidP="00D43CC8">
      <w:r>
        <w:t>The four ways to introduce a subquery in a SELECT statement are, “In a SELECT clause as a column expression, in a WHERE clause as a filter criteria, in the FROM clause as a table specification, or in a HAVING clause as a group selector (filter criteria)</w:t>
      </w:r>
      <w:sdt>
        <w:sdtPr>
          <w:id w:val="-464278798"/>
          <w:citation/>
        </w:sdtPr>
        <w:sdtEndPr/>
        <w:sdtContent>
          <w:r>
            <w:fldChar w:fldCharType="begin"/>
          </w:r>
          <w:r>
            <w:instrText xml:space="preserve"> CITATION Ess20 \l 1033 </w:instrText>
          </w:r>
          <w:r>
            <w:fldChar w:fldCharType="separate"/>
          </w:r>
          <w:r>
            <w:rPr>
              <w:noProof/>
            </w:rPr>
            <w:t xml:space="preserve"> (EssentialSQL, 2020)</w:t>
          </w:r>
          <w:r>
            <w:fldChar w:fldCharType="end"/>
          </w:r>
        </w:sdtContent>
      </w:sdt>
      <w:r>
        <w:t xml:space="preserve">,” according to </w:t>
      </w:r>
      <w:proofErr w:type="spellStart"/>
      <w:r>
        <w:t>EssentialSQL</w:t>
      </w:r>
      <w:proofErr w:type="spellEnd"/>
      <w:r>
        <w:t>.</w:t>
      </w:r>
    </w:p>
    <w:p w14:paraId="1D503B77" w14:textId="1AADABB5" w:rsidR="00256435" w:rsidRDefault="00256435" w:rsidP="002564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Correlated subquery</w:t>
      </w:r>
    </w:p>
    <w:p w14:paraId="13A108F0" w14:textId="6FF80614" w:rsidR="00256435" w:rsidRPr="00256435" w:rsidRDefault="001B2BE9" w:rsidP="00256435">
      <w:r>
        <w:t>According to W3Resource, “</w:t>
      </w:r>
      <w:r w:rsidRPr="001B2BE9">
        <w:t>Correlated subqueries : Reference one or more columns in the outer SQL statement. The subquery is known as a correlated subquery because the subquery is related to the outer SQL statement</w:t>
      </w:r>
      <w:sdt>
        <w:sdtPr>
          <w:id w:val="1209998192"/>
          <w:citation/>
        </w:sdtPr>
        <w:sdtEndPr/>
        <w:sdtContent>
          <w:r>
            <w:fldChar w:fldCharType="begin"/>
          </w:r>
          <w:r>
            <w:instrText xml:space="preserve"> CITATION W3R20 \l 1033 </w:instrText>
          </w:r>
          <w:r>
            <w:fldChar w:fldCharType="separate"/>
          </w:r>
          <w:r>
            <w:rPr>
              <w:noProof/>
            </w:rPr>
            <w:t xml:space="preserve"> (W3Resources, 2020)</w:t>
          </w:r>
          <w:r>
            <w:fldChar w:fldCharType="end"/>
          </w:r>
        </w:sdtContent>
      </w:sdt>
      <w:r w:rsidRPr="001B2BE9">
        <w:t>.</w:t>
      </w:r>
      <w:r>
        <w:t>”</w:t>
      </w:r>
    </w:p>
    <w:p w14:paraId="047E7037" w14:textId="7953D329" w:rsidR="00256435" w:rsidRDefault="00256435" w:rsidP="002564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INTO</w:t>
      </w:r>
    </w:p>
    <w:p w14:paraId="1FD8D205" w14:textId="5EBF7657" w:rsidR="00256435" w:rsidRPr="00256435" w:rsidRDefault="00D43CC8" w:rsidP="00256435">
      <w:r>
        <w:t>According to Microsoft, “</w:t>
      </w:r>
      <w:r w:rsidRPr="00D43CC8">
        <w:t>SELECT...INTO creates a new table in the default filegroup and inserts the resulting rows from the query into it</w:t>
      </w:r>
      <w:sdt>
        <w:sdtPr>
          <w:id w:val="-424797979"/>
          <w:citation/>
        </w:sdtPr>
        <w:sdtEndPr/>
        <w:sdtContent>
          <w:r>
            <w:fldChar w:fldCharType="begin"/>
          </w:r>
          <w:r>
            <w:instrText xml:space="preserve"> CITATION Mic204 \l 1033 </w:instrText>
          </w:r>
          <w:r>
            <w:fldChar w:fldCharType="separate"/>
          </w:r>
          <w:r>
            <w:rPr>
              <w:noProof/>
            </w:rPr>
            <w:t xml:space="preserve"> (Microsoft, 2020)</w:t>
          </w:r>
          <w:r>
            <w:fldChar w:fldCharType="end"/>
          </w:r>
        </w:sdtContent>
      </w:sdt>
      <w:r w:rsidRPr="00D43CC8">
        <w:t>.</w:t>
      </w:r>
      <w:r>
        <w:t>”</w:t>
      </w:r>
    </w:p>
    <w:tbl>
      <w:tblPr>
        <w:tblW w:w="0" w:type="auto"/>
        <w:tblInd w:w="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4"/>
        <w:gridCol w:w="9300"/>
      </w:tblGrid>
      <w:tr w:rsidR="00256435" w:rsidRPr="00256435" w14:paraId="3B30748C" w14:textId="77777777" w:rsidTr="00256435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7B10F" w14:textId="77777777" w:rsidR="00256435" w:rsidRPr="00256435" w:rsidRDefault="00256435" w:rsidP="00256435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5643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Exercise 1</w:t>
            </w:r>
          </w:p>
        </w:tc>
        <w:tc>
          <w:tcPr>
            <w:tcW w:w="13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07FC3" w14:textId="77777777" w:rsidR="00256435" w:rsidRPr="00256435" w:rsidRDefault="00256435" w:rsidP="002564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564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Watch the following T-SQL video:</w:t>
            </w:r>
            <w:r w:rsidRPr="002564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6" w:tgtFrame="_blank" w:history="1">
              <w:r w:rsidRPr="00256435">
                <w:rPr>
                  <w:rFonts w:ascii="Arial" w:eastAsia="Times New Roman" w:hAnsi="Arial" w:cs="Arial"/>
                  <w:color w:val="005D9B"/>
                  <w:sz w:val="24"/>
                  <w:szCs w:val="24"/>
                  <w:u w:val="single"/>
                </w:rPr>
                <w:t>https://www.youtube.com/watch?v=Oe0Y4qazeSM</w:t>
              </w:r>
              <w:r w:rsidRPr="00256435">
                <w:rPr>
                  <w:rFonts w:ascii="Arial" w:eastAsia="Times New Roman" w:hAnsi="Arial" w:cs="Arial"/>
                  <w:color w:val="005D9B"/>
                  <w:sz w:val="24"/>
                  <w:szCs w:val="24"/>
                  <w:bdr w:val="none" w:sz="0" w:space="0" w:color="auto" w:frame="1"/>
                </w:rPr>
                <w:t> (Links to an external site.)</w:t>
              </w:r>
            </w:hyperlink>
            <w:r w:rsidRPr="002564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r w:rsidRPr="002564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2. Complete the T-SQL Tutorial, Lesson1: Creating Database Objects.  Select SQL Server 2012 from the "Other Versions" dropdown menu (See Figure 1).</w:t>
            </w:r>
            <w:r w:rsidRPr="002564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 </w:t>
            </w:r>
            <w:r w:rsidRPr="002564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7" w:tgtFrame="_blank" w:history="1">
              <w:r w:rsidRPr="00256435">
                <w:rPr>
                  <w:rFonts w:ascii="Arial" w:eastAsia="Times New Roman" w:hAnsi="Arial" w:cs="Arial"/>
                  <w:color w:val="005D9B"/>
                  <w:sz w:val="24"/>
                  <w:szCs w:val="24"/>
                  <w:u w:val="single"/>
                </w:rPr>
                <w:t>https://msdn.microsoft.com/en-us/library/ms365325(v=sql.110).aspx</w:t>
              </w:r>
              <w:r w:rsidRPr="00256435">
                <w:rPr>
                  <w:rFonts w:ascii="Arial" w:eastAsia="Times New Roman" w:hAnsi="Arial" w:cs="Arial"/>
                  <w:color w:val="005D9B"/>
                  <w:sz w:val="24"/>
                  <w:szCs w:val="24"/>
                  <w:bdr w:val="none" w:sz="0" w:space="0" w:color="auto" w:frame="1"/>
                </w:rPr>
                <w:t> (Links to an external site.)</w:t>
              </w:r>
            </w:hyperlink>
          </w:p>
          <w:p w14:paraId="01724AAA" w14:textId="77777777" w:rsidR="00256435" w:rsidRPr="00256435" w:rsidRDefault="00256435" w:rsidP="00256435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56435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</w:rPr>
              <w:lastRenderedPageBreak/>
              <mc:AlternateContent>
                <mc:Choice Requires="wps">
                  <w:drawing>
                    <wp:inline distT="0" distB="0" distL="0" distR="0" wp14:anchorId="4B7269C7" wp14:editId="7F50E7C2">
                      <wp:extent cx="5772150" cy="4362450"/>
                      <wp:effectExtent l="0" t="0" r="0" b="0"/>
                      <wp:docPr id="2" name="AutoShap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72150" cy="4362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D07E436" id="AutoShape 2" o:spid="_x0000_s1026" style="width:454.5pt;height:3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AXD7QEAAMYDAAAOAAAAZHJzL2Uyb0RvYy54bWysU8Fu2zAMvQ/YPwi6L469pFmNOEXRosOA&#10;bivQ9QMYWY6F2aJGKXGyrx8lJ1m63YZdBJGUHx8fn5c3+74TO03eoK1kPplKoa3C2thNJV++Pbz7&#10;IIUPYGvo0OpKHrSXN6u3b5aDK3WBLXa1JsEg1peDq2QbgiuzzKtW9+An6LTlYoPUQ+CQNllNMDB6&#10;32XFdHqVDUi1I1Tae87ej0W5SvhNo1X42jReB9FVkrmFdFI61/HMVksoNwSuNepIA/6BRQ/GctMz&#10;1D0EEFsyf0H1RhF6bMJEYZ9h0xil0ww8TT79Y5rnFpxOs7A43p1l8v8PVn3ZPZEwdSULKSz0vKLb&#10;bcDUWRRRnsH5kl89uyeKA3r3iOq7FxbvWrAbfesdi8yr589PKSIcWg0188wjRPYKIwae0cR6+Iw1&#10;NwRumMTbN9THHiyL2KcdHc470vsgFCfni0WRz3mVimuz91fFjIPYA8rT5458+KixF/FSSWJ+CR52&#10;jz6MT09PYjeLD6brOA9lZ18lGDNmEv3IeBRjjfWB2ROOZmLz86VF+inFwEaqpP+xBdJSdJ8sK3Cd&#10;z2bReSmYzRcFB3RZWV9WwCqGqmSQYrzehdGtW0dm0yahR45xTY1J80RFR1ZHsmyWpMjR2NGNl3F6&#10;9fv3W/0CAAD//wMAUEsDBBQABgAIAAAAIQDlfh5M3QAAAAUBAAAPAAAAZHJzL2Rvd25yZXYueG1s&#10;TI9BS8NAEIXvQv/DMoIXsbv2UNuYTSkFaRGhmGrP2+yYBLOzaXabxH/v6EUvDx5veO+bdDW6RvTY&#10;hdqThvupAoFUeFtTqeHt8HS3ABGiIWsaT6jhCwOssslVahLrB3rFPo+l4BIKidFQxdgmUoaiQmfC&#10;1LdInH34zpnItiul7czA5a6RM6Xm0pmaeKEyLW4qLD7zi9MwFPv+eHjZyv3tcefpvDtv8vdnrW+u&#10;x/UjiIhj/DuGH3xGh4yZTv5CNohGAz8Sf5WzpVqyPWmYLx4UyCyV/+mzbwAAAP//AwBQSwECLQAU&#10;AAYACAAAACEAtoM4kv4AAADhAQAAEwAAAAAAAAAAAAAAAAAAAAAAW0NvbnRlbnRfVHlwZXNdLnht&#10;bFBLAQItABQABgAIAAAAIQA4/SH/1gAAAJQBAAALAAAAAAAAAAAAAAAAAC8BAABfcmVscy8ucmVs&#10;c1BLAQItABQABgAIAAAAIQBzKAXD7QEAAMYDAAAOAAAAAAAAAAAAAAAAAC4CAABkcnMvZTJvRG9j&#10;LnhtbFBLAQItABQABgAIAAAAIQDlfh5M3QAAAAUBAAAPAAAAAAAAAAAAAAAAAEcEAABkcnMvZG93&#10;bnJldi54bWxQSwUGAAAAAAQABADzAAAAUQ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18A701C0" w14:textId="77777777" w:rsidR="00256435" w:rsidRPr="00256435" w:rsidRDefault="00256435" w:rsidP="00256435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5643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Figure</w:t>
            </w:r>
            <w:r w:rsidRPr="0025643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1</w:t>
            </w:r>
          </w:p>
          <w:p w14:paraId="59FAD9BF" w14:textId="77777777" w:rsidR="00256435" w:rsidRPr="00256435" w:rsidRDefault="00256435" w:rsidP="00256435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564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After watching the T-SQL video and going through the tutorial, do the following(include screenshots for each):</w:t>
            </w:r>
          </w:p>
          <w:p w14:paraId="0780662B" w14:textId="481B804D" w:rsidR="00256435" w:rsidRDefault="00256435" w:rsidP="00256435">
            <w:pPr>
              <w:numPr>
                <w:ilvl w:val="0"/>
                <w:numId w:val="2"/>
              </w:numPr>
              <w:spacing w:after="0" w:line="240" w:lineRule="auto"/>
              <w:ind w:left="480" w:right="24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564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Create a database</w:t>
            </w:r>
          </w:p>
          <w:p w14:paraId="6215DE1E" w14:textId="4350A091" w:rsidR="00BB5CD6" w:rsidRPr="00256435" w:rsidRDefault="00BB5CD6" w:rsidP="00BB5CD6">
            <w:pPr>
              <w:spacing w:after="0" w:line="240" w:lineRule="auto"/>
              <w:ind w:left="120" w:right="24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2CAC80" wp14:editId="57E26B76">
                  <wp:extent cx="5943600" cy="62636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26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DC3F75" w14:textId="7BF6FE0F" w:rsidR="00256435" w:rsidRDefault="00256435" w:rsidP="00256435">
            <w:pPr>
              <w:numPr>
                <w:ilvl w:val="0"/>
                <w:numId w:val="2"/>
              </w:numPr>
              <w:spacing w:after="0" w:line="240" w:lineRule="auto"/>
              <w:ind w:left="480" w:right="24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564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Create a table in the database</w:t>
            </w:r>
          </w:p>
          <w:p w14:paraId="4D7D8B7F" w14:textId="5269BFA4" w:rsidR="00BB5CD6" w:rsidRPr="00256435" w:rsidRDefault="00BB5CD6" w:rsidP="00BB5CD6">
            <w:pPr>
              <w:spacing w:after="0" w:line="240" w:lineRule="auto"/>
              <w:ind w:right="24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E9D80F" wp14:editId="4F129D5A">
                  <wp:extent cx="5943600" cy="61245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12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7B626B" w14:textId="6D1EEB56" w:rsidR="00256435" w:rsidRDefault="00256435" w:rsidP="00256435">
            <w:pPr>
              <w:numPr>
                <w:ilvl w:val="0"/>
                <w:numId w:val="2"/>
              </w:numPr>
              <w:spacing w:after="0" w:line="240" w:lineRule="auto"/>
              <w:ind w:left="480" w:right="24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564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Insert data into the table</w:t>
            </w:r>
          </w:p>
          <w:p w14:paraId="56372991" w14:textId="5C811112" w:rsidR="00BB5CD6" w:rsidRPr="00256435" w:rsidRDefault="00BB5CD6" w:rsidP="00BB5CD6">
            <w:pPr>
              <w:spacing w:after="0" w:line="240" w:lineRule="auto"/>
              <w:ind w:right="24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E78CEF5" wp14:editId="5BA86AAA">
                  <wp:extent cx="5943600" cy="616140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16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2EDB38" w14:textId="1EAB418E" w:rsidR="000B0F3B" w:rsidRDefault="000B0F3B" w:rsidP="000B0F3B">
            <w:pPr>
              <w:spacing w:after="0" w:line="240" w:lineRule="auto"/>
              <w:ind w:right="24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ADDED ALL FOUR TUTORIAL INSERTS</w:t>
            </w:r>
          </w:p>
          <w:p w14:paraId="746EFE65" w14:textId="2AFE98D0" w:rsidR="00256435" w:rsidRDefault="00256435" w:rsidP="00256435">
            <w:pPr>
              <w:numPr>
                <w:ilvl w:val="0"/>
                <w:numId w:val="2"/>
              </w:numPr>
              <w:spacing w:after="0" w:line="240" w:lineRule="auto"/>
              <w:ind w:left="480" w:right="24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564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Update the data</w:t>
            </w:r>
          </w:p>
          <w:p w14:paraId="04392E32" w14:textId="043B16E3" w:rsidR="000B0F3B" w:rsidRDefault="000B0F3B" w:rsidP="000B0F3B">
            <w:pPr>
              <w:spacing w:after="0" w:line="240" w:lineRule="auto"/>
              <w:ind w:right="24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E512F3" wp14:editId="7A149F95">
                  <wp:extent cx="5943600" cy="6246495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24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E9AA66" w14:textId="4EC883D3" w:rsidR="000B0F3B" w:rsidRDefault="000B0F3B" w:rsidP="000B0F3B">
            <w:pPr>
              <w:spacing w:after="0" w:line="240" w:lineRule="auto"/>
              <w:ind w:right="24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761628" wp14:editId="363CFAF0">
                  <wp:extent cx="5943600" cy="625411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25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7B6075" w14:textId="1D056E8E" w:rsidR="00BB5CD6" w:rsidRPr="00256435" w:rsidRDefault="00BB5CD6" w:rsidP="00BB5CD6">
            <w:pPr>
              <w:spacing w:after="0" w:line="240" w:lineRule="auto"/>
              <w:ind w:right="24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256435" w:rsidRPr="00256435" w14:paraId="4B7CF921" w14:textId="77777777" w:rsidTr="00256435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3E511" w14:textId="77777777" w:rsidR="00256435" w:rsidRPr="00256435" w:rsidRDefault="00256435" w:rsidP="00256435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5643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Exercise 2</w:t>
            </w:r>
          </w:p>
        </w:tc>
        <w:tc>
          <w:tcPr>
            <w:tcW w:w="13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79E95" w14:textId="77777777" w:rsidR="00256435" w:rsidRPr="00256435" w:rsidRDefault="00256435" w:rsidP="00256435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564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1. Write a query that filters data and return the column “Name” from table </w:t>
            </w:r>
            <w:proofErr w:type="spellStart"/>
            <w:r w:rsidRPr="002564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Production.Product</w:t>
            </w:r>
            <w:proofErr w:type="spellEnd"/>
            <w:r w:rsidRPr="002564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 The filtering of rows is achieved by a WHERE clause that compares a single value from a subquery.</w:t>
            </w:r>
          </w:p>
          <w:p w14:paraId="107B9911" w14:textId="77777777" w:rsidR="00256435" w:rsidRPr="00256435" w:rsidRDefault="00256435" w:rsidP="00256435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564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2. The inner subquery shall return a specific </w:t>
            </w:r>
            <w:proofErr w:type="spellStart"/>
            <w:r w:rsidRPr="002564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ProductSubcategoryID</w:t>
            </w:r>
            <w:proofErr w:type="spellEnd"/>
            <w:r w:rsidRPr="002564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that the outer query uses as a filter of products to include in the report. The inner query will use its own WHERE clause to deliver its value, the </w:t>
            </w:r>
            <w:proofErr w:type="spellStart"/>
            <w:r w:rsidRPr="002564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ProductSubcategoryID</w:t>
            </w:r>
            <w:proofErr w:type="spellEnd"/>
            <w:r w:rsidRPr="002564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by retrieving it where the column “Name” in table </w:t>
            </w:r>
            <w:proofErr w:type="spellStart"/>
            <w:r w:rsidRPr="002564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Production.ProductSubcategory</w:t>
            </w:r>
            <w:proofErr w:type="spellEnd"/>
            <w:r w:rsidRPr="002564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have the value of ‘Saddles’.</w:t>
            </w:r>
          </w:p>
          <w:p w14:paraId="70ABD9F8" w14:textId="77777777" w:rsidR="00256435" w:rsidRPr="00256435" w:rsidRDefault="00256435" w:rsidP="00256435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564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 result set should look </w:t>
            </w:r>
            <w:proofErr w:type="gramStart"/>
            <w:r w:rsidRPr="002564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similar to</w:t>
            </w:r>
            <w:proofErr w:type="gramEnd"/>
            <w:r w:rsidRPr="002564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the following:</w:t>
            </w:r>
          </w:p>
          <w:p w14:paraId="0BD5F329" w14:textId="77777777" w:rsidR="00256435" w:rsidRPr="00256435" w:rsidRDefault="00256435" w:rsidP="00256435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564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Name</w:t>
            </w:r>
            <w:r w:rsidRPr="002564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-----------------------------</w:t>
            </w:r>
            <w:r w:rsidRPr="002564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r w:rsidRPr="002564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LL Mountain Seat/Saddle</w:t>
            </w:r>
            <w:r w:rsidRPr="002564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ML Mountain Seat/Saddle</w:t>
            </w:r>
            <w:r w:rsidRPr="002564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………</w:t>
            </w:r>
          </w:p>
          <w:p w14:paraId="1AB4AC49" w14:textId="77777777" w:rsidR="00256435" w:rsidRDefault="00256435" w:rsidP="002564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564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(9 row(s) affected) </w:t>
            </w:r>
          </w:p>
          <w:p w14:paraId="29DE2D4F" w14:textId="4C3DE4C8" w:rsidR="007667A2" w:rsidRPr="00256435" w:rsidRDefault="007667A2" w:rsidP="002564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D7EB926" wp14:editId="0191E79C">
                  <wp:extent cx="5943600" cy="6207760"/>
                  <wp:effectExtent l="0" t="0" r="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20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435" w:rsidRPr="00256435" w14:paraId="44BAC05C" w14:textId="77777777" w:rsidTr="00256435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E4121" w14:textId="77777777" w:rsidR="00256435" w:rsidRPr="00256435" w:rsidRDefault="00256435" w:rsidP="00256435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5643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Exercise 3</w:t>
            </w:r>
          </w:p>
        </w:tc>
        <w:tc>
          <w:tcPr>
            <w:tcW w:w="13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5562B" w14:textId="77777777" w:rsidR="00256435" w:rsidRPr="00256435" w:rsidRDefault="00256435" w:rsidP="00256435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564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 this exercise, you can change the previous query to deliver the following result set. The WHERE clause in the subquery will now use the wildcard string ‘Bo%’ for a comparison.</w:t>
            </w:r>
          </w:p>
          <w:p w14:paraId="01879EE5" w14:textId="77777777" w:rsidR="00256435" w:rsidRPr="00256435" w:rsidRDefault="00256435" w:rsidP="00256435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564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result set should look like the following.</w:t>
            </w:r>
          </w:p>
          <w:p w14:paraId="4AE7608D" w14:textId="77777777" w:rsidR="00256435" w:rsidRPr="00256435" w:rsidRDefault="00256435" w:rsidP="00256435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564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Name</w:t>
            </w:r>
            <w:r w:rsidRPr="002564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----------------------------</w:t>
            </w:r>
            <w:r w:rsidRPr="002564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Water Bottle - 30 oz.</w:t>
            </w:r>
            <w:r w:rsidRPr="002564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r w:rsidRPr="002564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LL Bottom Bracket</w:t>
            </w:r>
            <w:r w:rsidRPr="002564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ML Bottom Bracket</w:t>
            </w:r>
          </w:p>
          <w:p w14:paraId="12FA8CAF" w14:textId="77777777" w:rsidR="00256435" w:rsidRDefault="00256435" w:rsidP="002564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564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(6 row(s) affected) </w:t>
            </w:r>
          </w:p>
          <w:p w14:paraId="296FE541" w14:textId="042FE7D2" w:rsidR="00D21540" w:rsidRPr="00256435" w:rsidRDefault="00D21540" w:rsidP="002564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CDD26A6" wp14:editId="0B209376">
                  <wp:extent cx="6248400" cy="64674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400" cy="646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id w:val="-54290782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bookmarkStart w:id="0" w:name="_GoBack" w:displacedByCustomXml="prev"/>
        <w:p w14:paraId="0B411CF0" w14:textId="2B88868D" w:rsidR="0038086F" w:rsidRPr="0038086F" w:rsidRDefault="0038086F" w:rsidP="0038086F">
          <w:pPr>
            <w:pStyle w:val="Heading1"/>
            <w:jc w:val="center"/>
            <w:rPr>
              <w:color w:val="auto"/>
            </w:rPr>
          </w:pPr>
          <w:r w:rsidRPr="0038086F">
            <w:rPr>
              <w:color w:val="auto"/>
            </w:rPr>
            <w:t>References</w:t>
          </w:r>
        </w:p>
        <w:bookmarkEnd w:id="0" w:displacedByCustomXml="next"/>
        <w:sdt>
          <w:sdtPr>
            <w:id w:val="-573587230"/>
            <w:bibliography/>
          </w:sdtPr>
          <w:sdtContent>
            <w:p w14:paraId="7645B4E2" w14:textId="77777777" w:rsidR="0038086F" w:rsidRDefault="0038086F" w:rsidP="0038086F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EssentialSQL. (2020, March 14). </w:t>
              </w:r>
              <w:r>
                <w:rPr>
                  <w:i/>
                  <w:iCs/>
                  <w:noProof/>
                </w:rPr>
                <w:t>Subqueries – Introduction to a Subquery in SQL</w:t>
              </w:r>
              <w:r>
                <w:rPr>
                  <w:noProof/>
                </w:rPr>
                <w:t>. Retrieved from EssentialSQL: https://www.essentialsql.com/introduction-to-subqueries/</w:t>
              </w:r>
            </w:p>
            <w:p w14:paraId="6B392754" w14:textId="77777777" w:rsidR="0038086F" w:rsidRDefault="0038086F" w:rsidP="0038086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Microsoft. (2020, March 14). </w:t>
              </w:r>
              <w:r>
                <w:rPr>
                  <w:i/>
                  <w:iCs/>
                  <w:noProof/>
                </w:rPr>
                <w:t>SELECT - INTO Clause (Transact-SQL)</w:t>
              </w:r>
              <w:r>
                <w:rPr>
                  <w:noProof/>
                </w:rPr>
                <w:t>. Retrieved from Microsoft: https://docs.microsoft.com/en-us/sql/t-sql/queries/select-into-clause-transact-sql?view=sql-server-ver15</w:t>
              </w:r>
            </w:p>
            <w:p w14:paraId="0AA6AAA5" w14:textId="77777777" w:rsidR="0038086F" w:rsidRDefault="0038086F" w:rsidP="0038086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SQLServerTutorial.Net. (2020, March 14). </w:t>
              </w:r>
              <w:r>
                <w:rPr>
                  <w:i/>
                  <w:iCs/>
                  <w:noProof/>
                </w:rPr>
                <w:t>SQL Server Subquery</w:t>
              </w:r>
              <w:r>
                <w:rPr>
                  <w:noProof/>
                </w:rPr>
                <w:t>. Retrieved from SQLServerTutorial.Net: https://www.sqlservertutorial.net/sql-server-basics/sql-server-subquery/</w:t>
              </w:r>
            </w:p>
            <w:p w14:paraId="36ED296C" w14:textId="77777777" w:rsidR="0038086F" w:rsidRDefault="0038086F" w:rsidP="0038086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Vertica. (2020, March 14). </w:t>
              </w:r>
              <w:r>
                <w:rPr>
                  <w:i/>
                  <w:iCs/>
                  <w:noProof/>
                </w:rPr>
                <w:t>Subqueries Used in Search Conditions</w:t>
              </w:r>
              <w:r>
                <w:rPr>
                  <w:noProof/>
                </w:rPr>
                <w:t>. Retrieved from Vertica: https://www.vertica.com/docs/9.2.x/HTML/Content/Authoring/AnalyzingData/Queries/Subqueries/SubqueriesUsedInSearchConditions.htm</w:t>
              </w:r>
            </w:p>
            <w:p w14:paraId="435AF7E4" w14:textId="77777777" w:rsidR="0038086F" w:rsidRDefault="0038086F" w:rsidP="0038086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W3Resources. (2020, March 14). </w:t>
              </w:r>
              <w:r>
                <w:rPr>
                  <w:i/>
                  <w:iCs/>
                  <w:noProof/>
                </w:rPr>
                <w:t>SQL Subqueries</w:t>
              </w:r>
              <w:r>
                <w:rPr>
                  <w:noProof/>
                </w:rPr>
                <w:t>. Retrieved from W3Resources: https://www.w3resource.com/sql/subqueries/understanding-sql-subqueries.php</w:t>
              </w:r>
            </w:p>
            <w:p w14:paraId="5BFFEB58" w14:textId="7EA8C488" w:rsidR="0038086F" w:rsidRDefault="0038086F" w:rsidP="0038086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001B2DD" w14:textId="77777777" w:rsidR="00256435" w:rsidRPr="00256435" w:rsidRDefault="00256435" w:rsidP="00256435">
      <w:pPr>
        <w:rPr>
          <w:b/>
          <w:bCs/>
        </w:rPr>
      </w:pPr>
    </w:p>
    <w:sectPr w:rsidR="00256435" w:rsidRPr="00256435" w:rsidSect="007667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5437F"/>
    <w:multiLevelType w:val="multilevel"/>
    <w:tmpl w:val="4DCAA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9D72C0"/>
    <w:multiLevelType w:val="hybridMultilevel"/>
    <w:tmpl w:val="F880C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35"/>
    <w:rsid w:val="000B0F3B"/>
    <w:rsid w:val="001B2BE9"/>
    <w:rsid w:val="00256435"/>
    <w:rsid w:val="0038086F"/>
    <w:rsid w:val="00543794"/>
    <w:rsid w:val="007667A2"/>
    <w:rsid w:val="00991681"/>
    <w:rsid w:val="00BB0D15"/>
    <w:rsid w:val="00BB5CD6"/>
    <w:rsid w:val="00D21540"/>
    <w:rsid w:val="00D43CC8"/>
    <w:rsid w:val="00DF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DEC8D"/>
  <w15:chartTrackingRefBased/>
  <w15:docId w15:val="{8D9ED998-93C8-4E1C-851B-03C0F7578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4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0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80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msdn.microsoft.com/en-us/library/ms365325(v=sql.110).aspx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Oe0Y4qazeS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SQL202</b:Tag>
    <b:SourceType>InternetSite</b:SourceType>
    <b:Guid>{EB74F690-B5CD-4408-B15F-84AC0EEFBAE7}</b:Guid>
    <b:Author>
      <b:Author>
        <b:NameList>
          <b:Person>
            <b:Last>SQLServerTutorial.Net</b:Last>
          </b:Person>
        </b:NameList>
      </b:Author>
    </b:Author>
    <b:Title>SQL Server Subquery</b:Title>
    <b:InternetSiteTitle>SQLServerTutorial.Net</b:InternetSiteTitle>
    <b:Year>2020</b:Year>
    <b:Month>March</b:Month>
    <b:Day>14</b:Day>
    <b:URL>https://www.sqlservertutorial.net/sql-server-basics/sql-server-subquery/</b:URL>
    <b:RefOrder>1</b:RefOrder>
  </b:Source>
  <b:Source>
    <b:Tag>W3R20</b:Tag>
    <b:SourceType>InternetSite</b:SourceType>
    <b:Guid>{A5EADD9B-3685-4366-B990-E1587A697853}</b:Guid>
    <b:Author>
      <b:Author>
        <b:NameList>
          <b:Person>
            <b:Last>W3Resources</b:Last>
          </b:Person>
        </b:NameList>
      </b:Author>
    </b:Author>
    <b:Title>SQL Subqueries</b:Title>
    <b:InternetSiteTitle>W3Resources</b:InternetSiteTitle>
    <b:Year>2020</b:Year>
    <b:Month>March</b:Month>
    <b:Day>14</b:Day>
    <b:URL>https://www.w3resource.com/sql/subqueries/understanding-sql-subqueries.php</b:URL>
    <b:RefOrder>4</b:RefOrder>
  </b:Source>
  <b:Source>
    <b:Tag>Ver20</b:Tag>
    <b:SourceType>InternetSite</b:SourceType>
    <b:Guid>{21FF6FE5-CFEF-4DBE-A5D0-FD4005546F9B}</b:Guid>
    <b:Author>
      <b:Author>
        <b:Corporate>Vertica</b:Corporate>
      </b:Author>
    </b:Author>
    <b:Title>Subqueries Used in Search Conditions</b:Title>
    <b:InternetSiteTitle>Vertica</b:InternetSiteTitle>
    <b:Year>2020</b:Year>
    <b:Month>March</b:Month>
    <b:Day>14</b:Day>
    <b:URL>https://www.vertica.com/docs/9.2.x/HTML/Content/Authoring/AnalyzingData/Queries/Subqueries/SubqueriesUsedInSearchConditions.htm</b:URL>
    <b:RefOrder>2</b:RefOrder>
  </b:Source>
  <b:Source>
    <b:Tag>Ess20</b:Tag>
    <b:SourceType>InternetSite</b:SourceType>
    <b:Guid>{D254E115-D105-46BB-9BC9-BCFCD0C310DF}</b:Guid>
    <b:Author>
      <b:Author>
        <b:NameList>
          <b:Person>
            <b:Last>EssentialSQL</b:Last>
          </b:Person>
        </b:NameList>
      </b:Author>
    </b:Author>
    <b:Title>Subqueries – Introduction to a Subquery in SQL</b:Title>
    <b:InternetSiteTitle>EssentialSQL</b:InternetSiteTitle>
    <b:Year>2020</b:Year>
    <b:Month>March</b:Month>
    <b:Day>14</b:Day>
    <b:URL>https://www.essentialsql.com/introduction-to-subqueries/</b:URL>
    <b:RefOrder>3</b:RefOrder>
  </b:Source>
  <b:Source>
    <b:Tag>Mic204</b:Tag>
    <b:SourceType>InternetSite</b:SourceType>
    <b:Guid>{F89C2F04-CBBA-4F1C-9963-21D83ADE865D}</b:Guid>
    <b:Author>
      <b:Author>
        <b:Corporate>Microsoft</b:Corporate>
      </b:Author>
    </b:Author>
    <b:Title>SELECT - INTO Clause (Transact-SQL)</b:Title>
    <b:InternetSiteTitle>Microsoft</b:InternetSiteTitle>
    <b:Year>2020</b:Year>
    <b:Month>March</b:Month>
    <b:Day>14</b:Day>
    <b:URL>https://docs.microsoft.com/en-us/sql/t-sql/queries/select-into-clause-transact-sql?view=sql-server-ver15</b:URL>
    <b:RefOrder>5</b:RefOrder>
  </b:Source>
</b:Sources>
</file>

<file path=customXml/itemProps1.xml><?xml version="1.0" encoding="utf-8"?>
<ds:datastoreItem xmlns:ds="http://schemas.openxmlformats.org/officeDocument/2006/customXml" ds:itemID="{54704272-E144-4C8A-9688-F66C8A1F6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10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 Steg</dc:creator>
  <cp:keywords/>
  <dc:description/>
  <cp:lastModifiedBy>Jenn Steg</cp:lastModifiedBy>
  <cp:revision>7</cp:revision>
  <dcterms:created xsi:type="dcterms:W3CDTF">2020-03-14T17:03:00Z</dcterms:created>
  <dcterms:modified xsi:type="dcterms:W3CDTF">2020-03-14T19:04:00Z</dcterms:modified>
</cp:coreProperties>
</file>